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51F5B" w14:textId="2FC9DE81" w:rsidR="009655D4" w:rsidRPr="00146A5F" w:rsidRDefault="004F79BD">
      <w:pPr>
        <w:rPr>
          <w:rFonts w:ascii="Arial" w:hAnsi="Arial" w:cs="Arial"/>
          <w:color w:val="0070C0"/>
          <w:sz w:val="32"/>
          <w:szCs w:val="32"/>
        </w:rPr>
      </w:pPr>
      <w:r w:rsidRPr="00146A5F">
        <w:rPr>
          <w:rFonts w:ascii="Arial" w:hAnsi="Arial" w:cs="Arial"/>
          <w:color w:val="0070C0"/>
          <w:sz w:val="32"/>
          <w:szCs w:val="32"/>
        </w:rPr>
        <w:t xml:space="preserve">Appendix </w:t>
      </w:r>
      <w:r w:rsidR="002937ED" w:rsidRPr="00146A5F">
        <w:rPr>
          <w:rFonts w:ascii="Arial" w:hAnsi="Arial" w:cs="Arial"/>
          <w:color w:val="0070C0"/>
          <w:sz w:val="32"/>
          <w:szCs w:val="32"/>
        </w:rPr>
        <w:t>1</w:t>
      </w:r>
      <w:r w:rsidRPr="00146A5F">
        <w:rPr>
          <w:rFonts w:ascii="Arial" w:hAnsi="Arial" w:cs="Arial"/>
          <w:color w:val="0070C0"/>
          <w:sz w:val="32"/>
          <w:szCs w:val="32"/>
        </w:rPr>
        <w:t>:  Organisational Development (OD) Plan</w:t>
      </w:r>
      <w:r w:rsidR="00E555A2" w:rsidRPr="00146A5F">
        <w:rPr>
          <w:rFonts w:ascii="Arial" w:hAnsi="Arial" w:cs="Arial"/>
          <w:color w:val="0070C0"/>
          <w:sz w:val="32"/>
          <w:szCs w:val="32"/>
        </w:rPr>
        <w:t xml:space="preserve"> (23-26) Close Down Report</w:t>
      </w:r>
    </w:p>
    <w:p w14:paraId="48627657" w14:textId="77777777" w:rsidR="003B1260" w:rsidRDefault="003B1260" w:rsidP="003B1260">
      <w:pPr>
        <w:spacing w:after="0" w:line="360" w:lineRule="auto"/>
        <w:rPr>
          <w:rFonts w:ascii="Arial" w:eastAsia="Arial" w:hAnsi="Arial" w:cs="Arial"/>
          <w:b/>
          <w:bCs/>
          <w:lang w:eastAsia="en-GB"/>
          <w14:ligatures w14:val="none"/>
        </w:rPr>
      </w:pPr>
    </w:p>
    <w:p w14:paraId="6D722840" w14:textId="13A552B4" w:rsidR="003B1260" w:rsidRPr="009B2AD1" w:rsidRDefault="003B1260" w:rsidP="003B1260">
      <w:pPr>
        <w:spacing w:after="0" w:line="360" w:lineRule="auto"/>
        <w:rPr>
          <w:rFonts w:ascii="Arial" w:eastAsia="Arial" w:hAnsi="Arial" w:cs="Arial"/>
          <w:b/>
          <w:bCs/>
          <w:sz w:val="28"/>
          <w:szCs w:val="28"/>
          <w:lang w:eastAsia="en-GB"/>
          <w14:ligatures w14:val="none"/>
        </w:rPr>
      </w:pPr>
      <w:r w:rsidRPr="009B2AD1">
        <w:rPr>
          <w:rFonts w:ascii="Arial" w:eastAsia="Arial" w:hAnsi="Arial" w:cs="Arial"/>
          <w:b/>
          <w:bCs/>
          <w:sz w:val="28"/>
          <w:szCs w:val="28"/>
          <w:lang w:eastAsia="en-GB"/>
          <w14:ligatures w14:val="none"/>
        </w:rPr>
        <w:t>Introduction</w:t>
      </w:r>
    </w:p>
    <w:p w14:paraId="7714F3CE" w14:textId="6287523C" w:rsidR="007340DB" w:rsidRDefault="003B1260" w:rsidP="003B1260">
      <w:p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Arial"/>
          <w:lang w:eastAsia="en-GB"/>
          <w14:ligatures w14:val="none"/>
        </w:rPr>
        <w:t xml:space="preserve">In July 2023, the Board approved a 3-year (23-26) Organisational Development (OD) plan for the ICB. The aim of the plan is to </w:t>
      </w:r>
      <w:r w:rsidRPr="003B1260">
        <w:rPr>
          <w:rFonts w:ascii="Arial" w:eastAsia="Arial" w:hAnsi="Arial" w:cs="Arial"/>
          <w:i/>
          <w:iCs/>
          <w:lang w:eastAsia="en-GB"/>
          <w14:ligatures w14:val="none"/>
        </w:rPr>
        <w:t xml:space="preserve">support the delivery of the change programme by focusing on creating a healthy culture driven by strong values, high capability and effective relationships and ways of working that will enable the NCL ICB to adapt, perform and thrive now and in the future. </w:t>
      </w:r>
    </w:p>
    <w:p w14:paraId="25F22BE9" w14:textId="77777777" w:rsidR="007340DB" w:rsidRPr="007340DB" w:rsidRDefault="007340DB" w:rsidP="003B1260">
      <w:pPr>
        <w:spacing w:after="0" w:line="360" w:lineRule="auto"/>
        <w:rPr>
          <w:rFonts w:ascii="Times New Roman" w:eastAsia="Times New Roman" w:hAnsi="Times New Roman" w:cs="Times New Roman"/>
          <w:kern w:val="0"/>
          <w:lang w:eastAsia="en-GB"/>
          <w14:ligatures w14:val="none"/>
        </w:rPr>
      </w:pPr>
    </w:p>
    <w:p w14:paraId="208D29BF" w14:textId="49FB9A05" w:rsidR="007340DB" w:rsidRDefault="007340DB" w:rsidP="007340DB">
      <w:pPr>
        <w:spacing w:after="0" w:line="360" w:lineRule="auto"/>
        <w:rPr>
          <w:rFonts w:ascii="Arial" w:eastAsiaTheme="minorEastAsia" w:hAnsi="Arial"/>
          <w:kern w:val="24"/>
        </w:rPr>
      </w:pPr>
      <w:r w:rsidRPr="00E555A2">
        <w:rPr>
          <w:rFonts w:ascii="Arial" w:eastAsiaTheme="minorEastAsia" w:hAnsi="Arial"/>
          <w:kern w:val="24"/>
        </w:rPr>
        <w:t>This report sets outlines the progress against phases one</w:t>
      </w:r>
      <w:r w:rsidR="00146A5F">
        <w:rPr>
          <w:rFonts w:ascii="Arial" w:eastAsiaTheme="minorEastAsia" w:hAnsi="Arial"/>
          <w:kern w:val="24"/>
        </w:rPr>
        <w:t xml:space="preserve"> (23-24)</w:t>
      </w:r>
      <w:r w:rsidRPr="00E555A2">
        <w:rPr>
          <w:rFonts w:ascii="Arial" w:eastAsiaTheme="minorEastAsia" w:hAnsi="Arial"/>
          <w:kern w:val="24"/>
        </w:rPr>
        <w:t xml:space="preserve"> and two </w:t>
      </w:r>
      <w:r w:rsidR="00146A5F">
        <w:rPr>
          <w:rFonts w:ascii="Arial" w:eastAsiaTheme="minorEastAsia" w:hAnsi="Arial"/>
          <w:kern w:val="24"/>
        </w:rPr>
        <w:t>(24-25) against the priority actions identified in</w:t>
      </w:r>
      <w:r w:rsidRPr="00E555A2">
        <w:rPr>
          <w:rFonts w:ascii="Arial" w:eastAsiaTheme="minorEastAsia" w:hAnsi="Arial"/>
          <w:kern w:val="24"/>
        </w:rPr>
        <w:t xml:space="preserve"> the OD plan</w:t>
      </w:r>
      <w:r w:rsidR="00146A5F">
        <w:rPr>
          <w:rFonts w:ascii="Arial" w:eastAsiaTheme="minorEastAsia" w:hAnsi="Arial"/>
          <w:kern w:val="24"/>
        </w:rPr>
        <w:t>.</w:t>
      </w:r>
      <w:r>
        <w:rPr>
          <w:rFonts w:ascii="Arial" w:eastAsiaTheme="minorEastAsia" w:hAnsi="Arial"/>
          <w:kern w:val="24"/>
        </w:rPr>
        <w:t xml:space="preserve"> </w:t>
      </w:r>
    </w:p>
    <w:p w14:paraId="2033B090" w14:textId="77777777" w:rsidR="0014509C" w:rsidRPr="0014509C" w:rsidRDefault="0014509C" w:rsidP="00E555A2">
      <w:pPr>
        <w:spacing w:after="0" w:line="360" w:lineRule="auto"/>
        <w:rPr>
          <w:rFonts w:ascii="Arial" w:eastAsia="Times New Roman" w:hAnsi="Arial" w:cs="Arial"/>
          <w:b/>
          <w:bCs/>
          <w:kern w:val="0"/>
          <w:sz w:val="28"/>
          <w:szCs w:val="28"/>
          <w:lang w:eastAsia="en-GB"/>
          <w14:ligatures w14:val="none"/>
        </w:rPr>
      </w:pPr>
    </w:p>
    <w:p w14:paraId="539359AB" w14:textId="6B776560" w:rsidR="0014509C" w:rsidRPr="0014509C" w:rsidRDefault="0014509C" w:rsidP="00E555A2">
      <w:pPr>
        <w:spacing w:after="0" w:line="360" w:lineRule="auto"/>
        <w:rPr>
          <w:rFonts w:ascii="Arial" w:eastAsia="Times New Roman" w:hAnsi="Arial" w:cs="Arial"/>
          <w:b/>
          <w:bCs/>
          <w:kern w:val="0"/>
          <w:sz w:val="28"/>
          <w:szCs w:val="28"/>
          <w:lang w:eastAsia="en-GB"/>
          <w14:ligatures w14:val="none"/>
        </w:rPr>
      </w:pPr>
      <w:r w:rsidRPr="0014509C">
        <w:rPr>
          <w:rFonts w:ascii="Arial" w:eastAsia="Times New Roman" w:hAnsi="Arial" w:cs="Arial"/>
          <w:b/>
          <w:bCs/>
          <w:kern w:val="0"/>
          <w:sz w:val="28"/>
          <w:szCs w:val="28"/>
          <w:lang w:eastAsia="en-GB"/>
          <w14:ligatures w14:val="none"/>
        </w:rPr>
        <w:t>Background and Context</w:t>
      </w:r>
    </w:p>
    <w:p w14:paraId="7E35F340" w14:textId="77777777" w:rsidR="007340DB" w:rsidRPr="003B1260" w:rsidRDefault="007340DB" w:rsidP="007340DB">
      <w:p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Arial"/>
          <w:lang w:eastAsia="en-GB"/>
          <w14:ligatures w14:val="none"/>
        </w:rPr>
        <w:t xml:space="preserve">The OD plan is based on the evolved Culture and Leadership Programme based on best practice, developed by Professor Michael West and sponsored by NHSE which focuses on 6 key pillars: </w:t>
      </w:r>
    </w:p>
    <w:p w14:paraId="76C1EA83" w14:textId="77777777" w:rsidR="007340DB" w:rsidRPr="003B1260" w:rsidRDefault="007340DB" w:rsidP="007340DB">
      <w:pPr>
        <w:pStyle w:val="ListParagraph"/>
        <w:numPr>
          <w:ilvl w:val="0"/>
          <w:numId w:val="2"/>
        </w:num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Times New Roman"/>
          <w:b/>
          <w:bCs/>
          <w:lang w:eastAsia="en-GB"/>
          <w14:ligatures w14:val="none"/>
        </w:rPr>
        <w:t>Vision and Values</w:t>
      </w:r>
      <w:r w:rsidRPr="003B1260">
        <w:rPr>
          <w:rFonts w:ascii="Arial" w:eastAsia="Arial" w:hAnsi="Arial" w:cs="Times New Roman"/>
          <w:lang w:eastAsia="en-GB"/>
          <w14:ligatures w14:val="none"/>
        </w:rPr>
        <w:t xml:space="preserve"> - An inspiring and shared vision and values that sets a clear direction and expectations; creating a strong identity and thriving culture that fosters pride and positivity.</w:t>
      </w:r>
    </w:p>
    <w:p w14:paraId="084EA4FF" w14:textId="77777777" w:rsidR="007340DB" w:rsidRPr="003B1260" w:rsidRDefault="007340DB" w:rsidP="007340DB">
      <w:pPr>
        <w:pStyle w:val="ListParagraph"/>
        <w:numPr>
          <w:ilvl w:val="0"/>
          <w:numId w:val="2"/>
        </w:num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Times New Roman"/>
          <w:b/>
          <w:bCs/>
          <w:lang w:eastAsia="en-GB"/>
          <w14:ligatures w14:val="none"/>
        </w:rPr>
        <w:t>Goals and Performance</w:t>
      </w:r>
      <w:r w:rsidRPr="003B1260">
        <w:rPr>
          <w:rFonts w:ascii="Arial" w:eastAsia="Arial" w:hAnsi="Arial" w:cs="Times New Roman"/>
          <w:lang w:eastAsia="en-GB"/>
          <w14:ligatures w14:val="none"/>
        </w:rPr>
        <w:t xml:space="preserve"> - Clear priorities and objectives at every level and intelligent data informing all about performance. Recognising and rewarding good work and ensuring resources are available and used well.</w:t>
      </w:r>
    </w:p>
    <w:p w14:paraId="4C1C726C" w14:textId="77777777" w:rsidR="007340DB" w:rsidRPr="003B1260" w:rsidRDefault="007340DB" w:rsidP="007340DB">
      <w:pPr>
        <w:pStyle w:val="ListParagraph"/>
        <w:numPr>
          <w:ilvl w:val="0"/>
          <w:numId w:val="2"/>
        </w:num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Times New Roman"/>
          <w:b/>
          <w:bCs/>
          <w:lang w:eastAsia="en-GB"/>
          <w14:ligatures w14:val="none"/>
        </w:rPr>
        <w:t>Learning and Innovation</w:t>
      </w:r>
      <w:r w:rsidRPr="003B1260">
        <w:rPr>
          <w:rFonts w:ascii="Arial" w:eastAsia="Arial" w:hAnsi="Arial" w:cs="Times New Roman"/>
          <w:lang w:eastAsia="en-GB"/>
          <w14:ligatures w14:val="none"/>
        </w:rPr>
        <w:t xml:space="preserve"> - Investing in opportunities for people to nurture, grow and improve how work gets done, ensuring fair and equitable access to learning, development, innovation and career progression.</w:t>
      </w:r>
    </w:p>
    <w:p w14:paraId="7A5E8461" w14:textId="77777777" w:rsidR="007340DB" w:rsidRPr="003B1260" w:rsidRDefault="007340DB" w:rsidP="007340DB">
      <w:pPr>
        <w:pStyle w:val="ListParagraph"/>
        <w:numPr>
          <w:ilvl w:val="0"/>
          <w:numId w:val="2"/>
        </w:num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Times New Roman"/>
          <w:b/>
          <w:bCs/>
          <w:lang w:eastAsia="en-GB"/>
          <w14:ligatures w14:val="none"/>
        </w:rPr>
        <w:t>Support, Compassion and Wellbeing</w:t>
      </w:r>
      <w:r w:rsidRPr="003B1260">
        <w:rPr>
          <w:rFonts w:ascii="Arial" w:eastAsia="Arial" w:hAnsi="Arial" w:cs="Times New Roman"/>
          <w:lang w:eastAsia="en-GB"/>
          <w14:ligatures w14:val="none"/>
        </w:rPr>
        <w:t xml:space="preserve"> - Nurturing a compassionate and psychologically safe culture, where staff feel cared for, valued and respected and feel confident to raise concerns knowing they will be addressed.</w:t>
      </w:r>
    </w:p>
    <w:p w14:paraId="170973B4" w14:textId="77777777" w:rsidR="007340DB" w:rsidRPr="003B1260" w:rsidRDefault="007340DB" w:rsidP="007340DB">
      <w:pPr>
        <w:pStyle w:val="ListParagraph"/>
        <w:numPr>
          <w:ilvl w:val="0"/>
          <w:numId w:val="2"/>
        </w:num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Times New Roman"/>
          <w:b/>
          <w:bCs/>
          <w:lang w:eastAsia="en-GB"/>
          <w14:ligatures w14:val="none"/>
        </w:rPr>
        <w:t>Equity and Inclusion</w:t>
      </w:r>
      <w:r w:rsidRPr="003B1260">
        <w:rPr>
          <w:rFonts w:ascii="Arial" w:eastAsia="Arial" w:hAnsi="Arial" w:cs="Times New Roman"/>
          <w:lang w:eastAsia="en-GB"/>
          <w14:ligatures w14:val="none"/>
        </w:rPr>
        <w:t xml:space="preserve"> - Equity, positive diversity, and comprehensive inclusion for all, where staff can bring their whole selves to work safe in the knowledge they will be valued and respected.</w:t>
      </w:r>
    </w:p>
    <w:p w14:paraId="0EA0C161" w14:textId="2405FBB3" w:rsidR="007340DB" w:rsidRPr="007340DB" w:rsidRDefault="007340DB" w:rsidP="00E555A2">
      <w:pPr>
        <w:pStyle w:val="ListParagraph"/>
        <w:numPr>
          <w:ilvl w:val="0"/>
          <w:numId w:val="2"/>
        </w:numPr>
        <w:spacing w:after="0" w:line="360" w:lineRule="auto"/>
        <w:rPr>
          <w:rFonts w:ascii="Times New Roman" w:eastAsia="Times New Roman" w:hAnsi="Times New Roman" w:cs="Times New Roman"/>
          <w:kern w:val="0"/>
          <w:lang w:eastAsia="en-GB"/>
          <w14:ligatures w14:val="none"/>
        </w:rPr>
      </w:pPr>
      <w:r w:rsidRPr="003B1260">
        <w:rPr>
          <w:rFonts w:ascii="Arial" w:eastAsia="Arial" w:hAnsi="Arial" w:cs="Times New Roman"/>
          <w:b/>
          <w:bCs/>
          <w:lang w:eastAsia="en-GB"/>
          <w14:ligatures w14:val="none"/>
        </w:rPr>
        <w:lastRenderedPageBreak/>
        <w:t>Team and System Working</w:t>
      </w:r>
      <w:r w:rsidRPr="003B1260">
        <w:rPr>
          <w:rFonts w:ascii="Arial" w:eastAsia="Arial" w:hAnsi="Arial" w:cs="Times New Roman"/>
          <w:lang w:eastAsia="en-GB"/>
          <w14:ligatures w14:val="none"/>
        </w:rPr>
        <w:t xml:space="preserve"> - Effectively functioning team and inter-team working with role clarity, shared objectives, and cooperation; working collaboratively across organisations and systems.</w:t>
      </w:r>
    </w:p>
    <w:p w14:paraId="2BABF07F" w14:textId="77777777" w:rsidR="007340DB" w:rsidRDefault="007340DB" w:rsidP="00E555A2">
      <w:pPr>
        <w:pStyle w:val="NormalWeb"/>
        <w:spacing w:before="0" w:beforeAutospacing="0" w:after="0" w:afterAutospacing="0" w:line="360" w:lineRule="auto"/>
        <w:rPr>
          <w:rFonts w:ascii="Arial" w:eastAsiaTheme="minorEastAsia" w:hAnsi="Arial" w:cs="Arial"/>
          <w:kern w:val="24"/>
          <w:sz w:val="22"/>
          <w:szCs w:val="22"/>
        </w:rPr>
      </w:pPr>
    </w:p>
    <w:p w14:paraId="4DCBBADE" w14:textId="185ADA3A" w:rsidR="00E555A2" w:rsidRDefault="00151A02" w:rsidP="00E555A2">
      <w:pPr>
        <w:pStyle w:val="NormalWeb"/>
        <w:spacing w:before="0" w:beforeAutospacing="0" w:after="0" w:afterAutospacing="0" w:line="360" w:lineRule="auto"/>
        <w:rPr>
          <w:rFonts w:ascii="Arial" w:eastAsiaTheme="minorEastAsia" w:hAnsi="Arial" w:cs="Arial"/>
          <w:kern w:val="24"/>
          <w:sz w:val="22"/>
          <w:szCs w:val="22"/>
        </w:rPr>
      </w:pPr>
      <w:bookmarkStart w:id="0" w:name="_Hlk200898988"/>
      <w:r>
        <w:rPr>
          <w:rFonts w:ascii="Arial" w:eastAsiaTheme="minorEastAsia" w:hAnsi="Arial" w:cs="Arial"/>
          <w:kern w:val="24"/>
          <w:sz w:val="22"/>
          <w:szCs w:val="22"/>
        </w:rPr>
        <w:t>T</w:t>
      </w:r>
      <w:r w:rsidR="00E555A2" w:rsidRPr="00E555A2">
        <w:rPr>
          <w:rFonts w:ascii="Arial" w:eastAsiaTheme="minorEastAsia" w:hAnsi="Arial" w:cs="Arial"/>
          <w:kern w:val="24"/>
          <w:sz w:val="22"/>
          <w:szCs w:val="22"/>
        </w:rPr>
        <w:t xml:space="preserve">he 3-year OD plan was developed in 2023, </w:t>
      </w:r>
      <w:r>
        <w:rPr>
          <w:rFonts w:ascii="Arial" w:eastAsiaTheme="minorEastAsia" w:hAnsi="Arial" w:cs="Arial"/>
          <w:kern w:val="24"/>
          <w:sz w:val="22"/>
          <w:szCs w:val="22"/>
        </w:rPr>
        <w:t xml:space="preserve">and </w:t>
      </w:r>
      <w:r w:rsidR="00E555A2" w:rsidRPr="00E555A2">
        <w:rPr>
          <w:rFonts w:ascii="Arial" w:eastAsiaTheme="minorEastAsia" w:hAnsi="Arial" w:cs="Arial"/>
          <w:kern w:val="24"/>
          <w:sz w:val="22"/>
          <w:szCs w:val="22"/>
        </w:rPr>
        <w:t xml:space="preserve">the priorities and areas of focus were reflective of the needs of the staff and organisation at that point in time. Since the roll out of the OD plan in July 2023, there was a need to review the timescales for delivering the priorities in particular those priorities that required co-design and engagement with staff because it became clear that there would be low meaningful engagement from staff due to the impact of the change programme, transitioning to new ways of working and the new structure, and feedback from staff themselves on workload pressures. In view of these factors, the timescales of delivering some of the activities were paused to a later date.  </w:t>
      </w:r>
    </w:p>
    <w:bookmarkEnd w:id="0"/>
    <w:p w14:paraId="275AA4B9" w14:textId="77777777" w:rsidR="0014509C" w:rsidRDefault="0014509C" w:rsidP="00E555A2">
      <w:pPr>
        <w:pStyle w:val="NormalWeb"/>
        <w:spacing w:before="0" w:beforeAutospacing="0" w:after="0" w:afterAutospacing="0" w:line="360" w:lineRule="auto"/>
        <w:rPr>
          <w:rFonts w:ascii="Arial" w:eastAsiaTheme="minorEastAsia" w:hAnsi="Arial" w:cs="Arial"/>
          <w:kern w:val="24"/>
          <w:sz w:val="22"/>
          <w:szCs w:val="22"/>
        </w:rPr>
      </w:pPr>
    </w:p>
    <w:p w14:paraId="60B4D99B" w14:textId="477D2754" w:rsidR="00E555A2" w:rsidRPr="00E555A2" w:rsidRDefault="00E555A2" w:rsidP="00E555A2">
      <w:pPr>
        <w:pStyle w:val="NormalWeb"/>
        <w:spacing w:before="0" w:beforeAutospacing="0" w:after="0" w:afterAutospacing="0" w:line="360" w:lineRule="auto"/>
        <w:rPr>
          <w:rFonts w:ascii="Arial" w:hAnsi="Arial" w:cs="Arial"/>
          <w:sz w:val="22"/>
          <w:szCs w:val="22"/>
        </w:rPr>
      </w:pPr>
      <w:bookmarkStart w:id="1" w:name="_Hlk200899090"/>
      <w:r w:rsidRPr="00E555A2">
        <w:rPr>
          <w:rFonts w:ascii="Arial" w:eastAsiaTheme="minorEastAsia" w:hAnsi="Arial" w:cs="Arial"/>
          <w:kern w:val="24"/>
          <w:sz w:val="22"/>
          <w:szCs w:val="22"/>
        </w:rPr>
        <w:t xml:space="preserve">As we moved forward from the 2023 organisational change programme, it was recognised that the needs of the staff and organisation changed and therefore it was agreed that going forwards the delivery areas against each of the pillars will be iterative and may need to change on an annual </w:t>
      </w:r>
      <w:proofErr w:type="gramStart"/>
      <w:r w:rsidRPr="00E555A2">
        <w:rPr>
          <w:rFonts w:ascii="Arial" w:eastAsiaTheme="minorEastAsia" w:hAnsi="Arial" w:cs="Arial"/>
          <w:kern w:val="24"/>
          <w:sz w:val="22"/>
          <w:szCs w:val="22"/>
        </w:rPr>
        <w:t>basis</w:t>
      </w:r>
      <w:proofErr w:type="gramEnd"/>
      <w:r w:rsidRPr="00E555A2">
        <w:rPr>
          <w:rFonts w:ascii="Arial" w:eastAsiaTheme="minorEastAsia" w:hAnsi="Arial" w:cs="Arial"/>
          <w:kern w:val="24"/>
          <w:sz w:val="22"/>
          <w:szCs w:val="22"/>
        </w:rPr>
        <w:t xml:space="preserve"> so it is responsive to staff feedback, engagement and needs. </w:t>
      </w:r>
    </w:p>
    <w:p w14:paraId="4D877580" w14:textId="22F7A318" w:rsidR="004A63A6" w:rsidRPr="004A63A6" w:rsidRDefault="00E555A2" w:rsidP="004A63A6">
      <w:pPr>
        <w:spacing w:line="360" w:lineRule="auto"/>
        <w:rPr>
          <w:rFonts w:ascii="Arial" w:eastAsia="Arial" w:hAnsi="Arial" w:cs="Arial"/>
        </w:rPr>
      </w:pPr>
      <w:r w:rsidRPr="00E555A2">
        <w:rPr>
          <w:rFonts w:ascii="Arial" w:eastAsia="Arial" w:hAnsi="Arial" w:cs="Arial"/>
        </w:rPr>
        <w:t xml:space="preserve">We </w:t>
      </w:r>
      <w:r>
        <w:rPr>
          <w:rFonts w:ascii="Arial" w:eastAsia="Arial" w:hAnsi="Arial" w:cs="Arial"/>
        </w:rPr>
        <w:t>have just completed</w:t>
      </w:r>
      <w:r w:rsidRPr="00E555A2">
        <w:rPr>
          <w:rFonts w:ascii="Arial" w:eastAsia="Arial" w:hAnsi="Arial" w:cs="Arial"/>
        </w:rPr>
        <w:t xml:space="preserve"> year/phase 2 of the 3-year OD plan. During 24/25, work progressed to meet the objectives in these six areas as part of the delivery plan. </w:t>
      </w:r>
      <w:bookmarkStart w:id="2" w:name="_Hlk168331910"/>
      <w:bookmarkEnd w:id="1"/>
    </w:p>
    <w:p w14:paraId="63243AB7" w14:textId="11389687" w:rsidR="004A63A6" w:rsidRPr="004A63A6" w:rsidRDefault="004A63A6" w:rsidP="004A63A6">
      <w:pPr>
        <w:rPr>
          <w:rFonts w:ascii="Arial" w:hAnsi="Arial" w:cs="Arial"/>
          <w:b/>
          <w:bCs/>
          <w:sz w:val="28"/>
          <w:szCs w:val="28"/>
        </w:rPr>
      </w:pPr>
      <w:bookmarkStart w:id="3" w:name="_Hlk168378187"/>
      <w:r w:rsidRPr="004A63A6">
        <w:rPr>
          <w:rFonts w:ascii="Arial" w:hAnsi="Arial" w:cs="Arial"/>
          <w:b/>
          <w:bCs/>
          <w:sz w:val="28"/>
          <w:szCs w:val="28"/>
        </w:rPr>
        <w:t>P</w:t>
      </w:r>
      <w:bookmarkEnd w:id="2"/>
      <w:r w:rsidRPr="004A63A6">
        <w:rPr>
          <w:rFonts w:ascii="Arial" w:hAnsi="Arial" w:cs="Arial"/>
          <w:b/>
          <w:bCs/>
          <w:sz w:val="28"/>
          <w:szCs w:val="28"/>
        </w:rPr>
        <w:t>rogress against the 3-year OD Plan</w:t>
      </w:r>
      <w:bookmarkEnd w:id="3"/>
    </w:p>
    <w:p w14:paraId="7FED667A" w14:textId="77777777" w:rsidR="004A63A6" w:rsidRPr="004A63A6" w:rsidRDefault="004A63A6" w:rsidP="004A63A6">
      <w:pPr>
        <w:spacing w:line="360" w:lineRule="auto"/>
        <w:rPr>
          <w:rFonts w:ascii="Arial" w:eastAsia="Arial" w:hAnsi="Arial" w:cs="Arial"/>
        </w:rPr>
      </w:pPr>
      <w:r w:rsidRPr="004A63A6">
        <w:rPr>
          <w:rFonts w:ascii="Arial" w:eastAsia="Arial" w:hAnsi="Arial" w:cs="Arial"/>
        </w:rPr>
        <w:t>The organisational development plan is enabling the ICB to create a thriving and re-energised culture as part of the implementation of the new organisational structure. We have completed year/phase 2 of the 3-year OD plan. During 24/25, as part of the delivery plan, work continued to be progressed to meet the objectives in the six areas, and the following areas have been completed/achieved:</w:t>
      </w:r>
    </w:p>
    <w:p w14:paraId="51815B04" w14:textId="77777777" w:rsidR="004A63A6" w:rsidRPr="004A63A6" w:rsidRDefault="004A63A6" w:rsidP="004A63A6">
      <w:pPr>
        <w:spacing w:line="360" w:lineRule="auto"/>
        <w:rPr>
          <w:rFonts w:ascii="Arial" w:eastAsia="Arial" w:hAnsi="Arial" w:cs="Arial"/>
        </w:rPr>
      </w:pPr>
    </w:p>
    <w:p w14:paraId="6A8D9CAA"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Review and develop on-boarding and induction to reflect vision, values, structures and operating model for existing staff and managers following the redesign and for all new staff and managers</w:t>
      </w:r>
    </w:p>
    <w:p w14:paraId="55C01B65"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Improve visibility of senior leadership across sites with staff at all levels of the organisation</w:t>
      </w:r>
    </w:p>
    <w:p w14:paraId="45E7D246"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Design a process to ensure all job descriptions reflect the vision, values and operating model</w:t>
      </w:r>
    </w:p>
    <w:p w14:paraId="697AA670"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lastRenderedPageBreak/>
        <w:t>Regularly review and report on ER cases, including timeliness, variation and disparity; ensuring regular reviews/audits are completed and embed learning</w:t>
      </w:r>
    </w:p>
    <w:p w14:paraId="214FFCD1"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Design and deliver leading change programme to support managers and staff through change, transition and integration</w:t>
      </w:r>
    </w:p>
    <w:p w14:paraId="14A2A782"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Review mandatory training requirements and reporting, monitoring processes following restructure</w:t>
      </w:r>
    </w:p>
    <w:p w14:paraId="3F00E7F0"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Review communication channels and access to support staff to raise concerns</w:t>
      </w:r>
    </w:p>
    <w:p w14:paraId="20CEC77E"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Support staff with change process with access to immediate health and wellbeing support</w:t>
      </w:r>
    </w:p>
    <w:p w14:paraId="37C7F66E"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Develop and embed the role of the Wellbeing and Inclusion Guardian</w:t>
      </w:r>
    </w:p>
    <w:p w14:paraId="0D45A2A5"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Complete Equality Impact Assessment (EQIA) of new structure and management of change process and continue to embed approach to sustain best practice</w:t>
      </w:r>
    </w:p>
    <w:p w14:paraId="437D4EC3"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Embed fair recruitment practices at all levels across the ICB</w:t>
      </w:r>
    </w:p>
    <w:p w14:paraId="394358DF" w14:textId="77777777" w:rsidR="004A63A6" w:rsidRP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Deliver change and transition sessions with teams to support operational and personal resilience during change programme</w:t>
      </w:r>
    </w:p>
    <w:p w14:paraId="45A943E5" w14:textId="425EB662" w:rsidR="004A63A6" w:rsidRDefault="004A63A6" w:rsidP="004A63A6">
      <w:pPr>
        <w:pStyle w:val="ListParagraph"/>
        <w:numPr>
          <w:ilvl w:val="0"/>
          <w:numId w:val="4"/>
        </w:numPr>
        <w:spacing w:after="0" w:line="360" w:lineRule="auto"/>
        <w:rPr>
          <w:rFonts w:ascii="Arial" w:eastAsia="Arial" w:hAnsi="Arial" w:cs="Arial"/>
        </w:rPr>
      </w:pPr>
      <w:r w:rsidRPr="004A63A6">
        <w:rPr>
          <w:rFonts w:ascii="Arial" w:eastAsia="Arial" w:hAnsi="Arial" w:cs="Arial"/>
        </w:rPr>
        <w:t>Develop and implement a high performing team development programme for the newly established teams</w:t>
      </w:r>
    </w:p>
    <w:p w14:paraId="5BD67B3E" w14:textId="77777777" w:rsidR="009B2AD1" w:rsidRPr="009B2AD1" w:rsidRDefault="009B2AD1" w:rsidP="009B2AD1">
      <w:pPr>
        <w:pStyle w:val="ListParagraph"/>
        <w:spacing w:after="0" w:line="360" w:lineRule="auto"/>
        <w:rPr>
          <w:rFonts w:ascii="Arial" w:eastAsia="Arial" w:hAnsi="Arial" w:cs="Arial"/>
        </w:rPr>
      </w:pPr>
    </w:p>
    <w:p w14:paraId="099E80D6" w14:textId="77777777" w:rsidR="004A63A6" w:rsidRPr="004A63A6" w:rsidRDefault="004A63A6" w:rsidP="004A63A6">
      <w:pPr>
        <w:spacing w:line="360" w:lineRule="auto"/>
        <w:rPr>
          <w:rFonts w:ascii="Arial" w:hAnsi="Arial" w:cs="Arial"/>
        </w:rPr>
      </w:pPr>
      <w:r w:rsidRPr="004A63A6">
        <w:rPr>
          <w:rFonts w:ascii="Arial" w:hAnsi="Arial" w:cs="Arial"/>
        </w:rPr>
        <w:t>Due to the forthcoming change programme, a decision has been taken to pause the requirements of delivering the OD plan and focus on supporting staff throughout the change programme with regards to wellbeing, careers support and fair and inclusive processes. A workforce strategy will be developed at the appropriate time in the future.</w:t>
      </w:r>
    </w:p>
    <w:p w14:paraId="40924C12" w14:textId="77777777" w:rsidR="0014509C" w:rsidRPr="00E555A2" w:rsidRDefault="0014509C" w:rsidP="00E555A2">
      <w:pPr>
        <w:spacing w:line="360" w:lineRule="auto"/>
        <w:rPr>
          <w:rFonts w:ascii="Arial" w:eastAsia="Arial" w:hAnsi="Arial" w:cs="Arial"/>
        </w:rPr>
      </w:pPr>
    </w:p>
    <w:p w14:paraId="5E9AE1F1" w14:textId="77777777" w:rsidR="003B1260" w:rsidRDefault="003B1260">
      <w:pPr>
        <w:rPr>
          <w:rFonts w:ascii="Arial" w:hAnsi="Arial" w:cs="Arial"/>
          <w:b/>
          <w:bCs/>
          <w:sz w:val="24"/>
          <w:szCs w:val="24"/>
        </w:rPr>
      </w:pPr>
    </w:p>
    <w:p w14:paraId="7F6BD340" w14:textId="77777777" w:rsidR="007340DB" w:rsidRDefault="007340DB">
      <w:pPr>
        <w:rPr>
          <w:rFonts w:ascii="Arial" w:hAnsi="Arial" w:cs="Arial"/>
          <w:b/>
          <w:bCs/>
          <w:sz w:val="24"/>
          <w:szCs w:val="24"/>
        </w:rPr>
      </w:pPr>
    </w:p>
    <w:p w14:paraId="7CEEF556" w14:textId="77777777" w:rsidR="00146A5F" w:rsidRDefault="00146A5F">
      <w:pPr>
        <w:rPr>
          <w:rFonts w:ascii="Arial" w:hAnsi="Arial" w:cs="Arial"/>
          <w:b/>
          <w:bCs/>
          <w:sz w:val="24"/>
          <w:szCs w:val="24"/>
        </w:rPr>
      </w:pPr>
    </w:p>
    <w:p w14:paraId="7D6A46A4" w14:textId="77777777" w:rsidR="00146A5F" w:rsidRDefault="00146A5F">
      <w:pPr>
        <w:rPr>
          <w:rFonts w:ascii="Arial" w:hAnsi="Arial" w:cs="Arial"/>
          <w:b/>
          <w:bCs/>
          <w:sz w:val="24"/>
          <w:szCs w:val="24"/>
        </w:rPr>
        <w:sectPr w:rsidR="00146A5F" w:rsidSect="00E555A2">
          <w:headerReference w:type="default" r:id="rId8"/>
          <w:footerReference w:type="default" r:id="rId9"/>
          <w:pgSz w:w="11906" w:h="16838"/>
          <w:pgMar w:top="1440" w:right="1440" w:bottom="1440" w:left="1440" w:header="708" w:footer="708" w:gutter="0"/>
          <w:cols w:space="708"/>
          <w:docGrid w:linePitch="360"/>
        </w:sectPr>
      </w:pPr>
    </w:p>
    <w:p w14:paraId="0BA2F915" w14:textId="77777777" w:rsidR="007340DB" w:rsidRDefault="007340DB">
      <w:pPr>
        <w:rPr>
          <w:rFonts w:ascii="Arial" w:hAnsi="Arial" w:cs="Arial"/>
          <w:b/>
          <w:bCs/>
          <w:sz w:val="24"/>
          <w:szCs w:val="24"/>
        </w:rPr>
      </w:pPr>
    </w:p>
    <w:p w14:paraId="42E4C85B" w14:textId="0CFCF96E" w:rsidR="003B1260" w:rsidRPr="003B1260" w:rsidRDefault="003B1260">
      <w:pPr>
        <w:rPr>
          <w:rFonts w:ascii="Arial" w:hAnsi="Arial" w:cs="Arial"/>
          <w:b/>
          <w:bCs/>
          <w:sz w:val="28"/>
          <w:szCs w:val="28"/>
        </w:rPr>
      </w:pPr>
      <w:r w:rsidRPr="003B1260">
        <w:rPr>
          <w:rFonts w:ascii="Arial" w:hAnsi="Arial" w:cs="Arial"/>
          <w:b/>
          <w:bCs/>
          <w:sz w:val="28"/>
          <w:szCs w:val="28"/>
        </w:rPr>
        <w:t>Progress update against the 3-year Organisational Development P</w:t>
      </w:r>
      <w:r w:rsidR="007340DB">
        <w:rPr>
          <w:rFonts w:ascii="Arial" w:hAnsi="Arial" w:cs="Arial"/>
          <w:b/>
          <w:bCs/>
          <w:sz w:val="28"/>
          <w:szCs w:val="28"/>
        </w:rPr>
        <w:t>lan</w:t>
      </w:r>
    </w:p>
    <w:p w14:paraId="252137D4" w14:textId="77777777" w:rsidR="003B1260" w:rsidRPr="004F79BD" w:rsidRDefault="003B1260">
      <w:pPr>
        <w:rPr>
          <w:rFonts w:ascii="Arial" w:hAnsi="Arial" w:cs="Arial"/>
          <w:b/>
          <w:bCs/>
          <w:sz w:val="24"/>
          <w:szCs w:val="24"/>
        </w:rPr>
      </w:pPr>
    </w:p>
    <w:tbl>
      <w:tblPr>
        <w:tblW w:w="13760" w:type="dxa"/>
        <w:tblLook w:val="04A0" w:firstRow="1" w:lastRow="0" w:firstColumn="1" w:lastColumn="0" w:noHBand="0" w:noVBand="1"/>
      </w:tblPr>
      <w:tblGrid>
        <w:gridCol w:w="1860"/>
        <w:gridCol w:w="6305"/>
        <w:gridCol w:w="2240"/>
        <w:gridCol w:w="1867"/>
        <w:gridCol w:w="1488"/>
      </w:tblGrid>
      <w:tr w:rsidR="004F79BD" w:rsidRPr="004F79BD" w14:paraId="6610FB6B" w14:textId="77777777" w:rsidTr="004F79BD">
        <w:trPr>
          <w:trHeight w:val="890"/>
          <w:tblHeader/>
        </w:trPr>
        <w:tc>
          <w:tcPr>
            <w:tcW w:w="1876" w:type="dxa"/>
            <w:tcBorders>
              <w:top w:val="single" w:sz="4" w:space="0" w:color="auto"/>
              <w:left w:val="single" w:sz="4" w:space="0" w:color="auto"/>
              <w:bottom w:val="single" w:sz="4" w:space="0" w:color="auto"/>
              <w:right w:val="single" w:sz="4" w:space="0" w:color="auto"/>
            </w:tcBorders>
            <w:shd w:val="clear" w:color="auto" w:fill="0070C0"/>
            <w:vAlign w:val="center"/>
            <w:hideMark/>
          </w:tcPr>
          <w:p w14:paraId="25F4D583" w14:textId="77777777" w:rsidR="004F79BD" w:rsidRPr="004F79BD" w:rsidRDefault="004F79BD" w:rsidP="004F79BD">
            <w:pPr>
              <w:spacing w:after="0" w:line="240" w:lineRule="auto"/>
              <w:jc w:val="center"/>
              <w:rPr>
                <w:rFonts w:ascii="Arial" w:eastAsia="Times New Roman" w:hAnsi="Arial" w:cs="Arial"/>
                <w:b/>
                <w:bCs/>
                <w:color w:val="FFFFFF" w:themeColor="background1"/>
                <w:kern w:val="0"/>
                <w:sz w:val="20"/>
                <w:szCs w:val="20"/>
                <w:lang w:eastAsia="en-GB"/>
                <w14:ligatures w14:val="none"/>
              </w:rPr>
            </w:pPr>
            <w:r w:rsidRPr="004F79BD">
              <w:rPr>
                <w:rFonts w:ascii="Arial" w:eastAsia="Times New Roman" w:hAnsi="Arial" w:cs="Arial"/>
                <w:b/>
                <w:bCs/>
                <w:color w:val="FFFFFF" w:themeColor="background1"/>
                <w:kern w:val="0"/>
                <w:sz w:val="20"/>
                <w:szCs w:val="20"/>
                <w:lang w:eastAsia="en-GB"/>
                <w14:ligatures w14:val="none"/>
              </w:rPr>
              <w:t>Key Priority</w:t>
            </w:r>
          </w:p>
        </w:tc>
        <w:tc>
          <w:tcPr>
            <w:tcW w:w="6447" w:type="dxa"/>
            <w:tcBorders>
              <w:top w:val="single" w:sz="4" w:space="0" w:color="auto"/>
              <w:left w:val="nil"/>
              <w:bottom w:val="single" w:sz="4" w:space="0" w:color="auto"/>
              <w:right w:val="single" w:sz="4" w:space="0" w:color="auto"/>
            </w:tcBorders>
            <w:shd w:val="clear" w:color="auto" w:fill="0070C0"/>
            <w:vAlign w:val="center"/>
            <w:hideMark/>
          </w:tcPr>
          <w:p w14:paraId="3CAFCABF" w14:textId="77777777" w:rsidR="004F79BD" w:rsidRPr="004F79BD" w:rsidRDefault="004F79BD" w:rsidP="004F79BD">
            <w:pPr>
              <w:spacing w:after="0" w:line="240" w:lineRule="auto"/>
              <w:jc w:val="center"/>
              <w:rPr>
                <w:rFonts w:ascii="Arial" w:eastAsia="Times New Roman" w:hAnsi="Arial" w:cs="Arial"/>
                <w:b/>
                <w:bCs/>
                <w:color w:val="FFFFFF" w:themeColor="background1"/>
                <w:kern w:val="0"/>
                <w:sz w:val="20"/>
                <w:szCs w:val="20"/>
                <w:lang w:eastAsia="en-GB"/>
                <w14:ligatures w14:val="none"/>
              </w:rPr>
            </w:pPr>
            <w:r w:rsidRPr="004F79BD">
              <w:rPr>
                <w:rFonts w:ascii="Arial" w:eastAsia="Times New Roman" w:hAnsi="Arial" w:cs="Arial"/>
                <w:b/>
                <w:bCs/>
                <w:color w:val="FFFFFF" w:themeColor="background1"/>
                <w:kern w:val="0"/>
                <w:sz w:val="20"/>
                <w:szCs w:val="20"/>
                <w:lang w:eastAsia="en-GB"/>
                <w14:ligatures w14:val="none"/>
              </w:rPr>
              <w:t>Priority Actions</w:t>
            </w:r>
          </w:p>
        </w:tc>
        <w:tc>
          <w:tcPr>
            <w:tcW w:w="2054" w:type="dxa"/>
            <w:tcBorders>
              <w:top w:val="single" w:sz="4" w:space="0" w:color="auto"/>
              <w:left w:val="nil"/>
              <w:bottom w:val="single" w:sz="4" w:space="0" w:color="auto"/>
              <w:right w:val="single" w:sz="4" w:space="0" w:color="auto"/>
            </w:tcBorders>
            <w:shd w:val="clear" w:color="auto" w:fill="0070C0"/>
            <w:vAlign w:val="center"/>
            <w:hideMark/>
          </w:tcPr>
          <w:p w14:paraId="3F01D827" w14:textId="77777777" w:rsidR="004F79BD" w:rsidRPr="004F79BD" w:rsidRDefault="004F79BD" w:rsidP="004F79BD">
            <w:pPr>
              <w:spacing w:after="0" w:line="240" w:lineRule="auto"/>
              <w:jc w:val="center"/>
              <w:rPr>
                <w:rFonts w:ascii="Arial" w:eastAsia="Times New Roman" w:hAnsi="Arial" w:cs="Arial"/>
                <w:b/>
                <w:bCs/>
                <w:color w:val="FFFFFF" w:themeColor="background1"/>
                <w:kern w:val="0"/>
                <w:sz w:val="20"/>
                <w:szCs w:val="20"/>
                <w:lang w:eastAsia="en-GB"/>
                <w14:ligatures w14:val="none"/>
              </w:rPr>
            </w:pPr>
            <w:r w:rsidRPr="004F79BD">
              <w:rPr>
                <w:rFonts w:ascii="Arial" w:eastAsia="Times New Roman" w:hAnsi="Arial" w:cs="Arial"/>
                <w:b/>
                <w:bCs/>
                <w:color w:val="FFFFFF" w:themeColor="background1"/>
                <w:kern w:val="0"/>
                <w:sz w:val="20"/>
                <w:szCs w:val="20"/>
                <w:lang w:eastAsia="en-GB"/>
                <w14:ligatures w14:val="none"/>
              </w:rPr>
              <w:t>Lead</w:t>
            </w:r>
          </w:p>
        </w:tc>
        <w:tc>
          <w:tcPr>
            <w:tcW w:w="1881" w:type="dxa"/>
            <w:tcBorders>
              <w:top w:val="single" w:sz="4" w:space="0" w:color="auto"/>
              <w:left w:val="nil"/>
              <w:bottom w:val="single" w:sz="4" w:space="0" w:color="auto"/>
              <w:right w:val="single" w:sz="4" w:space="0" w:color="auto"/>
            </w:tcBorders>
            <w:shd w:val="clear" w:color="auto" w:fill="0070C0"/>
            <w:vAlign w:val="center"/>
            <w:hideMark/>
          </w:tcPr>
          <w:p w14:paraId="44CE370B" w14:textId="77777777" w:rsidR="004F79BD" w:rsidRPr="004F79BD" w:rsidRDefault="004F79BD" w:rsidP="004F79BD">
            <w:pPr>
              <w:spacing w:after="0" w:line="240" w:lineRule="auto"/>
              <w:jc w:val="center"/>
              <w:rPr>
                <w:rFonts w:ascii="Arial" w:eastAsia="Times New Roman" w:hAnsi="Arial" w:cs="Arial"/>
                <w:b/>
                <w:bCs/>
                <w:color w:val="FFFFFF" w:themeColor="background1"/>
                <w:kern w:val="0"/>
                <w:sz w:val="20"/>
                <w:szCs w:val="20"/>
                <w:lang w:eastAsia="en-GB"/>
                <w14:ligatures w14:val="none"/>
              </w:rPr>
            </w:pPr>
            <w:r w:rsidRPr="004F79BD">
              <w:rPr>
                <w:rFonts w:ascii="Arial" w:eastAsia="Times New Roman" w:hAnsi="Arial" w:cs="Arial"/>
                <w:b/>
                <w:bCs/>
                <w:color w:val="FFFFFF" w:themeColor="background1"/>
                <w:kern w:val="0"/>
                <w:sz w:val="20"/>
                <w:szCs w:val="20"/>
                <w:lang w:eastAsia="en-GB"/>
                <w14:ligatures w14:val="none"/>
              </w:rPr>
              <w:t>Actual/target completion date</w:t>
            </w:r>
          </w:p>
        </w:tc>
        <w:tc>
          <w:tcPr>
            <w:tcW w:w="1502" w:type="dxa"/>
            <w:tcBorders>
              <w:top w:val="single" w:sz="4" w:space="0" w:color="auto"/>
              <w:left w:val="nil"/>
              <w:bottom w:val="single" w:sz="4" w:space="0" w:color="auto"/>
              <w:right w:val="single" w:sz="4" w:space="0" w:color="auto"/>
            </w:tcBorders>
            <w:shd w:val="clear" w:color="auto" w:fill="0070C0"/>
            <w:vAlign w:val="center"/>
            <w:hideMark/>
          </w:tcPr>
          <w:p w14:paraId="362289E6" w14:textId="77777777" w:rsidR="004F79BD" w:rsidRPr="004F79BD" w:rsidRDefault="004F79BD" w:rsidP="004F79BD">
            <w:pPr>
              <w:spacing w:after="0" w:line="240" w:lineRule="auto"/>
              <w:jc w:val="center"/>
              <w:rPr>
                <w:rFonts w:ascii="Arial" w:eastAsia="Times New Roman" w:hAnsi="Arial" w:cs="Arial"/>
                <w:b/>
                <w:bCs/>
                <w:color w:val="FFFFFF" w:themeColor="background1"/>
                <w:kern w:val="0"/>
                <w:sz w:val="20"/>
                <w:szCs w:val="20"/>
                <w:lang w:eastAsia="en-GB"/>
                <w14:ligatures w14:val="none"/>
              </w:rPr>
            </w:pPr>
            <w:r w:rsidRPr="004F79BD">
              <w:rPr>
                <w:rFonts w:ascii="Arial" w:eastAsia="Times New Roman" w:hAnsi="Arial" w:cs="Arial"/>
                <w:b/>
                <w:bCs/>
                <w:color w:val="FFFFFF" w:themeColor="background1"/>
                <w:kern w:val="0"/>
                <w:sz w:val="20"/>
                <w:szCs w:val="20"/>
                <w:lang w:eastAsia="en-GB"/>
                <w14:ligatures w14:val="none"/>
              </w:rPr>
              <w:t>RAG rating</w:t>
            </w:r>
          </w:p>
        </w:tc>
      </w:tr>
      <w:tr w:rsidR="004F79BD" w:rsidRPr="004F79BD" w14:paraId="0EFB10A8"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348A20E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Vision and Values</w:t>
            </w:r>
          </w:p>
        </w:tc>
        <w:tc>
          <w:tcPr>
            <w:tcW w:w="6447" w:type="dxa"/>
            <w:tcBorders>
              <w:top w:val="nil"/>
              <w:left w:val="nil"/>
              <w:bottom w:val="single" w:sz="4" w:space="0" w:color="auto"/>
              <w:right w:val="single" w:sz="4" w:space="0" w:color="auto"/>
            </w:tcBorders>
            <w:shd w:val="clear" w:color="auto" w:fill="auto"/>
            <w:vAlign w:val="center"/>
            <w:hideMark/>
          </w:tcPr>
          <w:p w14:paraId="321DCA89"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Co-create a vision and values and behaviours framework, embedding our values and expected behaviours into all that we do</w:t>
            </w:r>
          </w:p>
        </w:tc>
        <w:tc>
          <w:tcPr>
            <w:tcW w:w="2054" w:type="dxa"/>
            <w:tcBorders>
              <w:top w:val="nil"/>
              <w:left w:val="nil"/>
              <w:bottom w:val="single" w:sz="4" w:space="0" w:color="auto"/>
              <w:right w:val="single" w:sz="4" w:space="0" w:color="auto"/>
            </w:tcBorders>
            <w:shd w:val="clear" w:color="auto" w:fill="auto"/>
            <w:vAlign w:val="center"/>
            <w:hideMark/>
          </w:tcPr>
          <w:p w14:paraId="3BEFCA9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793B5D5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7577C63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6C728346"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50BAC23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Vision and Values</w:t>
            </w:r>
          </w:p>
        </w:tc>
        <w:tc>
          <w:tcPr>
            <w:tcW w:w="6447" w:type="dxa"/>
            <w:tcBorders>
              <w:top w:val="nil"/>
              <w:left w:val="nil"/>
              <w:bottom w:val="single" w:sz="4" w:space="0" w:color="auto"/>
              <w:right w:val="single" w:sz="4" w:space="0" w:color="auto"/>
            </w:tcBorders>
            <w:shd w:val="clear" w:color="auto" w:fill="auto"/>
            <w:vAlign w:val="center"/>
            <w:hideMark/>
          </w:tcPr>
          <w:p w14:paraId="27B89E6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Establish a staff engagement and communication programme including regular pulse checks</w:t>
            </w:r>
          </w:p>
        </w:tc>
        <w:tc>
          <w:tcPr>
            <w:tcW w:w="2054" w:type="dxa"/>
            <w:tcBorders>
              <w:top w:val="nil"/>
              <w:left w:val="nil"/>
              <w:bottom w:val="single" w:sz="4" w:space="0" w:color="auto"/>
              <w:right w:val="single" w:sz="4" w:space="0" w:color="auto"/>
            </w:tcBorders>
            <w:shd w:val="clear" w:color="auto" w:fill="auto"/>
            <w:vAlign w:val="center"/>
            <w:hideMark/>
          </w:tcPr>
          <w:p w14:paraId="70A0BB2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61382DF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434941E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389E1564"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0023096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Vision and Values</w:t>
            </w:r>
          </w:p>
        </w:tc>
        <w:tc>
          <w:tcPr>
            <w:tcW w:w="6447" w:type="dxa"/>
            <w:tcBorders>
              <w:top w:val="nil"/>
              <w:left w:val="nil"/>
              <w:bottom w:val="single" w:sz="4" w:space="0" w:color="auto"/>
              <w:right w:val="single" w:sz="4" w:space="0" w:color="auto"/>
            </w:tcBorders>
            <w:shd w:val="clear" w:color="auto" w:fill="auto"/>
            <w:vAlign w:val="center"/>
            <w:hideMark/>
          </w:tcPr>
          <w:p w14:paraId="5B2C2FF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Review and develop on-boarding and induction to reflect vision, values, structures and operating model for existing staff and managers following the redesign and for all new staff and managers</w:t>
            </w:r>
          </w:p>
        </w:tc>
        <w:tc>
          <w:tcPr>
            <w:tcW w:w="2054" w:type="dxa"/>
            <w:tcBorders>
              <w:top w:val="nil"/>
              <w:left w:val="nil"/>
              <w:bottom w:val="single" w:sz="4" w:space="0" w:color="auto"/>
              <w:right w:val="single" w:sz="4" w:space="0" w:color="auto"/>
            </w:tcBorders>
            <w:shd w:val="clear" w:color="auto" w:fill="auto"/>
            <w:vAlign w:val="center"/>
            <w:hideMark/>
          </w:tcPr>
          <w:p w14:paraId="493A2E5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5810ACA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w:t>
            </w:r>
          </w:p>
        </w:tc>
        <w:tc>
          <w:tcPr>
            <w:tcW w:w="1502" w:type="dxa"/>
            <w:tcBorders>
              <w:top w:val="nil"/>
              <w:left w:val="nil"/>
              <w:bottom w:val="single" w:sz="4" w:space="0" w:color="auto"/>
              <w:right w:val="single" w:sz="4" w:space="0" w:color="auto"/>
            </w:tcBorders>
            <w:shd w:val="clear" w:color="000000" w:fill="CDFFCD"/>
            <w:vAlign w:val="center"/>
            <w:hideMark/>
          </w:tcPr>
          <w:p w14:paraId="12BB5AF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32081525"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23A77EB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Vision and Values</w:t>
            </w:r>
          </w:p>
        </w:tc>
        <w:tc>
          <w:tcPr>
            <w:tcW w:w="6447" w:type="dxa"/>
            <w:tcBorders>
              <w:top w:val="nil"/>
              <w:left w:val="nil"/>
              <w:bottom w:val="single" w:sz="4" w:space="0" w:color="auto"/>
              <w:right w:val="single" w:sz="4" w:space="0" w:color="auto"/>
            </w:tcBorders>
            <w:shd w:val="clear" w:color="auto" w:fill="auto"/>
            <w:vAlign w:val="center"/>
            <w:hideMark/>
          </w:tcPr>
          <w:p w14:paraId="6BB5D13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Improve visibility of senior leadership across sites with staff at all levels of the organisation</w:t>
            </w:r>
          </w:p>
        </w:tc>
        <w:tc>
          <w:tcPr>
            <w:tcW w:w="2054" w:type="dxa"/>
            <w:tcBorders>
              <w:top w:val="nil"/>
              <w:left w:val="nil"/>
              <w:bottom w:val="single" w:sz="4" w:space="0" w:color="auto"/>
              <w:right w:val="single" w:sz="4" w:space="0" w:color="auto"/>
            </w:tcBorders>
            <w:shd w:val="clear" w:color="auto" w:fill="auto"/>
            <w:vAlign w:val="center"/>
            <w:hideMark/>
          </w:tcPr>
          <w:p w14:paraId="3928A39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w:t>
            </w:r>
          </w:p>
        </w:tc>
        <w:tc>
          <w:tcPr>
            <w:tcW w:w="1881" w:type="dxa"/>
            <w:tcBorders>
              <w:top w:val="nil"/>
              <w:left w:val="nil"/>
              <w:bottom w:val="single" w:sz="4" w:space="0" w:color="auto"/>
              <w:right w:val="single" w:sz="4" w:space="0" w:color="auto"/>
            </w:tcBorders>
            <w:shd w:val="clear" w:color="auto" w:fill="auto"/>
            <w:vAlign w:val="center"/>
            <w:hideMark/>
          </w:tcPr>
          <w:p w14:paraId="6718CC1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w:t>
            </w:r>
          </w:p>
        </w:tc>
        <w:tc>
          <w:tcPr>
            <w:tcW w:w="1502" w:type="dxa"/>
            <w:tcBorders>
              <w:top w:val="nil"/>
              <w:left w:val="nil"/>
              <w:bottom w:val="single" w:sz="4" w:space="0" w:color="auto"/>
              <w:right w:val="single" w:sz="4" w:space="0" w:color="auto"/>
            </w:tcBorders>
            <w:shd w:val="clear" w:color="000000" w:fill="CDFFCD"/>
            <w:vAlign w:val="center"/>
            <w:hideMark/>
          </w:tcPr>
          <w:p w14:paraId="3D599DD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Ongoing</w:t>
            </w:r>
          </w:p>
        </w:tc>
      </w:tr>
      <w:tr w:rsidR="004F79BD" w:rsidRPr="004F79BD" w14:paraId="7270BE26"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7B200B7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176420E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Create a high-quality performance management and appraisal process aligned to the values and behaviours framework, which embeds the ICB vision and priorities</w:t>
            </w:r>
          </w:p>
        </w:tc>
        <w:tc>
          <w:tcPr>
            <w:tcW w:w="2054" w:type="dxa"/>
            <w:tcBorders>
              <w:top w:val="nil"/>
              <w:left w:val="nil"/>
              <w:bottom w:val="single" w:sz="4" w:space="0" w:color="auto"/>
              <w:right w:val="single" w:sz="4" w:space="0" w:color="auto"/>
            </w:tcBorders>
            <w:shd w:val="clear" w:color="auto" w:fill="auto"/>
            <w:vAlign w:val="center"/>
            <w:hideMark/>
          </w:tcPr>
          <w:p w14:paraId="774F2DE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Service/Team</w:t>
            </w:r>
          </w:p>
        </w:tc>
        <w:tc>
          <w:tcPr>
            <w:tcW w:w="1881" w:type="dxa"/>
            <w:tcBorders>
              <w:top w:val="nil"/>
              <w:left w:val="nil"/>
              <w:bottom w:val="single" w:sz="4" w:space="0" w:color="auto"/>
              <w:right w:val="single" w:sz="4" w:space="0" w:color="auto"/>
            </w:tcBorders>
            <w:shd w:val="clear" w:color="auto" w:fill="auto"/>
            <w:vAlign w:val="center"/>
            <w:hideMark/>
          </w:tcPr>
          <w:p w14:paraId="33A218D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6CA0DDF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125F4228"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A3B9B3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0BBF282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Design and embed a leadership competency and behaviours framework and assessment process aligned to the NHS Leadership compact, NCL ICB Values and Behaviours Framework and system programmes </w:t>
            </w:r>
          </w:p>
        </w:tc>
        <w:tc>
          <w:tcPr>
            <w:tcW w:w="2054" w:type="dxa"/>
            <w:tcBorders>
              <w:top w:val="nil"/>
              <w:left w:val="nil"/>
              <w:bottom w:val="single" w:sz="4" w:space="0" w:color="auto"/>
              <w:right w:val="single" w:sz="4" w:space="0" w:color="auto"/>
            </w:tcBorders>
            <w:shd w:val="clear" w:color="auto" w:fill="auto"/>
            <w:vAlign w:val="center"/>
            <w:hideMark/>
          </w:tcPr>
          <w:p w14:paraId="3F738A4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4E8D7FA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256798D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28CE2105"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B79A809"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lastRenderedPageBreak/>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3530414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Design a process to ensure all job descriptions reflect the vision, values and operating model</w:t>
            </w:r>
          </w:p>
        </w:tc>
        <w:tc>
          <w:tcPr>
            <w:tcW w:w="2054" w:type="dxa"/>
            <w:tcBorders>
              <w:top w:val="nil"/>
              <w:left w:val="nil"/>
              <w:bottom w:val="single" w:sz="4" w:space="0" w:color="auto"/>
              <w:right w:val="single" w:sz="4" w:space="0" w:color="auto"/>
            </w:tcBorders>
            <w:shd w:val="clear" w:color="auto" w:fill="auto"/>
            <w:vAlign w:val="center"/>
            <w:hideMark/>
          </w:tcPr>
          <w:p w14:paraId="1744285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w:t>
            </w:r>
          </w:p>
        </w:tc>
        <w:tc>
          <w:tcPr>
            <w:tcW w:w="1881" w:type="dxa"/>
            <w:tcBorders>
              <w:top w:val="nil"/>
              <w:left w:val="nil"/>
              <w:bottom w:val="single" w:sz="4" w:space="0" w:color="auto"/>
              <w:right w:val="single" w:sz="4" w:space="0" w:color="auto"/>
            </w:tcBorders>
            <w:shd w:val="clear" w:color="auto" w:fill="auto"/>
            <w:vAlign w:val="center"/>
            <w:hideMark/>
          </w:tcPr>
          <w:p w14:paraId="2CCB6CC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w:t>
            </w:r>
          </w:p>
        </w:tc>
        <w:tc>
          <w:tcPr>
            <w:tcW w:w="1502" w:type="dxa"/>
            <w:tcBorders>
              <w:top w:val="nil"/>
              <w:left w:val="nil"/>
              <w:bottom w:val="single" w:sz="4" w:space="0" w:color="auto"/>
              <w:right w:val="single" w:sz="4" w:space="0" w:color="auto"/>
            </w:tcBorders>
            <w:shd w:val="clear" w:color="000000" w:fill="CDFFCD"/>
            <w:vAlign w:val="center"/>
            <w:hideMark/>
          </w:tcPr>
          <w:p w14:paraId="13185DA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44756C4D"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06D583A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48275D8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Regularly review and report on ER cases, including timeliness, variation and disparity; ensuring regular reviews/audits are completed and embed learning</w:t>
            </w:r>
          </w:p>
        </w:tc>
        <w:tc>
          <w:tcPr>
            <w:tcW w:w="2054" w:type="dxa"/>
            <w:tcBorders>
              <w:top w:val="nil"/>
              <w:left w:val="nil"/>
              <w:bottom w:val="single" w:sz="4" w:space="0" w:color="auto"/>
              <w:right w:val="single" w:sz="4" w:space="0" w:color="auto"/>
            </w:tcBorders>
            <w:shd w:val="clear" w:color="auto" w:fill="auto"/>
            <w:vAlign w:val="center"/>
            <w:hideMark/>
          </w:tcPr>
          <w:p w14:paraId="293CCE8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 and Directorate</w:t>
            </w:r>
          </w:p>
        </w:tc>
        <w:tc>
          <w:tcPr>
            <w:tcW w:w="1881" w:type="dxa"/>
            <w:tcBorders>
              <w:top w:val="nil"/>
              <w:left w:val="nil"/>
              <w:bottom w:val="single" w:sz="4" w:space="0" w:color="auto"/>
              <w:right w:val="single" w:sz="4" w:space="0" w:color="auto"/>
            </w:tcBorders>
            <w:shd w:val="clear" w:color="auto" w:fill="auto"/>
            <w:vAlign w:val="center"/>
            <w:hideMark/>
          </w:tcPr>
          <w:p w14:paraId="1CCCD96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1/2</w:t>
            </w:r>
          </w:p>
        </w:tc>
        <w:tc>
          <w:tcPr>
            <w:tcW w:w="1502" w:type="dxa"/>
            <w:tcBorders>
              <w:top w:val="nil"/>
              <w:left w:val="nil"/>
              <w:bottom w:val="single" w:sz="4" w:space="0" w:color="auto"/>
              <w:right w:val="single" w:sz="4" w:space="0" w:color="auto"/>
            </w:tcBorders>
            <w:shd w:val="clear" w:color="000000" w:fill="CDFFCD"/>
            <w:vAlign w:val="center"/>
            <w:hideMark/>
          </w:tcPr>
          <w:p w14:paraId="79BC362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0A17630D"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7C8976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1565CEB9" w14:textId="69A6D0FB"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Design and deliver staff recognition and </w:t>
            </w:r>
            <w:r w:rsidR="00A566FA" w:rsidRPr="004F79BD">
              <w:rPr>
                <w:rFonts w:ascii="Arial" w:eastAsia="Times New Roman" w:hAnsi="Arial" w:cs="Arial"/>
                <w:color w:val="000000"/>
                <w:kern w:val="0"/>
                <w:sz w:val="20"/>
                <w:szCs w:val="20"/>
                <w:lang w:eastAsia="en-GB"/>
                <w14:ligatures w14:val="none"/>
              </w:rPr>
              <w:t>celebration</w:t>
            </w:r>
            <w:r w:rsidRPr="004F79BD">
              <w:rPr>
                <w:rFonts w:ascii="Arial" w:eastAsia="Times New Roman" w:hAnsi="Arial" w:cs="Arial"/>
                <w:color w:val="000000"/>
                <w:kern w:val="0"/>
                <w:sz w:val="20"/>
                <w:szCs w:val="20"/>
                <w:lang w:eastAsia="en-GB"/>
                <w14:ligatures w14:val="none"/>
              </w:rPr>
              <w:t xml:space="preserve"> programme celebrating and </w:t>
            </w:r>
            <w:r w:rsidR="00A566FA" w:rsidRPr="004F79BD">
              <w:rPr>
                <w:rFonts w:ascii="Arial" w:eastAsia="Times New Roman" w:hAnsi="Arial" w:cs="Arial"/>
                <w:color w:val="000000"/>
                <w:kern w:val="0"/>
                <w:sz w:val="20"/>
                <w:szCs w:val="20"/>
                <w:lang w:eastAsia="en-GB"/>
                <w14:ligatures w14:val="none"/>
              </w:rPr>
              <w:t>sharing</w:t>
            </w:r>
            <w:r w:rsidRPr="004F79BD">
              <w:rPr>
                <w:rFonts w:ascii="Arial" w:eastAsia="Times New Roman" w:hAnsi="Arial" w:cs="Arial"/>
                <w:color w:val="000000"/>
                <w:kern w:val="0"/>
                <w:sz w:val="20"/>
                <w:szCs w:val="20"/>
                <w:lang w:eastAsia="en-GB"/>
                <w14:ligatures w14:val="none"/>
              </w:rPr>
              <w:t xml:space="preserve"> success</w:t>
            </w:r>
          </w:p>
        </w:tc>
        <w:tc>
          <w:tcPr>
            <w:tcW w:w="2054" w:type="dxa"/>
            <w:tcBorders>
              <w:top w:val="nil"/>
              <w:left w:val="nil"/>
              <w:bottom w:val="single" w:sz="4" w:space="0" w:color="auto"/>
              <w:right w:val="single" w:sz="4" w:space="0" w:color="auto"/>
            </w:tcBorders>
            <w:shd w:val="clear" w:color="auto" w:fill="auto"/>
            <w:vAlign w:val="center"/>
            <w:hideMark/>
          </w:tcPr>
          <w:p w14:paraId="7DB8436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20FFC3F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A48F"/>
            <w:vAlign w:val="center"/>
            <w:hideMark/>
          </w:tcPr>
          <w:p w14:paraId="0F0D3E3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3709C8E1"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3E3F924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27DAD21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Establish and embed a talent management approach and practice</w:t>
            </w:r>
          </w:p>
        </w:tc>
        <w:tc>
          <w:tcPr>
            <w:tcW w:w="2054" w:type="dxa"/>
            <w:tcBorders>
              <w:top w:val="nil"/>
              <w:left w:val="nil"/>
              <w:bottom w:val="single" w:sz="4" w:space="0" w:color="auto"/>
              <w:right w:val="single" w:sz="4" w:space="0" w:color="auto"/>
            </w:tcBorders>
            <w:shd w:val="clear" w:color="auto" w:fill="auto"/>
            <w:vAlign w:val="center"/>
            <w:hideMark/>
          </w:tcPr>
          <w:p w14:paraId="10BA3CE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53BE67F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4AA8567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669D4466"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0D6C3BA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Goals and Performance</w:t>
            </w:r>
          </w:p>
        </w:tc>
        <w:tc>
          <w:tcPr>
            <w:tcW w:w="6447" w:type="dxa"/>
            <w:tcBorders>
              <w:top w:val="nil"/>
              <w:left w:val="nil"/>
              <w:bottom w:val="single" w:sz="4" w:space="0" w:color="auto"/>
              <w:right w:val="single" w:sz="4" w:space="0" w:color="auto"/>
            </w:tcBorders>
            <w:shd w:val="clear" w:color="auto" w:fill="auto"/>
            <w:vAlign w:val="center"/>
            <w:hideMark/>
          </w:tcPr>
          <w:p w14:paraId="0C3A30D2" w14:textId="5362C610" w:rsidR="004F79BD" w:rsidRPr="004F79BD" w:rsidRDefault="00A566FA"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Establish</w:t>
            </w:r>
            <w:r w:rsidR="004F79BD" w:rsidRPr="004F79BD">
              <w:rPr>
                <w:rFonts w:ascii="Arial" w:eastAsia="Times New Roman" w:hAnsi="Arial" w:cs="Arial"/>
                <w:color w:val="000000"/>
                <w:kern w:val="0"/>
                <w:sz w:val="20"/>
                <w:szCs w:val="20"/>
                <w:lang w:eastAsia="en-GB"/>
                <w14:ligatures w14:val="none"/>
              </w:rPr>
              <w:t xml:space="preserve"> a systematic succession planning process for business-critical roles</w:t>
            </w:r>
          </w:p>
        </w:tc>
        <w:tc>
          <w:tcPr>
            <w:tcW w:w="2054" w:type="dxa"/>
            <w:tcBorders>
              <w:top w:val="nil"/>
              <w:left w:val="nil"/>
              <w:bottom w:val="single" w:sz="4" w:space="0" w:color="auto"/>
              <w:right w:val="single" w:sz="4" w:space="0" w:color="auto"/>
            </w:tcBorders>
            <w:shd w:val="clear" w:color="auto" w:fill="auto"/>
            <w:vAlign w:val="center"/>
            <w:hideMark/>
          </w:tcPr>
          <w:p w14:paraId="2F6F9B0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679AC12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36F16AD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5DEFC6A0"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3A55EC0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0D4C7C6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Continue to invest in tailored leadership and management development that embeds our vision, values and leadership competencies - create a menu of interventions and offers including access to coaching and mentoring</w:t>
            </w:r>
          </w:p>
        </w:tc>
        <w:tc>
          <w:tcPr>
            <w:tcW w:w="2054" w:type="dxa"/>
            <w:tcBorders>
              <w:top w:val="nil"/>
              <w:left w:val="nil"/>
              <w:bottom w:val="single" w:sz="4" w:space="0" w:color="auto"/>
              <w:right w:val="single" w:sz="4" w:space="0" w:color="auto"/>
            </w:tcBorders>
            <w:shd w:val="clear" w:color="auto" w:fill="auto"/>
            <w:vAlign w:val="center"/>
            <w:hideMark/>
          </w:tcPr>
          <w:p w14:paraId="4A4CFCD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068CAF4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5E2C20B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52FA0ECF"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52A3C02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6F0FF58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Upskill managers with HR and finance information, policies, procedures, and good practice in line with new structures and operating model</w:t>
            </w:r>
          </w:p>
        </w:tc>
        <w:tc>
          <w:tcPr>
            <w:tcW w:w="2054" w:type="dxa"/>
            <w:tcBorders>
              <w:top w:val="nil"/>
              <w:left w:val="nil"/>
              <w:bottom w:val="single" w:sz="4" w:space="0" w:color="auto"/>
              <w:right w:val="single" w:sz="4" w:space="0" w:color="auto"/>
            </w:tcBorders>
            <w:shd w:val="clear" w:color="auto" w:fill="auto"/>
            <w:vAlign w:val="center"/>
            <w:hideMark/>
          </w:tcPr>
          <w:p w14:paraId="524A456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w:t>
            </w:r>
          </w:p>
        </w:tc>
        <w:tc>
          <w:tcPr>
            <w:tcW w:w="1881" w:type="dxa"/>
            <w:tcBorders>
              <w:top w:val="nil"/>
              <w:left w:val="nil"/>
              <w:bottom w:val="single" w:sz="4" w:space="0" w:color="auto"/>
              <w:right w:val="single" w:sz="4" w:space="0" w:color="auto"/>
            </w:tcBorders>
            <w:shd w:val="clear" w:color="auto" w:fill="auto"/>
            <w:vAlign w:val="center"/>
            <w:hideMark/>
          </w:tcPr>
          <w:p w14:paraId="065678A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3E5EB95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07C1073D"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5E16F5D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31E2F0E2" w14:textId="41543973"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Develop tailored talent development plans and learning and development offer </w:t>
            </w:r>
            <w:r w:rsidR="00A566FA" w:rsidRPr="004F79BD">
              <w:rPr>
                <w:rFonts w:ascii="Arial" w:eastAsia="Times New Roman" w:hAnsi="Arial" w:cs="Arial"/>
                <w:color w:val="000000"/>
                <w:kern w:val="0"/>
                <w:sz w:val="20"/>
                <w:szCs w:val="20"/>
                <w:lang w:eastAsia="en-GB"/>
                <w14:ligatures w14:val="none"/>
              </w:rPr>
              <w:t>those values</w:t>
            </w:r>
            <w:r w:rsidRPr="004F79BD">
              <w:rPr>
                <w:rFonts w:ascii="Arial" w:eastAsia="Times New Roman" w:hAnsi="Arial" w:cs="Arial"/>
                <w:color w:val="000000"/>
                <w:kern w:val="0"/>
                <w:sz w:val="20"/>
                <w:szCs w:val="20"/>
                <w:lang w:eastAsia="en-GB"/>
                <w14:ligatures w14:val="none"/>
              </w:rPr>
              <w:t xml:space="preserve"> and supports our staff through the transition and includes those training requirements outlined in the ICB training needs analysis</w:t>
            </w:r>
          </w:p>
        </w:tc>
        <w:tc>
          <w:tcPr>
            <w:tcW w:w="2054" w:type="dxa"/>
            <w:tcBorders>
              <w:top w:val="nil"/>
              <w:left w:val="nil"/>
              <w:bottom w:val="single" w:sz="4" w:space="0" w:color="auto"/>
              <w:right w:val="single" w:sz="4" w:space="0" w:color="auto"/>
            </w:tcBorders>
            <w:shd w:val="clear" w:color="auto" w:fill="auto"/>
            <w:vAlign w:val="center"/>
            <w:hideMark/>
          </w:tcPr>
          <w:p w14:paraId="6A3FE08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2F95470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0CD2A2E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3A4F6154"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33F57E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lastRenderedPageBreak/>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001CCB6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Design and deliver leading change programme to support managers and staff through change, transition and integration</w:t>
            </w:r>
          </w:p>
        </w:tc>
        <w:tc>
          <w:tcPr>
            <w:tcW w:w="2054" w:type="dxa"/>
            <w:tcBorders>
              <w:top w:val="nil"/>
              <w:left w:val="nil"/>
              <w:bottom w:val="single" w:sz="4" w:space="0" w:color="auto"/>
              <w:right w:val="single" w:sz="4" w:space="0" w:color="auto"/>
            </w:tcBorders>
            <w:shd w:val="clear" w:color="auto" w:fill="auto"/>
            <w:vAlign w:val="center"/>
            <w:hideMark/>
          </w:tcPr>
          <w:p w14:paraId="6BB32F7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5431B3C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1/2</w:t>
            </w:r>
          </w:p>
        </w:tc>
        <w:tc>
          <w:tcPr>
            <w:tcW w:w="1502" w:type="dxa"/>
            <w:tcBorders>
              <w:top w:val="nil"/>
              <w:left w:val="nil"/>
              <w:bottom w:val="single" w:sz="4" w:space="0" w:color="auto"/>
              <w:right w:val="single" w:sz="4" w:space="0" w:color="auto"/>
            </w:tcBorders>
            <w:shd w:val="clear" w:color="000000" w:fill="CDFFCD"/>
            <w:vAlign w:val="center"/>
            <w:hideMark/>
          </w:tcPr>
          <w:p w14:paraId="11CB2B7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32787976"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25598F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78DA70E7" w14:textId="29C7F3BA"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Develop and embed </w:t>
            </w:r>
            <w:r w:rsidR="00A566FA" w:rsidRPr="004F79BD">
              <w:rPr>
                <w:rFonts w:ascii="Arial" w:eastAsia="Times New Roman" w:hAnsi="Arial" w:cs="Arial"/>
                <w:color w:val="000000"/>
                <w:kern w:val="0"/>
                <w:sz w:val="20"/>
                <w:szCs w:val="20"/>
                <w:lang w:eastAsia="en-GB"/>
                <w14:ligatures w14:val="none"/>
              </w:rPr>
              <w:t>innovation</w:t>
            </w:r>
            <w:r w:rsidRPr="004F79BD">
              <w:rPr>
                <w:rFonts w:ascii="Arial" w:eastAsia="Times New Roman" w:hAnsi="Arial" w:cs="Arial"/>
                <w:color w:val="000000"/>
                <w:kern w:val="0"/>
                <w:sz w:val="20"/>
                <w:szCs w:val="20"/>
                <w:lang w:eastAsia="en-GB"/>
                <w14:ligatures w14:val="none"/>
              </w:rPr>
              <w:t xml:space="preserve"> and continuous improvement tools and skills training</w:t>
            </w:r>
          </w:p>
        </w:tc>
        <w:tc>
          <w:tcPr>
            <w:tcW w:w="2054" w:type="dxa"/>
            <w:tcBorders>
              <w:top w:val="nil"/>
              <w:left w:val="nil"/>
              <w:bottom w:val="single" w:sz="4" w:space="0" w:color="auto"/>
              <w:right w:val="single" w:sz="4" w:space="0" w:color="auto"/>
            </w:tcBorders>
            <w:shd w:val="clear" w:color="auto" w:fill="auto"/>
            <w:vAlign w:val="center"/>
            <w:hideMark/>
          </w:tcPr>
          <w:p w14:paraId="6F2A560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46347F4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67047E9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2A2D1EEE"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52D8763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553BE75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Review mandatory training requirements and reporting, monitoring processes following restructure</w:t>
            </w:r>
          </w:p>
        </w:tc>
        <w:tc>
          <w:tcPr>
            <w:tcW w:w="2054" w:type="dxa"/>
            <w:tcBorders>
              <w:top w:val="nil"/>
              <w:left w:val="nil"/>
              <w:bottom w:val="single" w:sz="4" w:space="0" w:color="auto"/>
              <w:right w:val="single" w:sz="4" w:space="0" w:color="auto"/>
            </w:tcBorders>
            <w:shd w:val="clear" w:color="auto" w:fill="auto"/>
            <w:vAlign w:val="center"/>
            <w:hideMark/>
          </w:tcPr>
          <w:p w14:paraId="762783E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 and Directorates</w:t>
            </w:r>
          </w:p>
        </w:tc>
        <w:tc>
          <w:tcPr>
            <w:tcW w:w="1881" w:type="dxa"/>
            <w:tcBorders>
              <w:top w:val="nil"/>
              <w:left w:val="nil"/>
              <w:bottom w:val="single" w:sz="4" w:space="0" w:color="auto"/>
              <w:right w:val="single" w:sz="4" w:space="0" w:color="auto"/>
            </w:tcBorders>
            <w:shd w:val="clear" w:color="auto" w:fill="auto"/>
            <w:vAlign w:val="center"/>
            <w:hideMark/>
          </w:tcPr>
          <w:p w14:paraId="64FCC3D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w:t>
            </w:r>
          </w:p>
        </w:tc>
        <w:tc>
          <w:tcPr>
            <w:tcW w:w="1502" w:type="dxa"/>
            <w:tcBorders>
              <w:top w:val="nil"/>
              <w:left w:val="nil"/>
              <w:bottom w:val="single" w:sz="4" w:space="0" w:color="auto"/>
              <w:right w:val="single" w:sz="4" w:space="0" w:color="auto"/>
            </w:tcBorders>
            <w:shd w:val="clear" w:color="000000" w:fill="CDFFCD"/>
            <w:vAlign w:val="center"/>
            <w:hideMark/>
          </w:tcPr>
          <w:p w14:paraId="4FF2A19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2FD1C3AD"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20084F7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Learning and Innovation</w:t>
            </w:r>
          </w:p>
        </w:tc>
        <w:tc>
          <w:tcPr>
            <w:tcW w:w="6447" w:type="dxa"/>
            <w:tcBorders>
              <w:top w:val="nil"/>
              <w:left w:val="nil"/>
              <w:bottom w:val="single" w:sz="4" w:space="0" w:color="auto"/>
              <w:right w:val="single" w:sz="4" w:space="0" w:color="auto"/>
            </w:tcBorders>
            <w:shd w:val="clear" w:color="auto" w:fill="auto"/>
            <w:vAlign w:val="center"/>
            <w:hideMark/>
          </w:tcPr>
          <w:p w14:paraId="79DDCBF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staff to embrace digital and system change and transformation by designing and delivering training programmes that upskill staff in being able to maximise the benefits of new systems and processes</w:t>
            </w:r>
          </w:p>
        </w:tc>
        <w:tc>
          <w:tcPr>
            <w:tcW w:w="2054" w:type="dxa"/>
            <w:tcBorders>
              <w:top w:val="nil"/>
              <w:left w:val="nil"/>
              <w:bottom w:val="single" w:sz="4" w:space="0" w:color="auto"/>
              <w:right w:val="single" w:sz="4" w:space="0" w:color="auto"/>
            </w:tcBorders>
            <w:shd w:val="clear" w:color="auto" w:fill="auto"/>
            <w:vAlign w:val="center"/>
            <w:hideMark/>
          </w:tcPr>
          <w:p w14:paraId="4CE5C779"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 Service and team</w:t>
            </w:r>
          </w:p>
        </w:tc>
        <w:tc>
          <w:tcPr>
            <w:tcW w:w="1881" w:type="dxa"/>
            <w:tcBorders>
              <w:top w:val="nil"/>
              <w:left w:val="nil"/>
              <w:bottom w:val="single" w:sz="4" w:space="0" w:color="auto"/>
              <w:right w:val="single" w:sz="4" w:space="0" w:color="auto"/>
            </w:tcBorders>
            <w:shd w:val="clear" w:color="auto" w:fill="auto"/>
            <w:vAlign w:val="center"/>
            <w:hideMark/>
          </w:tcPr>
          <w:p w14:paraId="26224E9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0D2DC45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0BFEC5B3"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D4C92AD" w14:textId="32B0498C"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1DA3AD9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Introduce a just and restorative culture principles and approach to employee relations, incidents and complaints</w:t>
            </w:r>
          </w:p>
        </w:tc>
        <w:tc>
          <w:tcPr>
            <w:tcW w:w="2054" w:type="dxa"/>
            <w:tcBorders>
              <w:top w:val="nil"/>
              <w:left w:val="nil"/>
              <w:bottom w:val="single" w:sz="4" w:space="0" w:color="auto"/>
              <w:right w:val="single" w:sz="4" w:space="0" w:color="auto"/>
            </w:tcBorders>
            <w:shd w:val="clear" w:color="auto" w:fill="auto"/>
            <w:vAlign w:val="center"/>
            <w:hideMark/>
          </w:tcPr>
          <w:p w14:paraId="2B487E2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171BC23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1EF7302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128C3C27"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47F317BA" w14:textId="60E54B7D"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53E2212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Review communication channels and access to support staff to raise concerns</w:t>
            </w:r>
          </w:p>
        </w:tc>
        <w:tc>
          <w:tcPr>
            <w:tcW w:w="2054" w:type="dxa"/>
            <w:tcBorders>
              <w:top w:val="nil"/>
              <w:left w:val="nil"/>
              <w:bottom w:val="single" w:sz="4" w:space="0" w:color="auto"/>
              <w:right w:val="single" w:sz="4" w:space="0" w:color="auto"/>
            </w:tcBorders>
            <w:shd w:val="clear" w:color="auto" w:fill="auto"/>
            <w:vAlign w:val="center"/>
            <w:hideMark/>
          </w:tcPr>
          <w:p w14:paraId="251E7BD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1D8169B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w:t>
            </w:r>
          </w:p>
        </w:tc>
        <w:tc>
          <w:tcPr>
            <w:tcW w:w="1502" w:type="dxa"/>
            <w:tcBorders>
              <w:top w:val="nil"/>
              <w:left w:val="nil"/>
              <w:bottom w:val="single" w:sz="4" w:space="0" w:color="auto"/>
              <w:right w:val="single" w:sz="4" w:space="0" w:color="auto"/>
            </w:tcBorders>
            <w:shd w:val="clear" w:color="000000" w:fill="CDFFCD"/>
            <w:vAlign w:val="center"/>
            <w:hideMark/>
          </w:tcPr>
          <w:p w14:paraId="08C1EC2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132E6FF3"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28EC644F" w14:textId="7911360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0FD0F0C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Establish access to a range of wellbeing initiatives that support people to stay well and healthy</w:t>
            </w:r>
          </w:p>
        </w:tc>
        <w:tc>
          <w:tcPr>
            <w:tcW w:w="2054" w:type="dxa"/>
            <w:tcBorders>
              <w:top w:val="nil"/>
              <w:left w:val="nil"/>
              <w:bottom w:val="single" w:sz="4" w:space="0" w:color="auto"/>
              <w:right w:val="single" w:sz="4" w:space="0" w:color="auto"/>
            </w:tcBorders>
            <w:shd w:val="clear" w:color="auto" w:fill="auto"/>
            <w:vAlign w:val="center"/>
            <w:hideMark/>
          </w:tcPr>
          <w:p w14:paraId="5DB115F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 and Directorates</w:t>
            </w:r>
          </w:p>
        </w:tc>
        <w:tc>
          <w:tcPr>
            <w:tcW w:w="1881" w:type="dxa"/>
            <w:tcBorders>
              <w:top w:val="nil"/>
              <w:left w:val="nil"/>
              <w:bottom w:val="single" w:sz="4" w:space="0" w:color="auto"/>
              <w:right w:val="single" w:sz="4" w:space="0" w:color="auto"/>
            </w:tcBorders>
            <w:shd w:val="clear" w:color="auto" w:fill="auto"/>
            <w:vAlign w:val="center"/>
            <w:hideMark/>
          </w:tcPr>
          <w:p w14:paraId="6DA3CC1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3FD96CC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1D3C15EA"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77898176" w14:textId="1247D4E5"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713870F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staff with change process with access to immediate health and wellbeing support</w:t>
            </w:r>
          </w:p>
        </w:tc>
        <w:tc>
          <w:tcPr>
            <w:tcW w:w="2054" w:type="dxa"/>
            <w:tcBorders>
              <w:top w:val="nil"/>
              <w:left w:val="nil"/>
              <w:bottom w:val="single" w:sz="4" w:space="0" w:color="auto"/>
              <w:right w:val="single" w:sz="4" w:space="0" w:color="auto"/>
            </w:tcBorders>
            <w:shd w:val="clear" w:color="auto" w:fill="auto"/>
            <w:vAlign w:val="center"/>
            <w:hideMark/>
          </w:tcPr>
          <w:p w14:paraId="1D51CF1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6682F48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1/2</w:t>
            </w:r>
          </w:p>
        </w:tc>
        <w:tc>
          <w:tcPr>
            <w:tcW w:w="1502" w:type="dxa"/>
            <w:tcBorders>
              <w:top w:val="nil"/>
              <w:left w:val="nil"/>
              <w:bottom w:val="single" w:sz="4" w:space="0" w:color="auto"/>
              <w:right w:val="single" w:sz="4" w:space="0" w:color="auto"/>
            </w:tcBorders>
            <w:shd w:val="clear" w:color="000000" w:fill="CDFFCD"/>
            <w:vAlign w:val="center"/>
            <w:hideMark/>
          </w:tcPr>
          <w:p w14:paraId="48EBE85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5016AA45"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2521651C" w14:textId="02498A7B"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lastRenderedPageBreak/>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0D30B85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Develop and embed the role of the Wellbeing and Inclusion Guardian</w:t>
            </w:r>
          </w:p>
        </w:tc>
        <w:tc>
          <w:tcPr>
            <w:tcW w:w="2054" w:type="dxa"/>
            <w:tcBorders>
              <w:top w:val="nil"/>
              <w:left w:val="nil"/>
              <w:bottom w:val="single" w:sz="4" w:space="0" w:color="auto"/>
              <w:right w:val="single" w:sz="4" w:space="0" w:color="auto"/>
            </w:tcBorders>
            <w:shd w:val="clear" w:color="auto" w:fill="auto"/>
            <w:vAlign w:val="center"/>
            <w:hideMark/>
          </w:tcPr>
          <w:p w14:paraId="211DB5C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Corporate </w:t>
            </w:r>
          </w:p>
        </w:tc>
        <w:tc>
          <w:tcPr>
            <w:tcW w:w="1881" w:type="dxa"/>
            <w:tcBorders>
              <w:top w:val="nil"/>
              <w:left w:val="nil"/>
              <w:bottom w:val="single" w:sz="4" w:space="0" w:color="auto"/>
              <w:right w:val="single" w:sz="4" w:space="0" w:color="auto"/>
            </w:tcBorders>
            <w:shd w:val="clear" w:color="auto" w:fill="auto"/>
            <w:vAlign w:val="center"/>
            <w:hideMark/>
          </w:tcPr>
          <w:p w14:paraId="0BD3860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1/2</w:t>
            </w:r>
          </w:p>
        </w:tc>
        <w:tc>
          <w:tcPr>
            <w:tcW w:w="1502" w:type="dxa"/>
            <w:tcBorders>
              <w:top w:val="nil"/>
              <w:left w:val="nil"/>
              <w:bottom w:val="single" w:sz="4" w:space="0" w:color="auto"/>
              <w:right w:val="single" w:sz="4" w:space="0" w:color="auto"/>
            </w:tcBorders>
            <w:shd w:val="clear" w:color="000000" w:fill="CDFFCD"/>
            <w:vAlign w:val="center"/>
            <w:hideMark/>
          </w:tcPr>
          <w:p w14:paraId="4CC8D81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69631BAF"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08EF096" w14:textId="202A94CA"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56B063F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Review and revise flexible and agile working practices and policy</w:t>
            </w:r>
          </w:p>
        </w:tc>
        <w:tc>
          <w:tcPr>
            <w:tcW w:w="2054" w:type="dxa"/>
            <w:tcBorders>
              <w:top w:val="nil"/>
              <w:left w:val="nil"/>
              <w:bottom w:val="single" w:sz="4" w:space="0" w:color="auto"/>
              <w:right w:val="single" w:sz="4" w:space="0" w:color="auto"/>
            </w:tcBorders>
            <w:shd w:val="clear" w:color="auto" w:fill="auto"/>
            <w:vAlign w:val="center"/>
            <w:hideMark/>
          </w:tcPr>
          <w:p w14:paraId="47F7BA6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 Service and team</w:t>
            </w:r>
          </w:p>
        </w:tc>
        <w:tc>
          <w:tcPr>
            <w:tcW w:w="1881" w:type="dxa"/>
            <w:tcBorders>
              <w:top w:val="nil"/>
              <w:left w:val="nil"/>
              <w:bottom w:val="single" w:sz="4" w:space="0" w:color="auto"/>
              <w:right w:val="single" w:sz="4" w:space="0" w:color="auto"/>
            </w:tcBorders>
            <w:shd w:val="clear" w:color="auto" w:fill="auto"/>
            <w:vAlign w:val="center"/>
            <w:hideMark/>
          </w:tcPr>
          <w:p w14:paraId="05B783D9"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6C49E1A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6FDE50F3"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A29FC31" w14:textId="77B950AD"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57BCA1B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Embed a civility and respect programme to promote a positive culture and tackle aggression, bullying, discrimination and harassment</w:t>
            </w:r>
          </w:p>
        </w:tc>
        <w:tc>
          <w:tcPr>
            <w:tcW w:w="2054" w:type="dxa"/>
            <w:tcBorders>
              <w:top w:val="nil"/>
              <w:left w:val="nil"/>
              <w:bottom w:val="single" w:sz="4" w:space="0" w:color="auto"/>
              <w:right w:val="single" w:sz="4" w:space="0" w:color="auto"/>
            </w:tcBorders>
            <w:shd w:val="clear" w:color="auto" w:fill="auto"/>
            <w:vAlign w:val="center"/>
            <w:hideMark/>
          </w:tcPr>
          <w:p w14:paraId="7A93DE7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Corporate </w:t>
            </w:r>
          </w:p>
        </w:tc>
        <w:tc>
          <w:tcPr>
            <w:tcW w:w="1881" w:type="dxa"/>
            <w:tcBorders>
              <w:top w:val="nil"/>
              <w:left w:val="nil"/>
              <w:bottom w:val="single" w:sz="4" w:space="0" w:color="auto"/>
              <w:right w:val="single" w:sz="4" w:space="0" w:color="auto"/>
            </w:tcBorders>
            <w:shd w:val="clear" w:color="auto" w:fill="auto"/>
            <w:vAlign w:val="center"/>
            <w:hideMark/>
          </w:tcPr>
          <w:p w14:paraId="15CB3D6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3100342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3F3FFE2F"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3ED479BB" w14:textId="3F66B3AD"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Support, compassion and wellbeing</w:t>
            </w:r>
          </w:p>
        </w:tc>
        <w:tc>
          <w:tcPr>
            <w:tcW w:w="6447" w:type="dxa"/>
            <w:tcBorders>
              <w:top w:val="nil"/>
              <w:left w:val="nil"/>
              <w:bottom w:val="single" w:sz="4" w:space="0" w:color="auto"/>
              <w:right w:val="single" w:sz="4" w:space="0" w:color="auto"/>
            </w:tcBorders>
            <w:shd w:val="clear" w:color="auto" w:fill="auto"/>
            <w:vAlign w:val="center"/>
            <w:hideMark/>
          </w:tcPr>
          <w:p w14:paraId="784ED3B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Review and strengthen the role of exit interviews to continuously inform the OD Plan</w:t>
            </w:r>
          </w:p>
        </w:tc>
        <w:tc>
          <w:tcPr>
            <w:tcW w:w="2054" w:type="dxa"/>
            <w:tcBorders>
              <w:top w:val="nil"/>
              <w:left w:val="nil"/>
              <w:bottom w:val="single" w:sz="4" w:space="0" w:color="auto"/>
              <w:right w:val="single" w:sz="4" w:space="0" w:color="auto"/>
            </w:tcBorders>
            <w:shd w:val="clear" w:color="auto" w:fill="auto"/>
            <w:vAlign w:val="center"/>
            <w:hideMark/>
          </w:tcPr>
          <w:p w14:paraId="031D436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Corporate/Directorates</w:t>
            </w:r>
          </w:p>
        </w:tc>
        <w:tc>
          <w:tcPr>
            <w:tcW w:w="1881" w:type="dxa"/>
            <w:tcBorders>
              <w:top w:val="nil"/>
              <w:left w:val="nil"/>
              <w:bottom w:val="single" w:sz="4" w:space="0" w:color="auto"/>
              <w:right w:val="single" w:sz="4" w:space="0" w:color="auto"/>
            </w:tcBorders>
            <w:shd w:val="clear" w:color="auto" w:fill="auto"/>
            <w:vAlign w:val="center"/>
            <w:hideMark/>
          </w:tcPr>
          <w:p w14:paraId="14AFFFD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3EF7B0A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r w:rsidR="004F79BD" w:rsidRPr="004F79BD" w14:paraId="5D941361"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50727E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Equity and Inclusion</w:t>
            </w:r>
          </w:p>
        </w:tc>
        <w:tc>
          <w:tcPr>
            <w:tcW w:w="6447" w:type="dxa"/>
            <w:tcBorders>
              <w:top w:val="nil"/>
              <w:left w:val="nil"/>
              <w:bottom w:val="single" w:sz="4" w:space="0" w:color="auto"/>
              <w:right w:val="single" w:sz="4" w:space="0" w:color="auto"/>
            </w:tcBorders>
            <w:shd w:val="clear" w:color="auto" w:fill="auto"/>
            <w:vAlign w:val="center"/>
            <w:hideMark/>
          </w:tcPr>
          <w:p w14:paraId="4E9329D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Develop and deliver a programme to enable the ICB to be an anti-racist organisation and to tackle inequality</w:t>
            </w:r>
          </w:p>
        </w:tc>
        <w:tc>
          <w:tcPr>
            <w:tcW w:w="2054" w:type="dxa"/>
            <w:tcBorders>
              <w:top w:val="nil"/>
              <w:left w:val="nil"/>
              <w:bottom w:val="single" w:sz="4" w:space="0" w:color="auto"/>
              <w:right w:val="single" w:sz="4" w:space="0" w:color="auto"/>
            </w:tcBorders>
            <w:shd w:val="clear" w:color="auto" w:fill="auto"/>
            <w:vAlign w:val="center"/>
            <w:hideMark/>
          </w:tcPr>
          <w:p w14:paraId="7EB974F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Corporate </w:t>
            </w:r>
          </w:p>
        </w:tc>
        <w:tc>
          <w:tcPr>
            <w:tcW w:w="1881" w:type="dxa"/>
            <w:tcBorders>
              <w:top w:val="nil"/>
              <w:left w:val="nil"/>
              <w:bottom w:val="single" w:sz="4" w:space="0" w:color="auto"/>
              <w:right w:val="single" w:sz="4" w:space="0" w:color="auto"/>
            </w:tcBorders>
            <w:shd w:val="clear" w:color="auto" w:fill="auto"/>
            <w:vAlign w:val="center"/>
            <w:hideMark/>
          </w:tcPr>
          <w:p w14:paraId="2BC95A1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6690D6F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1D607A60"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4B852E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Equity and Inclusion</w:t>
            </w:r>
          </w:p>
        </w:tc>
        <w:tc>
          <w:tcPr>
            <w:tcW w:w="6447" w:type="dxa"/>
            <w:tcBorders>
              <w:top w:val="nil"/>
              <w:left w:val="nil"/>
              <w:bottom w:val="single" w:sz="4" w:space="0" w:color="auto"/>
              <w:right w:val="single" w:sz="4" w:space="0" w:color="auto"/>
            </w:tcBorders>
            <w:shd w:val="clear" w:color="auto" w:fill="auto"/>
            <w:vAlign w:val="center"/>
            <w:hideMark/>
          </w:tcPr>
          <w:p w14:paraId="7E51E3A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 Equality Impact Assessment (EQIA) of new structure and management of change process and continue to embed approach to sustain best practice</w:t>
            </w:r>
          </w:p>
        </w:tc>
        <w:tc>
          <w:tcPr>
            <w:tcW w:w="2054" w:type="dxa"/>
            <w:tcBorders>
              <w:top w:val="nil"/>
              <w:left w:val="nil"/>
              <w:bottom w:val="single" w:sz="4" w:space="0" w:color="auto"/>
              <w:right w:val="single" w:sz="4" w:space="0" w:color="auto"/>
            </w:tcBorders>
            <w:shd w:val="clear" w:color="auto" w:fill="auto"/>
            <w:vAlign w:val="center"/>
            <w:hideMark/>
          </w:tcPr>
          <w:p w14:paraId="269849A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 Service and team</w:t>
            </w:r>
          </w:p>
        </w:tc>
        <w:tc>
          <w:tcPr>
            <w:tcW w:w="1881" w:type="dxa"/>
            <w:tcBorders>
              <w:top w:val="nil"/>
              <w:left w:val="nil"/>
              <w:bottom w:val="single" w:sz="4" w:space="0" w:color="auto"/>
              <w:right w:val="single" w:sz="4" w:space="0" w:color="auto"/>
            </w:tcBorders>
            <w:shd w:val="clear" w:color="auto" w:fill="auto"/>
            <w:vAlign w:val="center"/>
            <w:hideMark/>
          </w:tcPr>
          <w:p w14:paraId="3B4F45F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1/2</w:t>
            </w:r>
          </w:p>
        </w:tc>
        <w:tc>
          <w:tcPr>
            <w:tcW w:w="1502" w:type="dxa"/>
            <w:tcBorders>
              <w:top w:val="nil"/>
              <w:left w:val="nil"/>
              <w:bottom w:val="single" w:sz="4" w:space="0" w:color="auto"/>
              <w:right w:val="single" w:sz="4" w:space="0" w:color="auto"/>
            </w:tcBorders>
            <w:shd w:val="clear" w:color="000000" w:fill="CDFFCD"/>
            <w:vAlign w:val="center"/>
            <w:hideMark/>
          </w:tcPr>
          <w:p w14:paraId="6B3CFA70"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4FC7E875"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94366B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Equity and Inclusion</w:t>
            </w:r>
          </w:p>
        </w:tc>
        <w:tc>
          <w:tcPr>
            <w:tcW w:w="6447" w:type="dxa"/>
            <w:tcBorders>
              <w:top w:val="nil"/>
              <w:left w:val="nil"/>
              <w:bottom w:val="single" w:sz="4" w:space="0" w:color="auto"/>
              <w:right w:val="single" w:sz="4" w:space="0" w:color="auto"/>
            </w:tcBorders>
            <w:shd w:val="clear" w:color="auto" w:fill="auto"/>
            <w:vAlign w:val="center"/>
            <w:hideMark/>
          </w:tcPr>
          <w:p w14:paraId="49C7D93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Develop and support staff networks to strengthen the employee voice in decision making, to change the ways things work and to create a more positive culture</w:t>
            </w:r>
          </w:p>
        </w:tc>
        <w:tc>
          <w:tcPr>
            <w:tcW w:w="2054" w:type="dxa"/>
            <w:tcBorders>
              <w:top w:val="nil"/>
              <w:left w:val="nil"/>
              <w:bottom w:val="single" w:sz="4" w:space="0" w:color="auto"/>
              <w:right w:val="single" w:sz="4" w:space="0" w:color="auto"/>
            </w:tcBorders>
            <w:shd w:val="clear" w:color="auto" w:fill="auto"/>
            <w:vAlign w:val="center"/>
            <w:hideMark/>
          </w:tcPr>
          <w:p w14:paraId="12E4D3F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 and Directorate</w:t>
            </w:r>
          </w:p>
        </w:tc>
        <w:tc>
          <w:tcPr>
            <w:tcW w:w="1881" w:type="dxa"/>
            <w:tcBorders>
              <w:top w:val="nil"/>
              <w:left w:val="nil"/>
              <w:bottom w:val="single" w:sz="4" w:space="0" w:color="auto"/>
              <w:right w:val="single" w:sz="4" w:space="0" w:color="auto"/>
            </w:tcBorders>
            <w:shd w:val="clear" w:color="auto" w:fill="auto"/>
            <w:vAlign w:val="center"/>
            <w:hideMark/>
          </w:tcPr>
          <w:p w14:paraId="6FA3B0E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75C6340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23767C71"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432DB59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Equity and Inclusion</w:t>
            </w:r>
          </w:p>
        </w:tc>
        <w:tc>
          <w:tcPr>
            <w:tcW w:w="6447" w:type="dxa"/>
            <w:tcBorders>
              <w:top w:val="nil"/>
              <w:left w:val="nil"/>
              <w:bottom w:val="single" w:sz="4" w:space="0" w:color="auto"/>
              <w:right w:val="single" w:sz="4" w:space="0" w:color="auto"/>
            </w:tcBorders>
            <w:shd w:val="clear" w:color="auto" w:fill="auto"/>
            <w:vAlign w:val="center"/>
            <w:hideMark/>
          </w:tcPr>
          <w:p w14:paraId="4B9BF03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Further promote and embed the NCL Workplace Adjustment Passport and guidance for managers</w:t>
            </w:r>
          </w:p>
        </w:tc>
        <w:tc>
          <w:tcPr>
            <w:tcW w:w="2054" w:type="dxa"/>
            <w:tcBorders>
              <w:top w:val="nil"/>
              <w:left w:val="nil"/>
              <w:bottom w:val="single" w:sz="4" w:space="0" w:color="auto"/>
              <w:right w:val="single" w:sz="4" w:space="0" w:color="auto"/>
            </w:tcBorders>
            <w:shd w:val="clear" w:color="auto" w:fill="auto"/>
            <w:vAlign w:val="center"/>
            <w:hideMark/>
          </w:tcPr>
          <w:p w14:paraId="385C4F9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Corporate </w:t>
            </w:r>
          </w:p>
        </w:tc>
        <w:tc>
          <w:tcPr>
            <w:tcW w:w="1881" w:type="dxa"/>
            <w:tcBorders>
              <w:top w:val="nil"/>
              <w:left w:val="nil"/>
              <w:bottom w:val="single" w:sz="4" w:space="0" w:color="auto"/>
              <w:right w:val="single" w:sz="4" w:space="0" w:color="auto"/>
            </w:tcBorders>
            <w:shd w:val="clear" w:color="auto" w:fill="auto"/>
            <w:vAlign w:val="center"/>
            <w:hideMark/>
          </w:tcPr>
          <w:p w14:paraId="48654DBC"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7163F9E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29169FA9"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1390C203"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lastRenderedPageBreak/>
              <w:t>Equity and Inclusion</w:t>
            </w:r>
          </w:p>
        </w:tc>
        <w:tc>
          <w:tcPr>
            <w:tcW w:w="6447" w:type="dxa"/>
            <w:tcBorders>
              <w:top w:val="nil"/>
              <w:left w:val="nil"/>
              <w:bottom w:val="single" w:sz="4" w:space="0" w:color="auto"/>
              <w:right w:val="single" w:sz="4" w:space="0" w:color="auto"/>
            </w:tcBorders>
            <w:shd w:val="clear" w:color="auto" w:fill="auto"/>
            <w:vAlign w:val="center"/>
            <w:hideMark/>
          </w:tcPr>
          <w:p w14:paraId="336FA11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Develop and implement plans to take positive action to address disparity in recruitment, career progression and employee relations cases (aligned to See Me First and A Fair Experience for All)</w:t>
            </w:r>
          </w:p>
        </w:tc>
        <w:tc>
          <w:tcPr>
            <w:tcW w:w="2054" w:type="dxa"/>
            <w:tcBorders>
              <w:top w:val="nil"/>
              <w:left w:val="nil"/>
              <w:bottom w:val="single" w:sz="4" w:space="0" w:color="auto"/>
              <w:right w:val="single" w:sz="4" w:space="0" w:color="auto"/>
            </w:tcBorders>
            <w:shd w:val="clear" w:color="auto" w:fill="auto"/>
            <w:vAlign w:val="center"/>
            <w:hideMark/>
          </w:tcPr>
          <w:p w14:paraId="5C83CB7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Corporate </w:t>
            </w:r>
          </w:p>
        </w:tc>
        <w:tc>
          <w:tcPr>
            <w:tcW w:w="1881" w:type="dxa"/>
            <w:tcBorders>
              <w:top w:val="nil"/>
              <w:left w:val="nil"/>
              <w:bottom w:val="single" w:sz="4" w:space="0" w:color="auto"/>
              <w:right w:val="single" w:sz="4" w:space="0" w:color="auto"/>
            </w:tcBorders>
            <w:shd w:val="clear" w:color="auto" w:fill="auto"/>
            <w:vAlign w:val="center"/>
            <w:hideMark/>
          </w:tcPr>
          <w:p w14:paraId="472090F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4765D7D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7A55385A"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3F7EB9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Equity and Inclusion</w:t>
            </w:r>
          </w:p>
        </w:tc>
        <w:tc>
          <w:tcPr>
            <w:tcW w:w="6447" w:type="dxa"/>
            <w:tcBorders>
              <w:top w:val="nil"/>
              <w:left w:val="nil"/>
              <w:bottom w:val="single" w:sz="4" w:space="0" w:color="auto"/>
              <w:right w:val="single" w:sz="4" w:space="0" w:color="auto"/>
            </w:tcBorders>
            <w:shd w:val="clear" w:color="auto" w:fill="auto"/>
            <w:vAlign w:val="center"/>
            <w:hideMark/>
          </w:tcPr>
          <w:p w14:paraId="3915C77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Embed fair recruitment practices at all levels across the ICB</w:t>
            </w:r>
          </w:p>
        </w:tc>
        <w:tc>
          <w:tcPr>
            <w:tcW w:w="2054" w:type="dxa"/>
            <w:tcBorders>
              <w:top w:val="nil"/>
              <w:left w:val="nil"/>
              <w:bottom w:val="single" w:sz="4" w:space="0" w:color="auto"/>
              <w:right w:val="single" w:sz="4" w:space="0" w:color="auto"/>
            </w:tcBorders>
            <w:shd w:val="clear" w:color="auto" w:fill="auto"/>
            <w:vAlign w:val="center"/>
            <w:hideMark/>
          </w:tcPr>
          <w:p w14:paraId="1392D2C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Directorate/ Service and teams</w:t>
            </w:r>
          </w:p>
        </w:tc>
        <w:tc>
          <w:tcPr>
            <w:tcW w:w="1881" w:type="dxa"/>
            <w:tcBorders>
              <w:top w:val="nil"/>
              <w:left w:val="nil"/>
              <w:bottom w:val="single" w:sz="4" w:space="0" w:color="auto"/>
              <w:right w:val="single" w:sz="4" w:space="0" w:color="auto"/>
            </w:tcBorders>
            <w:shd w:val="clear" w:color="auto" w:fill="auto"/>
            <w:vAlign w:val="center"/>
            <w:hideMark/>
          </w:tcPr>
          <w:p w14:paraId="02AC6034"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w:t>
            </w:r>
          </w:p>
        </w:tc>
        <w:tc>
          <w:tcPr>
            <w:tcW w:w="1502" w:type="dxa"/>
            <w:tcBorders>
              <w:top w:val="nil"/>
              <w:left w:val="nil"/>
              <w:bottom w:val="single" w:sz="4" w:space="0" w:color="auto"/>
              <w:right w:val="single" w:sz="4" w:space="0" w:color="auto"/>
            </w:tcBorders>
            <w:shd w:val="clear" w:color="000000" w:fill="CDFFCD"/>
            <w:vAlign w:val="center"/>
            <w:hideMark/>
          </w:tcPr>
          <w:p w14:paraId="29F36AC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2E13F95E"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325FCB8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Team and system working</w:t>
            </w:r>
          </w:p>
        </w:tc>
        <w:tc>
          <w:tcPr>
            <w:tcW w:w="6447" w:type="dxa"/>
            <w:tcBorders>
              <w:top w:val="nil"/>
              <w:left w:val="nil"/>
              <w:bottom w:val="single" w:sz="4" w:space="0" w:color="auto"/>
              <w:right w:val="single" w:sz="4" w:space="0" w:color="auto"/>
            </w:tcBorders>
            <w:shd w:val="clear" w:color="auto" w:fill="auto"/>
            <w:vAlign w:val="center"/>
            <w:hideMark/>
          </w:tcPr>
          <w:p w14:paraId="200FFD8B" w14:textId="670F0FCD"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Deliver change and transition sessions with teams to support operational and personal resilience during change programme</w:t>
            </w:r>
          </w:p>
        </w:tc>
        <w:tc>
          <w:tcPr>
            <w:tcW w:w="2054" w:type="dxa"/>
            <w:tcBorders>
              <w:top w:val="nil"/>
              <w:left w:val="nil"/>
              <w:bottom w:val="single" w:sz="4" w:space="0" w:color="auto"/>
              <w:right w:val="single" w:sz="4" w:space="0" w:color="auto"/>
            </w:tcBorders>
            <w:shd w:val="clear" w:color="auto" w:fill="auto"/>
            <w:vAlign w:val="center"/>
            <w:hideMark/>
          </w:tcPr>
          <w:p w14:paraId="207E8ED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323BBE8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1/2</w:t>
            </w:r>
          </w:p>
        </w:tc>
        <w:tc>
          <w:tcPr>
            <w:tcW w:w="1502" w:type="dxa"/>
            <w:tcBorders>
              <w:top w:val="nil"/>
              <w:left w:val="nil"/>
              <w:bottom w:val="single" w:sz="4" w:space="0" w:color="auto"/>
              <w:right w:val="single" w:sz="4" w:space="0" w:color="auto"/>
            </w:tcBorders>
            <w:shd w:val="clear" w:color="000000" w:fill="CDFFCD"/>
            <w:vAlign w:val="center"/>
            <w:hideMark/>
          </w:tcPr>
          <w:p w14:paraId="39091FC1"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08F607F3"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4F52653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Team and system working</w:t>
            </w:r>
          </w:p>
        </w:tc>
        <w:tc>
          <w:tcPr>
            <w:tcW w:w="6447" w:type="dxa"/>
            <w:tcBorders>
              <w:top w:val="nil"/>
              <w:left w:val="nil"/>
              <w:bottom w:val="single" w:sz="4" w:space="0" w:color="auto"/>
              <w:right w:val="single" w:sz="4" w:space="0" w:color="auto"/>
            </w:tcBorders>
            <w:shd w:val="clear" w:color="auto" w:fill="auto"/>
            <w:vAlign w:val="center"/>
            <w:hideMark/>
          </w:tcPr>
          <w:p w14:paraId="2701AF3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Develop and implement a high performing team development programme for the newly established teams</w:t>
            </w:r>
          </w:p>
        </w:tc>
        <w:tc>
          <w:tcPr>
            <w:tcW w:w="2054" w:type="dxa"/>
            <w:tcBorders>
              <w:top w:val="nil"/>
              <w:left w:val="nil"/>
              <w:bottom w:val="single" w:sz="4" w:space="0" w:color="auto"/>
              <w:right w:val="single" w:sz="4" w:space="0" w:color="auto"/>
            </w:tcBorders>
            <w:shd w:val="clear" w:color="auto" w:fill="auto"/>
            <w:vAlign w:val="center"/>
            <w:hideMark/>
          </w:tcPr>
          <w:p w14:paraId="06AADE3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 (with networks)</w:t>
            </w:r>
          </w:p>
        </w:tc>
        <w:tc>
          <w:tcPr>
            <w:tcW w:w="1881" w:type="dxa"/>
            <w:tcBorders>
              <w:top w:val="nil"/>
              <w:left w:val="nil"/>
              <w:bottom w:val="single" w:sz="4" w:space="0" w:color="auto"/>
              <w:right w:val="single" w:sz="4" w:space="0" w:color="auto"/>
            </w:tcBorders>
            <w:shd w:val="clear" w:color="auto" w:fill="auto"/>
            <w:vAlign w:val="center"/>
            <w:hideMark/>
          </w:tcPr>
          <w:p w14:paraId="641ACD26"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w:t>
            </w:r>
          </w:p>
        </w:tc>
        <w:tc>
          <w:tcPr>
            <w:tcW w:w="1502" w:type="dxa"/>
            <w:tcBorders>
              <w:top w:val="nil"/>
              <w:left w:val="nil"/>
              <w:bottom w:val="single" w:sz="4" w:space="0" w:color="auto"/>
              <w:right w:val="single" w:sz="4" w:space="0" w:color="auto"/>
            </w:tcBorders>
            <w:shd w:val="clear" w:color="000000" w:fill="CDFFCD"/>
            <w:vAlign w:val="center"/>
            <w:hideMark/>
          </w:tcPr>
          <w:p w14:paraId="733D125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w:t>
            </w:r>
          </w:p>
        </w:tc>
      </w:tr>
      <w:tr w:rsidR="004F79BD" w:rsidRPr="004F79BD" w14:paraId="527B59C6"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19BB57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Team and system working</w:t>
            </w:r>
          </w:p>
        </w:tc>
        <w:tc>
          <w:tcPr>
            <w:tcW w:w="6447" w:type="dxa"/>
            <w:tcBorders>
              <w:top w:val="nil"/>
              <w:left w:val="nil"/>
              <w:bottom w:val="single" w:sz="4" w:space="0" w:color="auto"/>
              <w:right w:val="single" w:sz="4" w:space="0" w:color="auto"/>
            </w:tcBorders>
            <w:shd w:val="clear" w:color="auto" w:fill="auto"/>
            <w:vAlign w:val="center"/>
            <w:hideMark/>
          </w:tcPr>
          <w:p w14:paraId="2D8E6FC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Develop a good practice guide for effective team communication, knowledge and information sharing</w:t>
            </w:r>
          </w:p>
        </w:tc>
        <w:tc>
          <w:tcPr>
            <w:tcW w:w="2054" w:type="dxa"/>
            <w:tcBorders>
              <w:top w:val="nil"/>
              <w:left w:val="nil"/>
              <w:bottom w:val="single" w:sz="4" w:space="0" w:color="auto"/>
              <w:right w:val="single" w:sz="4" w:space="0" w:color="auto"/>
            </w:tcBorders>
            <w:shd w:val="clear" w:color="auto" w:fill="auto"/>
            <w:vAlign w:val="center"/>
            <w:hideMark/>
          </w:tcPr>
          <w:p w14:paraId="4C63DAD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2DCE91D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68BDBFFE"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5548FA2E"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12FED59"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Team and system working</w:t>
            </w:r>
          </w:p>
        </w:tc>
        <w:tc>
          <w:tcPr>
            <w:tcW w:w="6447" w:type="dxa"/>
            <w:tcBorders>
              <w:top w:val="nil"/>
              <w:left w:val="nil"/>
              <w:bottom w:val="single" w:sz="4" w:space="0" w:color="auto"/>
              <w:right w:val="single" w:sz="4" w:space="0" w:color="auto"/>
            </w:tcBorders>
            <w:shd w:val="clear" w:color="auto" w:fill="auto"/>
            <w:vAlign w:val="center"/>
            <w:hideMark/>
          </w:tcPr>
          <w:p w14:paraId="06B1692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Embed an approach to team development using proven methodology</w:t>
            </w:r>
          </w:p>
        </w:tc>
        <w:tc>
          <w:tcPr>
            <w:tcW w:w="2054" w:type="dxa"/>
            <w:tcBorders>
              <w:top w:val="nil"/>
              <w:left w:val="nil"/>
              <w:bottom w:val="single" w:sz="4" w:space="0" w:color="auto"/>
              <w:right w:val="single" w:sz="4" w:space="0" w:color="auto"/>
            </w:tcBorders>
            <w:shd w:val="clear" w:color="auto" w:fill="auto"/>
            <w:vAlign w:val="center"/>
            <w:hideMark/>
          </w:tcPr>
          <w:p w14:paraId="5F1C576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w:t>
            </w:r>
          </w:p>
        </w:tc>
        <w:tc>
          <w:tcPr>
            <w:tcW w:w="1881" w:type="dxa"/>
            <w:tcBorders>
              <w:top w:val="nil"/>
              <w:left w:val="nil"/>
              <w:bottom w:val="single" w:sz="4" w:space="0" w:color="auto"/>
              <w:right w:val="single" w:sz="4" w:space="0" w:color="auto"/>
            </w:tcBorders>
            <w:shd w:val="clear" w:color="auto" w:fill="auto"/>
            <w:vAlign w:val="center"/>
            <w:hideMark/>
          </w:tcPr>
          <w:p w14:paraId="5D531BBB"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2/3</w:t>
            </w:r>
          </w:p>
        </w:tc>
        <w:tc>
          <w:tcPr>
            <w:tcW w:w="1502" w:type="dxa"/>
            <w:tcBorders>
              <w:top w:val="nil"/>
              <w:left w:val="nil"/>
              <w:bottom w:val="single" w:sz="4" w:space="0" w:color="auto"/>
              <w:right w:val="single" w:sz="4" w:space="0" w:color="auto"/>
            </w:tcBorders>
            <w:shd w:val="clear" w:color="000000" w:fill="FFC979"/>
            <w:vAlign w:val="center"/>
            <w:hideMark/>
          </w:tcPr>
          <w:p w14:paraId="585BD00A"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2C9A4740"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6BB29BC9"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Team and system working</w:t>
            </w:r>
          </w:p>
        </w:tc>
        <w:tc>
          <w:tcPr>
            <w:tcW w:w="6447" w:type="dxa"/>
            <w:tcBorders>
              <w:top w:val="nil"/>
              <w:left w:val="nil"/>
              <w:bottom w:val="single" w:sz="4" w:space="0" w:color="auto"/>
              <w:right w:val="single" w:sz="4" w:space="0" w:color="auto"/>
            </w:tcBorders>
            <w:shd w:val="clear" w:color="auto" w:fill="auto"/>
            <w:vAlign w:val="center"/>
            <w:hideMark/>
          </w:tcPr>
          <w:p w14:paraId="3E0F6F7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Design and embed a Board and Executive Team and senior leadership development programmes</w:t>
            </w:r>
          </w:p>
        </w:tc>
        <w:tc>
          <w:tcPr>
            <w:tcW w:w="2054" w:type="dxa"/>
            <w:tcBorders>
              <w:top w:val="nil"/>
              <w:left w:val="nil"/>
              <w:bottom w:val="single" w:sz="4" w:space="0" w:color="auto"/>
              <w:right w:val="single" w:sz="4" w:space="0" w:color="auto"/>
            </w:tcBorders>
            <w:shd w:val="clear" w:color="auto" w:fill="auto"/>
            <w:vAlign w:val="center"/>
            <w:hideMark/>
          </w:tcPr>
          <w:p w14:paraId="7135302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 xml:space="preserve">Corporate </w:t>
            </w:r>
          </w:p>
        </w:tc>
        <w:tc>
          <w:tcPr>
            <w:tcW w:w="1881" w:type="dxa"/>
            <w:tcBorders>
              <w:top w:val="nil"/>
              <w:left w:val="nil"/>
              <w:bottom w:val="single" w:sz="4" w:space="0" w:color="auto"/>
              <w:right w:val="single" w:sz="4" w:space="0" w:color="auto"/>
            </w:tcBorders>
            <w:shd w:val="clear" w:color="auto" w:fill="auto"/>
            <w:vAlign w:val="center"/>
            <w:hideMark/>
          </w:tcPr>
          <w:p w14:paraId="208634C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2</w:t>
            </w:r>
          </w:p>
        </w:tc>
        <w:tc>
          <w:tcPr>
            <w:tcW w:w="1502" w:type="dxa"/>
            <w:tcBorders>
              <w:top w:val="nil"/>
              <w:left w:val="nil"/>
              <w:bottom w:val="single" w:sz="4" w:space="0" w:color="auto"/>
              <w:right w:val="single" w:sz="4" w:space="0" w:color="auto"/>
            </w:tcBorders>
            <w:shd w:val="clear" w:color="000000" w:fill="FFC979"/>
            <w:vAlign w:val="center"/>
            <w:hideMark/>
          </w:tcPr>
          <w:p w14:paraId="57A33E4F"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In progress</w:t>
            </w:r>
          </w:p>
        </w:tc>
      </w:tr>
      <w:tr w:rsidR="004F79BD" w:rsidRPr="004F79BD" w14:paraId="57FD9DE8" w14:textId="77777777" w:rsidTr="004F79BD">
        <w:trPr>
          <w:trHeight w:val="890"/>
        </w:trPr>
        <w:tc>
          <w:tcPr>
            <w:tcW w:w="1876" w:type="dxa"/>
            <w:tcBorders>
              <w:top w:val="nil"/>
              <w:left w:val="single" w:sz="4" w:space="0" w:color="auto"/>
              <w:bottom w:val="single" w:sz="4" w:space="0" w:color="auto"/>
              <w:right w:val="single" w:sz="4" w:space="0" w:color="auto"/>
            </w:tcBorders>
            <w:shd w:val="clear" w:color="auto" w:fill="auto"/>
            <w:vAlign w:val="center"/>
            <w:hideMark/>
          </w:tcPr>
          <w:p w14:paraId="35AC20F7"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Team and system working</w:t>
            </w:r>
          </w:p>
        </w:tc>
        <w:tc>
          <w:tcPr>
            <w:tcW w:w="6447" w:type="dxa"/>
            <w:tcBorders>
              <w:top w:val="nil"/>
              <w:left w:val="nil"/>
              <w:bottom w:val="single" w:sz="4" w:space="0" w:color="auto"/>
              <w:right w:val="single" w:sz="4" w:space="0" w:color="auto"/>
            </w:tcBorders>
            <w:shd w:val="clear" w:color="auto" w:fill="auto"/>
            <w:vAlign w:val="center"/>
            <w:hideMark/>
          </w:tcPr>
          <w:p w14:paraId="27797ED8"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Complete an annual stakeholder/partner survey to gather feedback and inform system leadership development and continuous improvement</w:t>
            </w:r>
          </w:p>
        </w:tc>
        <w:tc>
          <w:tcPr>
            <w:tcW w:w="2054" w:type="dxa"/>
            <w:tcBorders>
              <w:top w:val="nil"/>
              <w:left w:val="nil"/>
              <w:bottom w:val="single" w:sz="4" w:space="0" w:color="auto"/>
              <w:right w:val="single" w:sz="4" w:space="0" w:color="auto"/>
            </w:tcBorders>
            <w:shd w:val="clear" w:color="auto" w:fill="auto"/>
            <w:vAlign w:val="center"/>
            <w:hideMark/>
          </w:tcPr>
          <w:p w14:paraId="7B03F982"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Corporate (with networks)</w:t>
            </w:r>
          </w:p>
        </w:tc>
        <w:tc>
          <w:tcPr>
            <w:tcW w:w="1881" w:type="dxa"/>
            <w:tcBorders>
              <w:top w:val="nil"/>
              <w:left w:val="nil"/>
              <w:bottom w:val="single" w:sz="4" w:space="0" w:color="auto"/>
              <w:right w:val="single" w:sz="4" w:space="0" w:color="auto"/>
            </w:tcBorders>
            <w:shd w:val="clear" w:color="auto" w:fill="auto"/>
            <w:vAlign w:val="center"/>
            <w:hideMark/>
          </w:tcPr>
          <w:p w14:paraId="6287F6A5"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Year 3</w:t>
            </w:r>
          </w:p>
        </w:tc>
        <w:tc>
          <w:tcPr>
            <w:tcW w:w="1502" w:type="dxa"/>
            <w:tcBorders>
              <w:top w:val="nil"/>
              <w:left w:val="nil"/>
              <w:bottom w:val="single" w:sz="4" w:space="0" w:color="auto"/>
              <w:right w:val="single" w:sz="4" w:space="0" w:color="auto"/>
            </w:tcBorders>
            <w:shd w:val="clear" w:color="000000" w:fill="FFA48F"/>
            <w:vAlign w:val="center"/>
            <w:hideMark/>
          </w:tcPr>
          <w:p w14:paraId="150E130D" w14:textId="77777777" w:rsidR="004F79BD" w:rsidRPr="004F79BD" w:rsidRDefault="004F79BD" w:rsidP="004F79BD">
            <w:pPr>
              <w:spacing w:after="0" w:line="240" w:lineRule="auto"/>
              <w:jc w:val="center"/>
              <w:rPr>
                <w:rFonts w:ascii="Arial" w:eastAsia="Times New Roman" w:hAnsi="Arial" w:cs="Arial"/>
                <w:color w:val="000000"/>
                <w:kern w:val="0"/>
                <w:sz w:val="20"/>
                <w:szCs w:val="20"/>
                <w:lang w:eastAsia="en-GB"/>
                <w14:ligatures w14:val="none"/>
              </w:rPr>
            </w:pPr>
            <w:r w:rsidRPr="004F79BD">
              <w:rPr>
                <w:rFonts w:ascii="Arial" w:eastAsia="Times New Roman" w:hAnsi="Arial" w:cs="Arial"/>
                <w:color w:val="000000"/>
                <w:kern w:val="0"/>
                <w:sz w:val="20"/>
                <w:szCs w:val="20"/>
                <w:lang w:eastAsia="en-GB"/>
                <w14:ligatures w14:val="none"/>
              </w:rPr>
              <w:t>Not yet started</w:t>
            </w:r>
          </w:p>
        </w:tc>
      </w:tr>
    </w:tbl>
    <w:p w14:paraId="1406189A" w14:textId="77777777" w:rsidR="004F79BD" w:rsidRPr="004F79BD" w:rsidRDefault="004F79BD">
      <w:pPr>
        <w:rPr>
          <w:rFonts w:ascii="Arial" w:hAnsi="Arial" w:cs="Arial"/>
          <w:sz w:val="24"/>
          <w:szCs w:val="24"/>
        </w:rPr>
      </w:pPr>
    </w:p>
    <w:sectPr w:rsidR="004F79BD" w:rsidRPr="004F79BD" w:rsidSect="00146A5F">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3124E" w14:textId="77777777" w:rsidR="00092154" w:rsidRDefault="00092154" w:rsidP="000C40F8">
      <w:pPr>
        <w:spacing w:after="0" w:line="240" w:lineRule="auto"/>
      </w:pPr>
      <w:r>
        <w:separator/>
      </w:r>
    </w:p>
  </w:endnote>
  <w:endnote w:type="continuationSeparator" w:id="0">
    <w:p w14:paraId="4B6733A3" w14:textId="77777777" w:rsidR="00092154" w:rsidRDefault="00092154" w:rsidP="000C4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6928281"/>
      <w:docPartObj>
        <w:docPartGallery w:val="Page Numbers (Bottom of Page)"/>
        <w:docPartUnique/>
      </w:docPartObj>
    </w:sdtPr>
    <w:sdtEndPr>
      <w:rPr>
        <w:noProof/>
      </w:rPr>
    </w:sdtEndPr>
    <w:sdtContent>
      <w:p w14:paraId="509E1EFD" w14:textId="6E70AC96" w:rsidR="002937ED" w:rsidRDefault="002937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A9328A" w14:textId="77777777" w:rsidR="002937ED" w:rsidRDefault="002937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13BC9" w14:textId="77777777" w:rsidR="00092154" w:rsidRDefault="00092154" w:rsidP="000C40F8">
      <w:pPr>
        <w:spacing w:after="0" w:line="240" w:lineRule="auto"/>
      </w:pPr>
      <w:r>
        <w:separator/>
      </w:r>
    </w:p>
  </w:footnote>
  <w:footnote w:type="continuationSeparator" w:id="0">
    <w:p w14:paraId="74F3EC1D" w14:textId="77777777" w:rsidR="00092154" w:rsidRDefault="00092154" w:rsidP="000C40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27F43" w14:textId="76B8810C" w:rsidR="000C40F8" w:rsidRDefault="000C40F8" w:rsidP="000C40F8">
    <w:pPr>
      <w:pStyle w:val="Header"/>
      <w:tabs>
        <w:tab w:val="clear" w:pos="9026"/>
        <w:tab w:val="right" w:pos="10206"/>
      </w:tabs>
      <w:ind w:right="-1068"/>
      <w:jc w:val="right"/>
    </w:pPr>
    <w:r>
      <w:rPr>
        <w:noProof/>
      </w:rPr>
      <w:drawing>
        <wp:inline distT="0" distB="0" distL="0" distR="0" wp14:anchorId="1F3BB21B" wp14:editId="4DBCC43F">
          <wp:extent cx="1958975" cy="734695"/>
          <wp:effectExtent l="0" t="0" r="0" b="8255"/>
          <wp:docPr id="1" name="Picture 1" descr="A black background with blue text and 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background with blue text and 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7071" cy="74523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17E67"/>
    <w:multiLevelType w:val="hybridMultilevel"/>
    <w:tmpl w:val="06A68C30"/>
    <w:lvl w:ilvl="0" w:tplc="916E9220">
      <w:start w:val="1"/>
      <w:numFmt w:val="bullet"/>
      <w:lvlText w:val="•"/>
      <w:lvlJc w:val="left"/>
      <w:pPr>
        <w:tabs>
          <w:tab w:val="num" w:pos="720"/>
        </w:tabs>
        <w:ind w:left="720" w:hanging="360"/>
      </w:pPr>
      <w:rPr>
        <w:rFonts w:ascii="Arial" w:hAnsi="Arial" w:hint="default"/>
      </w:rPr>
    </w:lvl>
    <w:lvl w:ilvl="1" w:tplc="6C0ED540">
      <w:start w:val="1"/>
      <w:numFmt w:val="bullet"/>
      <w:lvlText w:val="•"/>
      <w:lvlJc w:val="left"/>
      <w:pPr>
        <w:tabs>
          <w:tab w:val="num" w:pos="1440"/>
        </w:tabs>
        <w:ind w:left="1440" w:hanging="360"/>
      </w:pPr>
      <w:rPr>
        <w:rFonts w:ascii="Arial" w:hAnsi="Arial" w:hint="default"/>
      </w:rPr>
    </w:lvl>
    <w:lvl w:ilvl="2" w:tplc="8872288C" w:tentative="1">
      <w:start w:val="1"/>
      <w:numFmt w:val="bullet"/>
      <w:lvlText w:val="•"/>
      <w:lvlJc w:val="left"/>
      <w:pPr>
        <w:tabs>
          <w:tab w:val="num" w:pos="2160"/>
        </w:tabs>
        <w:ind w:left="2160" w:hanging="360"/>
      </w:pPr>
      <w:rPr>
        <w:rFonts w:ascii="Arial" w:hAnsi="Arial" w:hint="default"/>
      </w:rPr>
    </w:lvl>
    <w:lvl w:ilvl="3" w:tplc="D022690E" w:tentative="1">
      <w:start w:val="1"/>
      <w:numFmt w:val="bullet"/>
      <w:lvlText w:val="•"/>
      <w:lvlJc w:val="left"/>
      <w:pPr>
        <w:tabs>
          <w:tab w:val="num" w:pos="2880"/>
        </w:tabs>
        <w:ind w:left="2880" w:hanging="360"/>
      </w:pPr>
      <w:rPr>
        <w:rFonts w:ascii="Arial" w:hAnsi="Arial" w:hint="default"/>
      </w:rPr>
    </w:lvl>
    <w:lvl w:ilvl="4" w:tplc="9628F320" w:tentative="1">
      <w:start w:val="1"/>
      <w:numFmt w:val="bullet"/>
      <w:lvlText w:val="•"/>
      <w:lvlJc w:val="left"/>
      <w:pPr>
        <w:tabs>
          <w:tab w:val="num" w:pos="3600"/>
        </w:tabs>
        <w:ind w:left="3600" w:hanging="360"/>
      </w:pPr>
      <w:rPr>
        <w:rFonts w:ascii="Arial" w:hAnsi="Arial" w:hint="default"/>
      </w:rPr>
    </w:lvl>
    <w:lvl w:ilvl="5" w:tplc="BE6E2B08" w:tentative="1">
      <w:start w:val="1"/>
      <w:numFmt w:val="bullet"/>
      <w:lvlText w:val="•"/>
      <w:lvlJc w:val="left"/>
      <w:pPr>
        <w:tabs>
          <w:tab w:val="num" w:pos="4320"/>
        </w:tabs>
        <w:ind w:left="4320" w:hanging="360"/>
      </w:pPr>
      <w:rPr>
        <w:rFonts w:ascii="Arial" w:hAnsi="Arial" w:hint="default"/>
      </w:rPr>
    </w:lvl>
    <w:lvl w:ilvl="6" w:tplc="4F76BEF6" w:tentative="1">
      <w:start w:val="1"/>
      <w:numFmt w:val="bullet"/>
      <w:lvlText w:val="•"/>
      <w:lvlJc w:val="left"/>
      <w:pPr>
        <w:tabs>
          <w:tab w:val="num" w:pos="5040"/>
        </w:tabs>
        <w:ind w:left="5040" w:hanging="360"/>
      </w:pPr>
      <w:rPr>
        <w:rFonts w:ascii="Arial" w:hAnsi="Arial" w:hint="default"/>
      </w:rPr>
    </w:lvl>
    <w:lvl w:ilvl="7" w:tplc="989E7FFC" w:tentative="1">
      <w:start w:val="1"/>
      <w:numFmt w:val="bullet"/>
      <w:lvlText w:val="•"/>
      <w:lvlJc w:val="left"/>
      <w:pPr>
        <w:tabs>
          <w:tab w:val="num" w:pos="5760"/>
        </w:tabs>
        <w:ind w:left="5760" w:hanging="360"/>
      </w:pPr>
      <w:rPr>
        <w:rFonts w:ascii="Arial" w:hAnsi="Arial" w:hint="default"/>
      </w:rPr>
    </w:lvl>
    <w:lvl w:ilvl="8" w:tplc="8852431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98D0A9B"/>
    <w:multiLevelType w:val="hybridMultilevel"/>
    <w:tmpl w:val="39C0F1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5270C0"/>
    <w:multiLevelType w:val="hybridMultilevel"/>
    <w:tmpl w:val="771A84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1D4ACB"/>
    <w:multiLevelType w:val="hybridMultilevel"/>
    <w:tmpl w:val="26980B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3712011">
    <w:abstractNumId w:val="0"/>
  </w:num>
  <w:num w:numId="2" w16cid:durableId="646319853">
    <w:abstractNumId w:val="2"/>
  </w:num>
  <w:num w:numId="3" w16cid:durableId="542988525">
    <w:abstractNumId w:val="3"/>
  </w:num>
  <w:num w:numId="4" w16cid:durableId="9143655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9BD"/>
    <w:rsid w:val="00092154"/>
    <w:rsid w:val="000C40F8"/>
    <w:rsid w:val="0014509C"/>
    <w:rsid w:val="00146A5F"/>
    <w:rsid w:val="00151A02"/>
    <w:rsid w:val="001D051E"/>
    <w:rsid w:val="00281C7D"/>
    <w:rsid w:val="002937ED"/>
    <w:rsid w:val="003B1260"/>
    <w:rsid w:val="004A63A6"/>
    <w:rsid w:val="004F79BD"/>
    <w:rsid w:val="00731C48"/>
    <w:rsid w:val="007340DB"/>
    <w:rsid w:val="00900EA7"/>
    <w:rsid w:val="009274D8"/>
    <w:rsid w:val="009655D4"/>
    <w:rsid w:val="009B2AD1"/>
    <w:rsid w:val="009D4B79"/>
    <w:rsid w:val="00A31FA3"/>
    <w:rsid w:val="00A566FA"/>
    <w:rsid w:val="00BB509C"/>
    <w:rsid w:val="00C87446"/>
    <w:rsid w:val="00CE492E"/>
    <w:rsid w:val="00D07145"/>
    <w:rsid w:val="00DD15CA"/>
    <w:rsid w:val="00E555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A5A79"/>
  <w15:chartTrackingRefBased/>
  <w15:docId w15:val="{1A5C7E8E-9BA3-49B3-86F4-9F5FACB67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79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79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79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79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79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79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79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79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79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79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79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79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79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79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79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79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79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79BD"/>
    <w:rPr>
      <w:rFonts w:eastAsiaTheme="majorEastAsia" w:cstheme="majorBidi"/>
      <w:color w:val="272727" w:themeColor="text1" w:themeTint="D8"/>
    </w:rPr>
  </w:style>
  <w:style w:type="paragraph" w:styleId="Title">
    <w:name w:val="Title"/>
    <w:basedOn w:val="Normal"/>
    <w:next w:val="Normal"/>
    <w:link w:val="TitleChar"/>
    <w:uiPriority w:val="10"/>
    <w:qFormat/>
    <w:rsid w:val="004F79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79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79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79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79BD"/>
    <w:pPr>
      <w:spacing w:before="160"/>
      <w:jc w:val="center"/>
    </w:pPr>
    <w:rPr>
      <w:i/>
      <w:iCs/>
      <w:color w:val="404040" w:themeColor="text1" w:themeTint="BF"/>
    </w:rPr>
  </w:style>
  <w:style w:type="character" w:customStyle="1" w:styleId="QuoteChar">
    <w:name w:val="Quote Char"/>
    <w:basedOn w:val="DefaultParagraphFont"/>
    <w:link w:val="Quote"/>
    <w:uiPriority w:val="29"/>
    <w:rsid w:val="004F79BD"/>
    <w:rPr>
      <w:i/>
      <w:iCs/>
      <w:color w:val="404040" w:themeColor="text1" w:themeTint="BF"/>
    </w:rPr>
  </w:style>
  <w:style w:type="paragraph" w:styleId="ListParagraph">
    <w:name w:val="List Paragraph"/>
    <w:aliases w:val="Bullet 1,Numbered Para 1,Dot pt,No Spacing1,List Paragraph Char Char Char,Indicator Text,List Paragraph1,Bullet Points,MAIN CONTENT,F5 List Paragraph,Colorful List - Accent 11,List Paragraph2,List Paragraph12,OBC Bullet,List Paragraph11,L"/>
    <w:basedOn w:val="Normal"/>
    <w:link w:val="ListParagraphChar"/>
    <w:uiPriority w:val="34"/>
    <w:qFormat/>
    <w:rsid w:val="004F79BD"/>
    <w:pPr>
      <w:ind w:left="720"/>
      <w:contextualSpacing/>
    </w:pPr>
  </w:style>
  <w:style w:type="character" w:styleId="IntenseEmphasis">
    <w:name w:val="Intense Emphasis"/>
    <w:basedOn w:val="DefaultParagraphFont"/>
    <w:uiPriority w:val="21"/>
    <w:qFormat/>
    <w:rsid w:val="004F79BD"/>
    <w:rPr>
      <w:i/>
      <w:iCs/>
      <w:color w:val="0F4761" w:themeColor="accent1" w:themeShade="BF"/>
    </w:rPr>
  </w:style>
  <w:style w:type="paragraph" w:styleId="IntenseQuote">
    <w:name w:val="Intense Quote"/>
    <w:basedOn w:val="Normal"/>
    <w:next w:val="Normal"/>
    <w:link w:val="IntenseQuoteChar"/>
    <w:uiPriority w:val="30"/>
    <w:qFormat/>
    <w:rsid w:val="004F79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79BD"/>
    <w:rPr>
      <w:i/>
      <w:iCs/>
      <w:color w:val="0F4761" w:themeColor="accent1" w:themeShade="BF"/>
    </w:rPr>
  </w:style>
  <w:style w:type="character" w:styleId="IntenseReference">
    <w:name w:val="Intense Reference"/>
    <w:basedOn w:val="DefaultParagraphFont"/>
    <w:uiPriority w:val="32"/>
    <w:qFormat/>
    <w:rsid w:val="004F79BD"/>
    <w:rPr>
      <w:b/>
      <w:bCs/>
      <w:smallCaps/>
      <w:color w:val="0F4761" w:themeColor="accent1" w:themeShade="BF"/>
      <w:spacing w:val="5"/>
    </w:rPr>
  </w:style>
  <w:style w:type="paragraph" w:styleId="Header">
    <w:name w:val="header"/>
    <w:basedOn w:val="Normal"/>
    <w:link w:val="HeaderChar"/>
    <w:uiPriority w:val="99"/>
    <w:unhideWhenUsed/>
    <w:rsid w:val="000C40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40F8"/>
  </w:style>
  <w:style w:type="paragraph" w:styleId="Footer">
    <w:name w:val="footer"/>
    <w:basedOn w:val="Normal"/>
    <w:link w:val="FooterChar"/>
    <w:uiPriority w:val="99"/>
    <w:unhideWhenUsed/>
    <w:rsid w:val="000C40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40F8"/>
  </w:style>
  <w:style w:type="paragraph" w:styleId="NormalWeb">
    <w:name w:val="Normal (Web)"/>
    <w:basedOn w:val="Normal"/>
    <w:uiPriority w:val="99"/>
    <w:semiHidden/>
    <w:unhideWhenUsed/>
    <w:rsid w:val="003B126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E555A2"/>
    <w:rPr>
      <w:color w:val="467886" w:themeColor="hyperlink"/>
      <w:u w:val="single"/>
    </w:rPr>
  </w:style>
  <w:style w:type="character" w:customStyle="1" w:styleId="ListParagraphChar">
    <w:name w:val="List Paragraph Char"/>
    <w:aliases w:val="Bullet 1 Char,Numbered Para 1 Char,Dot pt Char,No Spacing1 Char,List Paragraph Char Char Char Char,Indicator Text Char,List Paragraph1 Char,Bullet Points Char,MAIN CONTENT Char,F5 List Paragraph Char,Colorful List - Accent 11 Char"/>
    <w:link w:val="ListParagraph"/>
    <w:uiPriority w:val="34"/>
    <w:qFormat/>
    <w:locked/>
    <w:rsid w:val="004A63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343342">
      <w:bodyDiv w:val="1"/>
      <w:marLeft w:val="0"/>
      <w:marRight w:val="0"/>
      <w:marTop w:val="0"/>
      <w:marBottom w:val="0"/>
      <w:divBdr>
        <w:top w:val="none" w:sz="0" w:space="0" w:color="auto"/>
        <w:left w:val="none" w:sz="0" w:space="0" w:color="auto"/>
        <w:bottom w:val="none" w:sz="0" w:space="0" w:color="auto"/>
        <w:right w:val="none" w:sz="0" w:space="0" w:color="auto"/>
      </w:divBdr>
      <w:divsChild>
        <w:div w:id="680358696">
          <w:marLeft w:val="1080"/>
          <w:marRight w:val="0"/>
          <w:marTop w:val="0"/>
          <w:marBottom w:val="0"/>
          <w:divBdr>
            <w:top w:val="none" w:sz="0" w:space="0" w:color="auto"/>
            <w:left w:val="none" w:sz="0" w:space="0" w:color="auto"/>
            <w:bottom w:val="none" w:sz="0" w:space="0" w:color="auto"/>
            <w:right w:val="none" w:sz="0" w:space="0" w:color="auto"/>
          </w:divBdr>
        </w:div>
        <w:div w:id="1097091865">
          <w:marLeft w:val="1080"/>
          <w:marRight w:val="0"/>
          <w:marTop w:val="0"/>
          <w:marBottom w:val="0"/>
          <w:divBdr>
            <w:top w:val="none" w:sz="0" w:space="0" w:color="auto"/>
            <w:left w:val="none" w:sz="0" w:space="0" w:color="auto"/>
            <w:bottom w:val="none" w:sz="0" w:space="0" w:color="auto"/>
            <w:right w:val="none" w:sz="0" w:space="0" w:color="auto"/>
          </w:divBdr>
        </w:div>
        <w:div w:id="2127387551">
          <w:marLeft w:val="1080"/>
          <w:marRight w:val="0"/>
          <w:marTop w:val="0"/>
          <w:marBottom w:val="0"/>
          <w:divBdr>
            <w:top w:val="none" w:sz="0" w:space="0" w:color="auto"/>
            <w:left w:val="none" w:sz="0" w:space="0" w:color="auto"/>
            <w:bottom w:val="none" w:sz="0" w:space="0" w:color="auto"/>
            <w:right w:val="none" w:sz="0" w:space="0" w:color="auto"/>
          </w:divBdr>
        </w:div>
        <w:div w:id="627588397">
          <w:marLeft w:val="1080"/>
          <w:marRight w:val="0"/>
          <w:marTop w:val="0"/>
          <w:marBottom w:val="0"/>
          <w:divBdr>
            <w:top w:val="none" w:sz="0" w:space="0" w:color="auto"/>
            <w:left w:val="none" w:sz="0" w:space="0" w:color="auto"/>
            <w:bottom w:val="none" w:sz="0" w:space="0" w:color="auto"/>
            <w:right w:val="none" w:sz="0" w:space="0" w:color="auto"/>
          </w:divBdr>
        </w:div>
        <w:div w:id="581839859">
          <w:marLeft w:val="1080"/>
          <w:marRight w:val="0"/>
          <w:marTop w:val="0"/>
          <w:marBottom w:val="0"/>
          <w:divBdr>
            <w:top w:val="none" w:sz="0" w:space="0" w:color="auto"/>
            <w:left w:val="none" w:sz="0" w:space="0" w:color="auto"/>
            <w:bottom w:val="none" w:sz="0" w:space="0" w:color="auto"/>
            <w:right w:val="none" w:sz="0" w:space="0" w:color="auto"/>
          </w:divBdr>
        </w:div>
        <w:div w:id="605964387">
          <w:marLeft w:val="1080"/>
          <w:marRight w:val="0"/>
          <w:marTop w:val="0"/>
          <w:marBottom w:val="0"/>
          <w:divBdr>
            <w:top w:val="none" w:sz="0" w:space="0" w:color="auto"/>
            <w:left w:val="none" w:sz="0" w:space="0" w:color="auto"/>
            <w:bottom w:val="none" w:sz="0" w:space="0" w:color="auto"/>
            <w:right w:val="none" w:sz="0" w:space="0" w:color="auto"/>
          </w:divBdr>
        </w:div>
      </w:divsChild>
    </w:div>
    <w:div w:id="1635599332">
      <w:bodyDiv w:val="1"/>
      <w:marLeft w:val="0"/>
      <w:marRight w:val="0"/>
      <w:marTop w:val="0"/>
      <w:marBottom w:val="0"/>
      <w:divBdr>
        <w:top w:val="none" w:sz="0" w:space="0" w:color="auto"/>
        <w:left w:val="none" w:sz="0" w:space="0" w:color="auto"/>
        <w:bottom w:val="none" w:sz="0" w:space="0" w:color="auto"/>
        <w:right w:val="none" w:sz="0" w:space="0" w:color="auto"/>
      </w:divBdr>
    </w:div>
    <w:div w:id="1822774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8E43E-0EC9-4E23-98B7-30ACA1F7A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8</Pages>
  <Words>1853</Words>
  <Characters>10568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PANKHANIA, Darshna (NHS NORTH CENTRAL LONDON ICB - 93C)</dc:creator>
  <cp:keywords/>
  <dc:description/>
  <cp:lastModifiedBy>PANKHANIA, Darshna (NHS NORTH CENTRAL LONDON ICB - 93C)</cp:lastModifiedBy>
  <cp:revision>8</cp:revision>
  <dcterms:created xsi:type="dcterms:W3CDTF">2025-02-05T16:07:00Z</dcterms:created>
  <dcterms:modified xsi:type="dcterms:W3CDTF">2025-06-20T17:34:00Z</dcterms:modified>
</cp:coreProperties>
</file>