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Look w:val="04A0" w:firstRow="1" w:lastRow="0" w:firstColumn="1" w:lastColumn="0" w:noHBand="0" w:noVBand="1"/>
      </w:tblPr>
      <w:tblGrid>
        <w:gridCol w:w="624"/>
        <w:gridCol w:w="1867"/>
        <w:gridCol w:w="1137"/>
        <w:gridCol w:w="5499"/>
        <w:gridCol w:w="5499"/>
      </w:tblGrid>
      <w:tr w:rsidR="002E11D9" w:rsidRPr="002E11D9" w:rsidTr="00C5048D">
        <w:trPr>
          <w:tblHeader/>
        </w:trPr>
        <w:tc>
          <w:tcPr>
            <w:tcW w:w="624" w:type="dxa"/>
            <w:shd w:val="clear" w:color="auto" w:fill="A8D08D" w:themeFill="accent6" w:themeFillTint="99"/>
          </w:tcPr>
          <w:p w:rsidR="00472CD9" w:rsidRPr="002E11D9" w:rsidRDefault="00472CD9" w:rsidP="00472CD9">
            <w:pPr>
              <w:spacing w:after="120"/>
              <w:rPr>
                <w:rFonts w:ascii="Arial" w:hAnsi="Arial" w:cs="Arial"/>
              </w:rPr>
            </w:pPr>
            <w:r w:rsidRPr="002E11D9">
              <w:rPr>
                <w:rFonts w:ascii="Arial" w:hAnsi="Arial" w:cs="Arial"/>
                <w:b/>
              </w:rPr>
              <w:t>Q #</w:t>
            </w:r>
          </w:p>
        </w:tc>
        <w:tc>
          <w:tcPr>
            <w:tcW w:w="1867" w:type="dxa"/>
            <w:shd w:val="clear" w:color="auto" w:fill="A8D08D" w:themeFill="accent6" w:themeFillTint="99"/>
          </w:tcPr>
          <w:p w:rsidR="00472CD9" w:rsidRPr="002E11D9" w:rsidRDefault="00472CD9" w:rsidP="00472CD9">
            <w:pPr>
              <w:spacing w:after="120"/>
              <w:rPr>
                <w:rFonts w:ascii="Arial" w:hAnsi="Arial" w:cs="Arial"/>
              </w:rPr>
            </w:pPr>
            <w:r w:rsidRPr="002E11D9">
              <w:rPr>
                <w:rFonts w:ascii="Arial" w:hAnsi="Arial" w:cs="Arial"/>
                <w:b/>
              </w:rPr>
              <w:t>Item</w:t>
            </w:r>
          </w:p>
        </w:tc>
        <w:tc>
          <w:tcPr>
            <w:tcW w:w="1137" w:type="dxa"/>
            <w:shd w:val="clear" w:color="auto" w:fill="A8D08D" w:themeFill="accent6" w:themeFillTint="99"/>
          </w:tcPr>
          <w:p w:rsidR="00472CD9" w:rsidRPr="002E11D9" w:rsidRDefault="00472CD9" w:rsidP="00472CD9">
            <w:pPr>
              <w:spacing w:after="120"/>
              <w:rPr>
                <w:rFonts w:ascii="Arial" w:hAnsi="Arial" w:cs="Arial"/>
                <w:b/>
              </w:rPr>
            </w:pPr>
            <w:r w:rsidRPr="002E11D9">
              <w:rPr>
                <w:rFonts w:ascii="Arial" w:hAnsi="Arial" w:cs="Arial"/>
                <w:b/>
              </w:rPr>
              <w:t>From</w:t>
            </w:r>
          </w:p>
        </w:tc>
        <w:tc>
          <w:tcPr>
            <w:tcW w:w="5499" w:type="dxa"/>
            <w:shd w:val="clear" w:color="auto" w:fill="A8D08D" w:themeFill="accent6" w:themeFillTint="99"/>
          </w:tcPr>
          <w:p w:rsidR="00472CD9" w:rsidRPr="002E11D9" w:rsidRDefault="00472CD9" w:rsidP="00472CD9">
            <w:pPr>
              <w:spacing w:after="120"/>
              <w:rPr>
                <w:rFonts w:ascii="Arial" w:hAnsi="Arial" w:cs="Arial"/>
              </w:rPr>
            </w:pPr>
            <w:r w:rsidRPr="002E11D9">
              <w:rPr>
                <w:rFonts w:ascii="Arial" w:hAnsi="Arial" w:cs="Arial"/>
                <w:b/>
              </w:rPr>
              <w:t>Question</w:t>
            </w:r>
          </w:p>
        </w:tc>
        <w:tc>
          <w:tcPr>
            <w:tcW w:w="5499" w:type="dxa"/>
            <w:shd w:val="clear" w:color="auto" w:fill="A8D08D" w:themeFill="accent6" w:themeFillTint="99"/>
          </w:tcPr>
          <w:p w:rsidR="00472CD9" w:rsidRPr="002E11D9" w:rsidRDefault="00472CD9" w:rsidP="00472CD9">
            <w:pPr>
              <w:spacing w:after="120"/>
              <w:rPr>
                <w:rFonts w:ascii="Arial" w:hAnsi="Arial" w:cs="Arial"/>
              </w:rPr>
            </w:pPr>
            <w:r w:rsidRPr="002E11D9">
              <w:rPr>
                <w:rFonts w:ascii="Arial" w:hAnsi="Arial" w:cs="Arial"/>
                <w:b/>
              </w:rPr>
              <w:t>Answer</w:t>
            </w:r>
          </w:p>
        </w:tc>
      </w:tr>
      <w:tr w:rsidR="002E11D9" w:rsidRPr="002E11D9" w:rsidTr="00C5048D">
        <w:tc>
          <w:tcPr>
            <w:tcW w:w="624" w:type="dxa"/>
            <w:shd w:val="clear" w:color="auto" w:fill="auto"/>
          </w:tcPr>
          <w:p w:rsidR="00472CD9" w:rsidRPr="002E11D9" w:rsidRDefault="00C5048D" w:rsidP="00472CD9">
            <w:pPr>
              <w:spacing w:after="120"/>
              <w:rPr>
                <w:rFonts w:ascii="Arial" w:hAnsi="Arial" w:cs="Arial"/>
                <w:b/>
              </w:rPr>
            </w:pPr>
            <w:r w:rsidRPr="002E11D9">
              <w:rPr>
                <w:rFonts w:ascii="Arial" w:hAnsi="Arial" w:cs="Arial"/>
                <w:b/>
              </w:rPr>
              <w:t>1</w:t>
            </w:r>
          </w:p>
        </w:tc>
        <w:tc>
          <w:tcPr>
            <w:tcW w:w="1867" w:type="dxa"/>
            <w:shd w:val="clear" w:color="auto" w:fill="auto"/>
          </w:tcPr>
          <w:p w:rsidR="00472CD9" w:rsidRPr="002E11D9" w:rsidRDefault="00472CD9" w:rsidP="00472CD9">
            <w:pPr>
              <w:spacing w:after="120"/>
              <w:rPr>
                <w:rFonts w:ascii="Arial" w:hAnsi="Arial" w:cs="Arial"/>
              </w:rPr>
            </w:pPr>
            <w:r w:rsidRPr="002E11D9">
              <w:rPr>
                <w:rFonts w:ascii="Arial" w:hAnsi="Arial" w:cs="Arial"/>
                <w:b/>
              </w:rPr>
              <w:t xml:space="preserve">2.1) Transition Report </w:t>
            </w:r>
          </w:p>
        </w:tc>
        <w:tc>
          <w:tcPr>
            <w:tcW w:w="1137" w:type="dxa"/>
            <w:shd w:val="clear" w:color="auto" w:fill="auto"/>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auto"/>
          </w:tcPr>
          <w:p w:rsidR="00472CD9" w:rsidRPr="002E11D9" w:rsidRDefault="00472CD9" w:rsidP="00472CD9">
            <w:pPr>
              <w:spacing w:after="120"/>
              <w:rPr>
                <w:rFonts w:ascii="Arial" w:hAnsi="Arial" w:cs="Arial"/>
              </w:rPr>
            </w:pPr>
            <w:r w:rsidRPr="002E11D9">
              <w:rPr>
                <w:rFonts w:ascii="Arial" w:hAnsi="Arial" w:cs="Arial"/>
                <w:bCs/>
              </w:rPr>
              <w:t xml:space="preserve">We appreciate the sensitive HR work with so many staff in achieving the disproportionate cuts and the merger of two ICBs. May we ask how many staff are leaving with redundancy, how many are remaining to fill similar or indeed different jobs and how many new posts will remain to be filled through the recruitment process described in the report? What are the financial costs and benefits in the short and longer term? Can it please be conveyed to Wes Streeting that his reasons for demanding this level of cuts and for the creation of the largest ICB in the country have not got across either to the wider public or to those who try to be critical friends of an NHS struggling for adequate resources? </w:t>
            </w:r>
          </w:p>
        </w:tc>
        <w:tc>
          <w:tcPr>
            <w:tcW w:w="5499" w:type="dxa"/>
            <w:shd w:val="clear" w:color="auto" w:fill="auto"/>
          </w:tcPr>
          <w:p w:rsidR="00B4464A" w:rsidRPr="00B4464A" w:rsidRDefault="00B4464A" w:rsidP="00B4464A">
            <w:pPr>
              <w:spacing w:after="120"/>
              <w:rPr>
                <w:rFonts w:ascii="Arial" w:hAnsi="Arial" w:cs="Arial"/>
              </w:rPr>
            </w:pPr>
            <w:r>
              <w:rPr>
                <w:rFonts w:ascii="Arial" w:hAnsi="Arial" w:cs="Arial"/>
              </w:rPr>
              <w:t>T</w:t>
            </w:r>
            <w:r w:rsidRPr="00B4464A">
              <w:rPr>
                <w:rFonts w:ascii="Arial" w:hAnsi="Arial" w:cs="Arial"/>
              </w:rPr>
              <w:t>he mandated requirement on ICBs to reduce running costs by 50% has sadly triggered the need to implement a redundancy programme across the North West London and North Central London ICBs. This is being progressed through a voluntary redundancy scheme, follow</w:t>
            </w:r>
            <w:r>
              <w:rPr>
                <w:rFonts w:ascii="Arial" w:hAnsi="Arial" w:cs="Arial"/>
              </w:rPr>
              <w:t xml:space="preserve">ed by compulsory redundancies </w:t>
            </w:r>
            <w:r w:rsidRPr="00B4464A">
              <w:rPr>
                <w:rFonts w:ascii="Arial" w:hAnsi="Arial" w:cs="Arial"/>
              </w:rPr>
              <w:t>on completion of the internal selection and appointment activity into the organisational design of the new West and North London ICB.</w:t>
            </w:r>
          </w:p>
          <w:p w:rsidR="00B4464A" w:rsidRPr="00B4464A" w:rsidRDefault="00B4464A" w:rsidP="00B4464A">
            <w:pPr>
              <w:spacing w:after="120"/>
              <w:rPr>
                <w:rFonts w:ascii="Arial" w:hAnsi="Arial" w:cs="Arial"/>
              </w:rPr>
            </w:pPr>
            <w:r w:rsidRPr="00B4464A">
              <w:rPr>
                <w:rFonts w:ascii="Arial" w:hAnsi="Arial" w:cs="Arial"/>
              </w:rPr>
              <w:t> </w:t>
            </w:r>
          </w:p>
          <w:p w:rsidR="00B4464A" w:rsidRPr="00B4464A" w:rsidRDefault="00B4464A" w:rsidP="00B4464A">
            <w:pPr>
              <w:spacing w:after="120"/>
              <w:rPr>
                <w:rFonts w:ascii="Arial" w:hAnsi="Arial" w:cs="Arial"/>
              </w:rPr>
            </w:pPr>
            <w:r w:rsidRPr="00B4464A">
              <w:rPr>
                <w:rFonts w:ascii="Arial" w:hAnsi="Arial" w:cs="Arial"/>
              </w:rPr>
              <w:t xml:space="preserve">Whilst, we are not in a position to confirm the number of redundancies, with a current workforce of circa 1,400 staff across the two ICBs, regrettably a significant </w:t>
            </w:r>
            <w:r>
              <w:rPr>
                <w:rFonts w:ascii="Arial" w:hAnsi="Arial" w:cs="Arial"/>
              </w:rPr>
              <w:t>numb</w:t>
            </w:r>
            <w:r w:rsidR="00627A19">
              <w:rPr>
                <w:rFonts w:ascii="Arial" w:hAnsi="Arial" w:cs="Arial"/>
              </w:rPr>
              <w:t>er of staff will be leaving.  We</w:t>
            </w:r>
            <w:r w:rsidRPr="00B4464A">
              <w:rPr>
                <w:rFonts w:ascii="Arial" w:hAnsi="Arial" w:cs="Arial"/>
              </w:rPr>
              <w:t xml:space="preserve"> will ensure colleagues are fully supported in this regard.</w:t>
            </w:r>
          </w:p>
          <w:p w:rsidR="00B4464A" w:rsidRPr="00B4464A" w:rsidRDefault="00B4464A" w:rsidP="00B4464A">
            <w:pPr>
              <w:spacing w:after="120"/>
              <w:rPr>
                <w:rFonts w:ascii="Arial" w:hAnsi="Arial" w:cs="Arial"/>
              </w:rPr>
            </w:pPr>
            <w:r w:rsidRPr="00B4464A">
              <w:rPr>
                <w:rFonts w:ascii="Arial" w:hAnsi="Arial" w:cs="Arial"/>
              </w:rPr>
              <w:t> </w:t>
            </w:r>
          </w:p>
          <w:p w:rsidR="00472CD9" w:rsidRPr="002E11D9" w:rsidRDefault="00B4464A" w:rsidP="00B4464A">
            <w:pPr>
              <w:spacing w:after="120"/>
              <w:rPr>
                <w:rFonts w:ascii="Arial" w:hAnsi="Arial" w:cs="Arial"/>
              </w:rPr>
            </w:pPr>
            <w:r w:rsidRPr="00B4464A">
              <w:rPr>
                <w:rFonts w:ascii="Arial" w:hAnsi="Arial" w:cs="Arial"/>
              </w:rPr>
              <w:t>The West and North London ICB’s organisational design is structured around the role of ICBs going forward, in line with the new national model. Working with our key partners, the new ICB will focus its combined strategic commissioning expertise on continuing to drive improvements in health outcomes for patients and residents and tackling lon</w:t>
            </w:r>
            <w:r>
              <w:rPr>
                <w:rFonts w:ascii="Arial" w:hAnsi="Arial" w:cs="Arial"/>
              </w:rPr>
              <w:t>g-standing health inequalities,</w:t>
            </w:r>
            <w:r w:rsidRPr="00B4464A">
              <w:rPr>
                <w:rFonts w:ascii="Arial" w:hAnsi="Arial" w:cs="Arial"/>
              </w:rPr>
              <w:t xml:space="preserve"> maximising both the benefits of delivery at scale and the importance of delivering care and support at a local level.</w:t>
            </w:r>
          </w:p>
        </w:tc>
      </w:tr>
      <w:tr w:rsidR="002E11D9" w:rsidRPr="002E11D9" w:rsidTr="00C5048D">
        <w:tc>
          <w:tcPr>
            <w:tcW w:w="624" w:type="dxa"/>
            <w:shd w:val="clear" w:color="auto" w:fill="E2EFD9" w:themeFill="accent6" w:themeFillTint="33"/>
          </w:tcPr>
          <w:p w:rsidR="00472CD9" w:rsidRPr="002E11D9" w:rsidRDefault="00C5048D" w:rsidP="00472CD9">
            <w:pPr>
              <w:spacing w:after="120"/>
              <w:rPr>
                <w:rFonts w:ascii="Arial" w:hAnsi="Arial" w:cs="Arial"/>
                <w:b/>
              </w:rPr>
            </w:pPr>
            <w:r w:rsidRPr="002E11D9">
              <w:rPr>
                <w:rFonts w:ascii="Arial" w:hAnsi="Arial" w:cs="Arial"/>
                <w:b/>
              </w:rPr>
              <w:t>2</w:t>
            </w:r>
          </w:p>
        </w:tc>
        <w:tc>
          <w:tcPr>
            <w:tcW w:w="186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b/>
              </w:rPr>
              <w:t xml:space="preserve">2.3) Final   2026/27 West &amp; North London Financial Plan </w:t>
            </w:r>
          </w:p>
        </w:tc>
        <w:tc>
          <w:tcPr>
            <w:tcW w:w="113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bCs/>
                <w:lang w:val="en-US"/>
              </w:rPr>
              <w:t xml:space="preserve">Page 2. In the sentence </w:t>
            </w:r>
            <w:r w:rsidRPr="002E11D9">
              <w:rPr>
                <w:rFonts w:ascii="Arial" w:hAnsi="Arial" w:cs="Arial"/>
                <w:bCs/>
                <w:i/>
                <w:iCs/>
                <w:lang w:val="en-US"/>
              </w:rPr>
              <w:t>“£15m to pilot Integrated Neighbourhood Teams (INTs) for the top 5% highest-risk adults (25% coverage), with potential scale-up in 2027/28</w:t>
            </w:r>
            <w:r w:rsidRPr="002E11D9">
              <w:rPr>
                <w:rFonts w:ascii="Arial" w:hAnsi="Arial" w:cs="Arial"/>
                <w:bCs/>
                <w:lang w:val="en-US"/>
              </w:rPr>
              <w:t>.”, what does the phrase “</w:t>
            </w:r>
            <w:r w:rsidRPr="002E11D9">
              <w:rPr>
                <w:rFonts w:ascii="Arial" w:hAnsi="Arial" w:cs="Arial"/>
                <w:bCs/>
                <w:i/>
                <w:iCs/>
                <w:lang w:val="en-US"/>
              </w:rPr>
              <w:t xml:space="preserve">for the top 5% </w:t>
            </w:r>
            <w:r w:rsidRPr="002E11D9">
              <w:rPr>
                <w:rFonts w:ascii="Arial" w:hAnsi="Arial" w:cs="Arial"/>
                <w:bCs/>
                <w:i/>
                <w:iCs/>
                <w:lang w:val="en-US"/>
              </w:rPr>
              <w:lastRenderedPageBreak/>
              <w:t>highest-risk adults (25% coverage</w:t>
            </w:r>
            <w:r w:rsidRPr="002E11D9">
              <w:rPr>
                <w:rFonts w:ascii="Arial" w:hAnsi="Arial" w:cs="Arial"/>
                <w:bCs/>
                <w:lang w:val="en-US"/>
              </w:rPr>
              <w:t xml:space="preserve">)” mean? (On,page 8, this is further referred to as </w:t>
            </w:r>
            <w:r w:rsidRPr="002E11D9">
              <w:rPr>
                <w:rFonts w:ascii="Arial" w:hAnsi="Arial" w:cs="Arial"/>
                <w:bCs/>
                <w:i/>
                <w:iCs/>
                <w:lang w:val="en-US"/>
              </w:rPr>
              <w:t>“£15m to test Integrated Neighbourhood Teams (INTs) for the top 5% of highest-risk adults across 25% of patch, with the aim to rapidly scale the model across W&amp;NL in 27/28 if successful (~£65M in total / ~250k patients</w:t>
            </w:r>
            <w:r w:rsidRPr="002E11D9">
              <w:rPr>
                <w:rFonts w:ascii="Arial" w:hAnsi="Arial" w:cs="Arial"/>
                <w:bCs/>
                <w:lang w:val="en-US"/>
              </w:rPr>
              <w:t xml:space="preserve">” but it is still not understandable to the lay eye.) </w:t>
            </w:r>
          </w:p>
        </w:tc>
        <w:tc>
          <w:tcPr>
            <w:tcW w:w="5499" w:type="dxa"/>
            <w:shd w:val="clear" w:color="auto" w:fill="E2EFD9" w:themeFill="accent6" w:themeFillTint="33"/>
          </w:tcPr>
          <w:p w:rsidR="00472CD9" w:rsidRPr="002E11D9" w:rsidRDefault="001B0D8B" w:rsidP="001B0D8B">
            <w:pPr>
              <w:spacing w:after="120"/>
              <w:rPr>
                <w:rFonts w:ascii="Arial" w:hAnsi="Arial" w:cs="Arial"/>
              </w:rPr>
            </w:pPr>
            <w:r w:rsidRPr="001B0D8B">
              <w:rPr>
                <w:rFonts w:ascii="Arial" w:hAnsi="Arial" w:cs="Arial"/>
              </w:rPr>
              <w:lastRenderedPageBreak/>
              <w:t xml:space="preserve">The pilots being looked at are to provide care to high risk and high intensity users of NHS services in a different way with the aim of reducing the need for those residents to require secondary or escalated </w:t>
            </w:r>
            <w:r w:rsidRPr="001B0D8B">
              <w:rPr>
                <w:rFonts w:ascii="Arial" w:hAnsi="Arial" w:cs="Arial"/>
              </w:rPr>
              <w:lastRenderedPageBreak/>
              <w:t>care and be treated in their community.  This is a core part of the move to Neighbourhood Care.</w:t>
            </w:r>
          </w:p>
        </w:tc>
      </w:tr>
      <w:tr w:rsidR="002E11D9" w:rsidRPr="002E11D9" w:rsidTr="00C5048D">
        <w:tc>
          <w:tcPr>
            <w:tcW w:w="624" w:type="dxa"/>
            <w:shd w:val="clear" w:color="auto" w:fill="auto"/>
          </w:tcPr>
          <w:p w:rsidR="00472CD9" w:rsidRPr="002E11D9" w:rsidRDefault="00C5048D" w:rsidP="00472CD9">
            <w:pPr>
              <w:spacing w:after="120"/>
              <w:rPr>
                <w:rFonts w:ascii="Arial" w:hAnsi="Arial" w:cs="Arial"/>
                <w:b/>
              </w:rPr>
            </w:pPr>
            <w:r w:rsidRPr="002E11D9">
              <w:rPr>
                <w:rFonts w:ascii="Arial" w:hAnsi="Arial" w:cs="Arial"/>
                <w:b/>
              </w:rPr>
              <w:lastRenderedPageBreak/>
              <w:t>3</w:t>
            </w:r>
          </w:p>
        </w:tc>
        <w:tc>
          <w:tcPr>
            <w:tcW w:w="1867" w:type="dxa"/>
            <w:shd w:val="clear" w:color="auto" w:fill="auto"/>
          </w:tcPr>
          <w:p w:rsidR="00472CD9" w:rsidRPr="002E11D9" w:rsidRDefault="00472CD9" w:rsidP="00472CD9">
            <w:pPr>
              <w:spacing w:after="120"/>
              <w:rPr>
                <w:rFonts w:ascii="Arial" w:hAnsi="Arial" w:cs="Arial"/>
              </w:rPr>
            </w:pPr>
            <w:r w:rsidRPr="002E11D9">
              <w:rPr>
                <w:rFonts w:ascii="Arial" w:hAnsi="Arial" w:cs="Arial"/>
                <w:b/>
              </w:rPr>
              <w:t xml:space="preserve">2.3) Final   2026/27 West &amp; North London Financial Plan </w:t>
            </w:r>
          </w:p>
        </w:tc>
        <w:tc>
          <w:tcPr>
            <w:tcW w:w="1137" w:type="dxa"/>
            <w:shd w:val="clear" w:color="auto" w:fill="auto"/>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auto"/>
          </w:tcPr>
          <w:p w:rsidR="00472CD9" w:rsidRPr="002E11D9" w:rsidRDefault="00472CD9" w:rsidP="00472CD9">
            <w:pPr>
              <w:spacing w:after="120"/>
              <w:rPr>
                <w:rFonts w:ascii="Arial" w:hAnsi="Arial" w:cs="Arial"/>
                <w:bCs/>
                <w:lang w:val="en-US"/>
              </w:rPr>
            </w:pPr>
            <w:r w:rsidRPr="002E11D9">
              <w:rPr>
                <w:rFonts w:ascii="Arial" w:hAnsi="Arial" w:cs="Arial"/>
                <w:bCs/>
                <w:lang w:val="en-US"/>
              </w:rPr>
              <w:t xml:space="preserve">On page 9, </w:t>
            </w:r>
            <w:r w:rsidRPr="002E11D9">
              <w:rPr>
                <w:rFonts w:ascii="Arial" w:hAnsi="Arial" w:cs="Arial"/>
                <w:b/>
                <w:lang w:val="en-US"/>
              </w:rPr>
              <w:t>Capital Planning</w:t>
            </w:r>
            <w:r w:rsidRPr="002E11D9">
              <w:rPr>
                <w:rFonts w:ascii="Arial" w:hAnsi="Arial" w:cs="Arial"/>
                <w:bCs/>
                <w:lang w:val="en-US"/>
              </w:rPr>
              <w:t xml:space="preserve">, whilst there are </w:t>
            </w:r>
            <w:r w:rsidRPr="002E11D9">
              <w:rPr>
                <w:rFonts w:ascii="Arial" w:hAnsi="Arial" w:cs="Arial"/>
                <w:b/>
                <w:bCs/>
                <w:lang w:val="en-US"/>
              </w:rPr>
              <w:t>NCL Strategic Commitments</w:t>
            </w:r>
            <w:r w:rsidRPr="002E11D9">
              <w:rPr>
                <w:rFonts w:ascii="Arial" w:hAnsi="Arial" w:cs="Arial"/>
                <w:bCs/>
                <w:lang w:val="en-US"/>
              </w:rPr>
              <w:t xml:space="preserve"> at £94m across a 4-year period, with £45m in 2026/27 on named hospitals, by contrast NWL is referred to only under the heading “</w:t>
            </w:r>
            <w:r w:rsidRPr="002E11D9">
              <w:rPr>
                <w:rFonts w:ascii="Arial" w:hAnsi="Arial" w:cs="Arial"/>
                <w:b/>
                <w:bCs/>
                <w:lang w:val="en-US"/>
              </w:rPr>
              <w:t>Capital Risks and Mitigations</w:t>
            </w:r>
            <w:r w:rsidRPr="002E11D9">
              <w:rPr>
                <w:rFonts w:ascii="Arial" w:hAnsi="Arial" w:cs="Arial"/>
                <w:bCs/>
                <w:lang w:val="en-US"/>
              </w:rPr>
              <w:t xml:space="preserve">”:” </w:t>
            </w:r>
            <w:r w:rsidRPr="002E11D9">
              <w:rPr>
                <w:rFonts w:ascii="Arial" w:hAnsi="Arial" w:cs="Arial"/>
                <w:bCs/>
                <w:i/>
                <w:iCs/>
                <w:lang w:val="en-US"/>
              </w:rPr>
              <w:t xml:space="preserve">the W&amp;NL ICS has the largest backlog maintenance in the NHS and this </w:t>
            </w:r>
            <w:r w:rsidR="00C5048D" w:rsidRPr="002E11D9">
              <w:rPr>
                <w:rFonts w:ascii="Arial" w:hAnsi="Arial" w:cs="Arial"/>
                <w:bCs/>
                <w:i/>
                <w:iCs/>
                <w:lang w:val="en-US"/>
              </w:rPr>
              <w:t>4</w:t>
            </w:r>
            <w:r w:rsidRPr="002E11D9">
              <w:rPr>
                <w:rFonts w:ascii="Arial" w:hAnsi="Arial" w:cs="Arial"/>
                <w:bCs/>
                <w:i/>
                <w:iCs/>
                <w:lang w:val="en-US"/>
              </w:rPr>
              <w:t xml:space="preserve">is driven by the </w:t>
            </w:r>
            <w:r w:rsidRPr="002E11D9">
              <w:rPr>
                <w:rFonts w:ascii="Arial" w:hAnsi="Arial" w:cs="Arial"/>
                <w:b/>
                <w:bCs/>
                <w:i/>
                <w:iCs/>
                <w:lang w:val="en-US"/>
              </w:rPr>
              <w:t>poor quality of the acute estate in NWL</w:t>
            </w:r>
            <w:r w:rsidRPr="002E11D9">
              <w:rPr>
                <w:rFonts w:ascii="Arial" w:hAnsi="Arial" w:cs="Arial"/>
                <w:bCs/>
                <w:i/>
                <w:iCs/>
                <w:lang w:val="en-US"/>
              </w:rPr>
              <w:t xml:space="preserve">. </w:t>
            </w:r>
            <w:r w:rsidRPr="002E11D9">
              <w:rPr>
                <w:rFonts w:ascii="Arial" w:hAnsi="Arial" w:cs="Arial"/>
                <w:b/>
                <w:bCs/>
                <w:i/>
                <w:iCs/>
                <w:lang w:val="en-US"/>
              </w:rPr>
              <w:t xml:space="preserve">This </w:t>
            </w:r>
            <w:r w:rsidRPr="002E11D9">
              <w:rPr>
                <w:rFonts w:ascii="Arial" w:hAnsi="Arial" w:cs="Arial"/>
                <w:bCs/>
                <w:i/>
                <w:iCs/>
                <w:lang w:val="en-US"/>
              </w:rPr>
              <w:t xml:space="preserve">poses </w:t>
            </w:r>
            <w:r w:rsidRPr="002E11D9">
              <w:rPr>
                <w:rFonts w:ascii="Arial" w:hAnsi="Arial" w:cs="Arial"/>
                <w:b/>
                <w:bCs/>
                <w:i/>
                <w:iCs/>
                <w:lang w:val="en-US"/>
              </w:rPr>
              <w:t>a risk</w:t>
            </w:r>
            <w:r w:rsidRPr="002E11D9">
              <w:rPr>
                <w:rFonts w:ascii="Arial" w:hAnsi="Arial" w:cs="Arial"/>
                <w:bCs/>
                <w:i/>
                <w:iCs/>
                <w:lang w:val="en-US"/>
              </w:rPr>
              <w:t xml:space="preserve"> to the delivery of </w:t>
            </w:r>
            <w:r w:rsidRPr="002E11D9">
              <w:rPr>
                <w:rFonts w:ascii="Arial" w:hAnsi="Arial" w:cs="Arial"/>
                <w:b/>
                <w:bCs/>
                <w:i/>
                <w:iCs/>
                <w:lang w:val="en-US"/>
              </w:rPr>
              <w:t>our</w:t>
            </w:r>
            <w:r w:rsidRPr="002E11D9">
              <w:rPr>
                <w:rFonts w:ascii="Arial" w:hAnsi="Arial" w:cs="Arial"/>
                <w:bCs/>
                <w:i/>
                <w:iCs/>
                <w:lang w:val="en-US"/>
              </w:rPr>
              <w:t xml:space="preserve"> </w:t>
            </w:r>
            <w:r w:rsidRPr="002E11D9">
              <w:rPr>
                <w:rFonts w:ascii="Arial" w:hAnsi="Arial" w:cs="Arial"/>
                <w:b/>
                <w:bCs/>
                <w:i/>
                <w:iCs/>
                <w:lang w:val="en-US"/>
              </w:rPr>
              <w:t>strategic ambitions</w:t>
            </w:r>
            <w:r w:rsidRPr="002E11D9">
              <w:rPr>
                <w:rFonts w:ascii="Arial" w:hAnsi="Arial" w:cs="Arial"/>
                <w:bCs/>
                <w:i/>
                <w:iCs/>
                <w:lang w:val="en-US"/>
              </w:rPr>
              <w:t xml:space="preserve"> and the system is actively supporting Hillingdon Hospitals and Imperial College Healthcare Trust in their new hospital </w:t>
            </w:r>
            <w:r w:rsidRPr="002E11D9">
              <w:rPr>
                <w:rFonts w:ascii="Arial" w:hAnsi="Arial" w:cs="Arial"/>
                <w:b/>
                <w:bCs/>
                <w:i/>
                <w:iCs/>
                <w:lang w:val="en-US"/>
              </w:rPr>
              <w:t>ambitions</w:t>
            </w:r>
            <w:r w:rsidRPr="002E11D9">
              <w:rPr>
                <w:rFonts w:ascii="Arial" w:hAnsi="Arial" w:cs="Arial"/>
                <w:bCs/>
                <w:i/>
                <w:iCs/>
                <w:lang w:val="en-US"/>
              </w:rPr>
              <w:t>.</w:t>
            </w:r>
            <w:r w:rsidRPr="002E11D9">
              <w:rPr>
                <w:rFonts w:ascii="Arial" w:hAnsi="Arial" w:cs="Arial"/>
                <w:bCs/>
                <w:lang w:val="en-US"/>
              </w:rPr>
              <w:t xml:space="preserve">”  (our emphasis added) </w:t>
            </w:r>
          </w:p>
          <w:p w:rsidR="00472CD9" w:rsidRPr="002E11D9" w:rsidRDefault="00472CD9" w:rsidP="00472CD9">
            <w:pPr>
              <w:spacing w:after="120"/>
              <w:rPr>
                <w:rFonts w:ascii="Arial" w:hAnsi="Arial" w:cs="Arial"/>
              </w:rPr>
            </w:pPr>
            <w:r w:rsidRPr="002E11D9">
              <w:rPr>
                <w:rFonts w:ascii="Arial" w:hAnsi="Arial" w:cs="Arial"/>
                <w:bCs/>
                <w:lang w:val="en-US"/>
              </w:rPr>
              <w:t xml:space="preserve">This seems to indicate a disparity in commitment/ concrete commitment to NWL estate improvement. (The paragraph reads as though the poor quality of the NWL estate (entirely a result of lack of funding for long known urgent and accepted repair and renewal so that there is a large backlog maintenance) is seen as a fault of NWL holding back the merged ICB) Is this disparity a correct reading? (No doubt a £94m commitment to the </w:t>
            </w:r>
            <w:r w:rsidRPr="002E11D9">
              <w:rPr>
                <w:rFonts w:ascii="Arial" w:hAnsi="Arial" w:cs="Arial"/>
                <w:b/>
                <w:bCs/>
                <w:lang w:val="en-US"/>
              </w:rPr>
              <w:t>NWL estate</w:t>
            </w:r>
            <w:r w:rsidRPr="002E11D9">
              <w:rPr>
                <w:rFonts w:ascii="Arial" w:hAnsi="Arial" w:cs="Arial"/>
                <w:bCs/>
                <w:lang w:val="en-US"/>
              </w:rPr>
              <w:t xml:space="preserve"> might prevent its being a burden on the merged ICB.)</w:t>
            </w:r>
          </w:p>
        </w:tc>
        <w:tc>
          <w:tcPr>
            <w:tcW w:w="5499" w:type="dxa"/>
            <w:shd w:val="clear" w:color="auto" w:fill="auto"/>
          </w:tcPr>
          <w:p w:rsidR="001B0D8B" w:rsidRPr="001B0D8B" w:rsidRDefault="001B0D8B" w:rsidP="001B0D8B">
            <w:pPr>
              <w:spacing w:after="120"/>
              <w:rPr>
                <w:rFonts w:ascii="Arial" w:hAnsi="Arial" w:cs="Arial"/>
              </w:rPr>
            </w:pPr>
            <w:r>
              <w:rPr>
                <w:rFonts w:ascii="Arial" w:hAnsi="Arial" w:cs="Arial"/>
              </w:rPr>
              <w:t>The North Central London Integrated Care System</w:t>
            </w:r>
            <w:r w:rsidRPr="001B0D8B">
              <w:rPr>
                <w:rFonts w:ascii="Arial" w:hAnsi="Arial" w:cs="Arial"/>
              </w:rPr>
              <w:t xml:space="preserve"> agreed a number of system wide capital developments and the schemes listed in this paper represent that on-going commitment.  Therefore, it is not the correct reading and there is not a disparity.</w:t>
            </w:r>
          </w:p>
          <w:p w:rsidR="00472CD9" w:rsidRPr="002E11D9" w:rsidRDefault="00472CD9" w:rsidP="00472CD9">
            <w:pPr>
              <w:spacing w:after="120"/>
              <w:rPr>
                <w:rFonts w:ascii="Arial" w:hAnsi="Arial" w:cs="Arial"/>
              </w:rPr>
            </w:pPr>
          </w:p>
        </w:tc>
      </w:tr>
      <w:tr w:rsidR="002E11D9" w:rsidRPr="002E11D9" w:rsidTr="00C5048D">
        <w:tc>
          <w:tcPr>
            <w:tcW w:w="624" w:type="dxa"/>
            <w:shd w:val="clear" w:color="auto" w:fill="E2EFD9" w:themeFill="accent6" w:themeFillTint="33"/>
          </w:tcPr>
          <w:p w:rsidR="00472CD9" w:rsidRPr="002E11D9" w:rsidRDefault="00C5048D" w:rsidP="00472CD9">
            <w:pPr>
              <w:spacing w:after="120"/>
              <w:rPr>
                <w:rFonts w:ascii="Arial" w:hAnsi="Arial" w:cs="Arial"/>
                <w:b/>
              </w:rPr>
            </w:pPr>
            <w:r w:rsidRPr="002E11D9">
              <w:rPr>
                <w:rFonts w:ascii="Arial" w:hAnsi="Arial" w:cs="Arial"/>
                <w:b/>
              </w:rPr>
              <w:lastRenderedPageBreak/>
              <w:t>4</w:t>
            </w:r>
          </w:p>
        </w:tc>
        <w:tc>
          <w:tcPr>
            <w:tcW w:w="186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eastAsia="Aptos" w:hAnsi="Arial" w:cs="Arial"/>
                <w:b/>
                <w:bCs/>
              </w:rPr>
              <w:t>3.1) Joint Performance Report</w:t>
            </w:r>
          </w:p>
        </w:tc>
        <w:tc>
          <w:tcPr>
            <w:tcW w:w="113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lang w:val="en-US"/>
              </w:rPr>
              <w:t>Page 3 “</w:t>
            </w:r>
            <w:r w:rsidRPr="002E11D9">
              <w:rPr>
                <w:rFonts w:ascii="Arial" w:hAnsi="Arial" w:cs="Arial"/>
                <w:i/>
                <w:iCs/>
                <w:lang w:val="en-US"/>
              </w:rPr>
              <w:t>Voluntary Sector: VCSE partnerships, supported by 3ST, have enabled additional investment into the sector and developed shared infrastructure, including an Impact Framework and Contract Portal that enables effective and efficient management of multiple small contracts</w:t>
            </w:r>
            <w:r w:rsidRPr="002E11D9">
              <w:rPr>
                <w:rFonts w:ascii="Arial" w:hAnsi="Arial" w:cs="Arial"/>
                <w:lang w:val="en-US"/>
              </w:rPr>
              <w:t xml:space="preserve">.” Is the tendering and contract arrangement available only to members of 3ST? (The website links to funding and tenders refer to “members’” opportunities.) </w:t>
            </w:r>
          </w:p>
        </w:tc>
        <w:tc>
          <w:tcPr>
            <w:tcW w:w="5499" w:type="dxa"/>
            <w:shd w:val="clear" w:color="auto" w:fill="E2EFD9" w:themeFill="accent6" w:themeFillTint="33"/>
          </w:tcPr>
          <w:p w:rsidR="001F793D" w:rsidRPr="002E11D9" w:rsidRDefault="001F793D" w:rsidP="00472CD9">
            <w:pPr>
              <w:spacing w:after="120"/>
              <w:rPr>
                <w:rFonts w:ascii="Arial" w:hAnsi="Arial" w:cs="Arial"/>
              </w:rPr>
            </w:pPr>
            <w:r w:rsidRPr="002E11D9">
              <w:rPr>
                <w:rFonts w:ascii="Arial" w:hAnsi="Arial" w:cs="Arial"/>
              </w:rPr>
              <w:t>No, the tendering and contract arrangements are not limited to 3ST members. While 3ST supports the development of shared infrastructure for the voluntary sector, non</w:t>
            </w:r>
            <w:r w:rsidRPr="002E11D9">
              <w:rPr>
                <w:rFonts w:ascii="Arial" w:hAnsi="Arial" w:cs="Arial"/>
              </w:rPr>
              <w:noBreakHyphen/>
              <w:t>3ST organisations are also able to access and use the Impact Framework and the Contract Portal. These tools were designed to support effective management of multiple small contracts across the wider VCSE sector, not just within the 3ST membership.</w:t>
            </w:r>
          </w:p>
        </w:tc>
      </w:tr>
      <w:tr w:rsidR="002E11D9" w:rsidRPr="002E11D9" w:rsidTr="00C5048D">
        <w:tc>
          <w:tcPr>
            <w:tcW w:w="624" w:type="dxa"/>
            <w:shd w:val="clear" w:color="auto" w:fill="auto"/>
          </w:tcPr>
          <w:p w:rsidR="00472CD9" w:rsidRPr="002E11D9" w:rsidRDefault="00C5048D" w:rsidP="00472CD9">
            <w:pPr>
              <w:spacing w:after="120"/>
              <w:rPr>
                <w:rFonts w:ascii="Arial" w:hAnsi="Arial" w:cs="Arial"/>
                <w:b/>
              </w:rPr>
            </w:pPr>
            <w:r w:rsidRPr="002E11D9">
              <w:rPr>
                <w:rFonts w:ascii="Arial" w:hAnsi="Arial" w:cs="Arial"/>
                <w:b/>
              </w:rPr>
              <w:t>5</w:t>
            </w:r>
          </w:p>
        </w:tc>
        <w:tc>
          <w:tcPr>
            <w:tcW w:w="1867" w:type="dxa"/>
            <w:shd w:val="clear" w:color="auto" w:fill="auto"/>
          </w:tcPr>
          <w:p w:rsidR="00472CD9" w:rsidRPr="002E11D9" w:rsidRDefault="00C5048D" w:rsidP="00472CD9">
            <w:pPr>
              <w:spacing w:after="120"/>
              <w:rPr>
                <w:rFonts w:ascii="Arial" w:hAnsi="Arial" w:cs="Arial"/>
              </w:rPr>
            </w:pPr>
            <w:r w:rsidRPr="002E11D9">
              <w:rPr>
                <w:rFonts w:ascii="Arial" w:eastAsia="Aptos" w:hAnsi="Arial" w:cs="Arial"/>
                <w:b/>
                <w:bCs/>
              </w:rPr>
              <w:t>3.1) Joint Performance Report</w:t>
            </w:r>
          </w:p>
        </w:tc>
        <w:tc>
          <w:tcPr>
            <w:tcW w:w="1137" w:type="dxa"/>
            <w:shd w:val="clear" w:color="auto" w:fill="auto"/>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auto"/>
          </w:tcPr>
          <w:p w:rsidR="00472CD9" w:rsidRPr="002E11D9" w:rsidRDefault="00472CD9" w:rsidP="00472CD9">
            <w:pPr>
              <w:spacing w:after="120"/>
              <w:rPr>
                <w:rFonts w:ascii="Arial" w:hAnsi="Arial" w:cs="Arial"/>
              </w:rPr>
            </w:pPr>
            <w:r w:rsidRPr="002E11D9">
              <w:rPr>
                <w:rFonts w:ascii="Arial" w:hAnsi="Arial" w:cs="Arial"/>
                <w:lang w:val="en-US"/>
              </w:rPr>
              <w:t>Page 4 Finance “</w:t>
            </w:r>
            <w:r w:rsidRPr="002E11D9">
              <w:rPr>
                <w:rFonts w:ascii="Arial" w:hAnsi="Arial" w:cs="Arial"/>
                <w:i/>
                <w:iCs/>
                <w:lang w:val="en-US"/>
              </w:rPr>
              <w:t>In January, the NCL system reported a £46.1m deficit which is a £27.3m variance to the submitted deficit plan. The NWL system reported a favourable variance of £1.5m on the breakeven plan</w:t>
            </w:r>
            <w:r w:rsidRPr="002E11D9">
              <w:rPr>
                <w:rFonts w:ascii="Arial" w:hAnsi="Arial" w:cs="Arial"/>
                <w:lang w:val="en-US"/>
              </w:rPr>
              <w:t>.” (apart from this statement being repeated through the paper, no substantive comment seems to be made on the effect of this deficit amount or variance either in this paper (or the Finance Paper 2.3). What is the net effect on the combined ICB going forward?</w:t>
            </w:r>
          </w:p>
        </w:tc>
        <w:tc>
          <w:tcPr>
            <w:tcW w:w="5499" w:type="dxa"/>
            <w:shd w:val="clear" w:color="auto" w:fill="auto"/>
          </w:tcPr>
          <w:p w:rsidR="001337B6" w:rsidRPr="001337B6" w:rsidRDefault="001337B6" w:rsidP="001337B6">
            <w:pPr>
              <w:spacing w:after="120"/>
              <w:rPr>
                <w:rFonts w:ascii="Arial" w:hAnsi="Arial" w:cs="Arial"/>
              </w:rPr>
            </w:pPr>
            <w:r>
              <w:rPr>
                <w:rFonts w:ascii="Arial" w:hAnsi="Arial" w:cs="Arial"/>
              </w:rPr>
              <w:t>I</w:t>
            </w:r>
            <w:r w:rsidRPr="001337B6">
              <w:rPr>
                <w:rFonts w:ascii="Arial" w:hAnsi="Arial" w:cs="Arial"/>
              </w:rPr>
              <w:t>n 25/26 NWL 2.96% under and NCL 3.01% over (across core, primary care and spec comm)</w:t>
            </w:r>
          </w:p>
          <w:p w:rsidR="001337B6" w:rsidRPr="001337B6" w:rsidRDefault="001337B6" w:rsidP="001337B6">
            <w:pPr>
              <w:spacing w:after="120"/>
              <w:rPr>
                <w:rFonts w:ascii="Arial" w:hAnsi="Arial" w:cs="Arial"/>
              </w:rPr>
            </w:pPr>
            <w:r w:rsidRPr="001337B6">
              <w:rPr>
                <w:rFonts w:ascii="Arial" w:hAnsi="Arial" w:cs="Arial"/>
              </w:rPr>
              <w:t>The methodology and population changes in 26/27 meant the 2 ICBs fair shares targets reduced (a bigger reduction in NWL) compared to 25/26, which changed the DFTs</w:t>
            </w:r>
          </w:p>
          <w:p w:rsidR="001337B6" w:rsidRPr="001337B6" w:rsidRDefault="001337B6" w:rsidP="001337B6">
            <w:pPr>
              <w:spacing w:after="120"/>
              <w:rPr>
                <w:rFonts w:ascii="Arial" w:hAnsi="Arial" w:cs="Arial"/>
              </w:rPr>
            </w:pPr>
            <w:r w:rsidRPr="001337B6">
              <w:rPr>
                <w:rFonts w:ascii="Arial" w:hAnsi="Arial" w:cs="Arial"/>
              </w:rPr>
              <w:t>The combined allocation for 26/27 was 1.6% under target for core, 3.4% under for primary care, 1.42% over for spec comm. The threshold for maximum 0.5% convergence was ICBs being more than 3% under and WNL no longer an outlier in core. We received 0.16% convergence. Not aware of any ICBs nationally receiving more than the 0.5% convergence.</w:t>
            </w:r>
          </w:p>
          <w:p w:rsidR="00472CD9" w:rsidRPr="002E11D9" w:rsidRDefault="001337B6" w:rsidP="001337B6">
            <w:pPr>
              <w:spacing w:after="120"/>
              <w:rPr>
                <w:rFonts w:ascii="Arial" w:hAnsi="Arial" w:cs="Arial"/>
              </w:rPr>
            </w:pPr>
            <w:r w:rsidRPr="001337B6">
              <w:rPr>
                <w:rFonts w:ascii="Arial" w:hAnsi="Arial" w:cs="Arial"/>
              </w:rPr>
              <w:t>National team compared allocation for WNL with individual allocations for NWL and NCL and found no material difference.</w:t>
            </w:r>
          </w:p>
        </w:tc>
      </w:tr>
      <w:tr w:rsidR="002E11D9" w:rsidRPr="002E11D9" w:rsidTr="00C5048D">
        <w:tc>
          <w:tcPr>
            <w:tcW w:w="624" w:type="dxa"/>
            <w:shd w:val="clear" w:color="auto" w:fill="E2EFD9" w:themeFill="accent6" w:themeFillTint="33"/>
          </w:tcPr>
          <w:p w:rsidR="00AC4EBC" w:rsidRPr="002E11D9" w:rsidRDefault="00C5048D" w:rsidP="00C5048D">
            <w:pPr>
              <w:spacing w:after="120"/>
              <w:rPr>
                <w:rFonts w:ascii="Arial" w:hAnsi="Arial" w:cs="Arial"/>
                <w:b/>
              </w:rPr>
            </w:pPr>
            <w:r w:rsidRPr="002E11D9">
              <w:rPr>
                <w:rFonts w:ascii="Arial" w:hAnsi="Arial" w:cs="Arial"/>
                <w:b/>
              </w:rPr>
              <w:t>6</w:t>
            </w:r>
          </w:p>
        </w:tc>
        <w:tc>
          <w:tcPr>
            <w:tcW w:w="1867" w:type="dxa"/>
            <w:shd w:val="clear" w:color="auto" w:fill="E2EFD9" w:themeFill="accent6" w:themeFillTint="33"/>
          </w:tcPr>
          <w:p w:rsidR="00AC4EBC" w:rsidRPr="002E11D9" w:rsidRDefault="00C5048D" w:rsidP="00C5048D">
            <w:pPr>
              <w:pStyle w:val="xxmsonormal"/>
              <w:spacing w:after="120"/>
              <w:rPr>
                <w:rFonts w:ascii="Arial" w:eastAsia="Aptos" w:hAnsi="Arial" w:cs="Arial"/>
                <w:b/>
                <w:bCs/>
              </w:rPr>
            </w:pPr>
            <w:r w:rsidRPr="002E11D9">
              <w:rPr>
                <w:rFonts w:ascii="Arial" w:eastAsia="Aptos" w:hAnsi="Arial" w:cs="Arial"/>
                <w:b/>
                <w:bCs/>
              </w:rPr>
              <w:t>3.1) Joint Performance Report</w:t>
            </w:r>
          </w:p>
        </w:tc>
        <w:tc>
          <w:tcPr>
            <w:tcW w:w="1137" w:type="dxa"/>
            <w:shd w:val="clear" w:color="auto" w:fill="E2EFD9" w:themeFill="accent6" w:themeFillTint="33"/>
          </w:tcPr>
          <w:p w:rsidR="00C5048D" w:rsidRPr="002E11D9" w:rsidRDefault="00C5048D" w:rsidP="00C5048D">
            <w:pPr>
              <w:pStyle w:val="xxmsonormal"/>
              <w:spacing w:after="120"/>
            </w:pPr>
            <w:r w:rsidRPr="002E11D9">
              <w:rPr>
                <w:rFonts w:ascii="Aptos" w:hAnsi="Aptos"/>
              </w:rPr>
              <w:t>Merril Hammer</w:t>
            </w:r>
          </w:p>
          <w:p w:rsidR="00AC4EBC" w:rsidRPr="002E11D9" w:rsidRDefault="00AC4EBC" w:rsidP="00C5048D">
            <w:pPr>
              <w:spacing w:after="120"/>
              <w:rPr>
                <w:rFonts w:ascii="Arial" w:hAnsi="Arial" w:cs="Arial"/>
              </w:rPr>
            </w:pPr>
          </w:p>
        </w:tc>
        <w:tc>
          <w:tcPr>
            <w:tcW w:w="5499" w:type="dxa"/>
            <w:shd w:val="clear" w:color="auto" w:fill="E2EFD9" w:themeFill="accent6" w:themeFillTint="33"/>
          </w:tcPr>
          <w:p w:rsidR="00C5048D" w:rsidRPr="002E11D9" w:rsidRDefault="00C5048D" w:rsidP="00C5048D">
            <w:pPr>
              <w:pStyle w:val="xxmsonormal"/>
              <w:spacing w:after="120"/>
            </w:pPr>
            <w:r w:rsidRPr="002E11D9">
              <w:rPr>
                <w:rFonts w:ascii="Aptos" w:hAnsi="Aptos"/>
              </w:rPr>
              <w:t>Performance Report - Mental Health p.6</w:t>
            </w:r>
          </w:p>
          <w:p w:rsidR="00C5048D" w:rsidRPr="002E11D9" w:rsidRDefault="00C5048D" w:rsidP="00C5048D">
            <w:pPr>
              <w:pStyle w:val="xxmsonormal"/>
              <w:spacing w:after="120"/>
            </w:pPr>
            <w:r w:rsidRPr="002E11D9">
              <w:rPr>
                <w:rFonts w:ascii="Aptos" w:hAnsi="Aptos"/>
              </w:rPr>
              <w:t xml:space="preserve">'In January 33.3% of people requiring mental health support experienced waits of over 12 </w:t>
            </w:r>
            <w:r w:rsidRPr="002E11D9">
              <w:rPr>
                <w:rFonts w:ascii="Aptos" w:hAnsi="Aptos"/>
              </w:rPr>
              <w:lastRenderedPageBreak/>
              <w:t>hours in NW London Emergency Departments. (The stretch target is 20%.)'  </w:t>
            </w:r>
          </w:p>
          <w:p w:rsidR="00C5048D" w:rsidRPr="002E11D9" w:rsidRDefault="00C5048D" w:rsidP="00C5048D">
            <w:pPr>
              <w:pStyle w:val="xxmsonormal"/>
              <w:spacing w:after="120"/>
            </w:pPr>
            <w:r w:rsidRPr="002E11D9">
              <w:rPr>
                <w:rFonts w:ascii="Aptos" w:hAnsi="Aptos"/>
              </w:rPr>
              <w:t>'In NCL the figure is only 15%.' </w:t>
            </w:r>
          </w:p>
          <w:p w:rsidR="00C5048D" w:rsidRPr="002E11D9" w:rsidRDefault="00C5048D" w:rsidP="00C5048D">
            <w:pPr>
              <w:pStyle w:val="xxmsonormal"/>
              <w:spacing w:after="120"/>
            </w:pPr>
            <w:r w:rsidRPr="002E11D9">
              <w:rPr>
                <w:rFonts w:ascii="Aptos" w:hAnsi="Aptos"/>
              </w:rPr>
              <w:t>The figures for both NCL but most particularly NWL remain distressingly high. I would like to ask, given that no explanation for these long waits are provided in these papers, what the key factors are - are they lack of appropriate beds? Lack of appropriate mental health staff? Lack of suitable transport? Or any other specific reason or reasons? </w:t>
            </w:r>
          </w:p>
          <w:p w:rsidR="00AC4EBC" w:rsidRPr="002E11D9" w:rsidRDefault="00C5048D" w:rsidP="00C5048D">
            <w:pPr>
              <w:pStyle w:val="xxmsonormal"/>
              <w:spacing w:after="120"/>
              <w:rPr>
                <w:rFonts w:ascii="Arial" w:hAnsi="Arial" w:cs="Arial"/>
                <w:lang w:val="en-US"/>
              </w:rPr>
            </w:pPr>
            <w:r w:rsidRPr="002E11D9">
              <w:rPr>
                <w:rFonts w:ascii="Aptos" w:hAnsi="Aptos"/>
              </w:rPr>
              <w:t>In the interests of transparency, does it not seem desirable that these figures are explained and that strategies to mitigate this distressing situation are provided?</w:t>
            </w:r>
          </w:p>
        </w:tc>
        <w:tc>
          <w:tcPr>
            <w:tcW w:w="5499" w:type="dxa"/>
            <w:shd w:val="clear" w:color="auto" w:fill="E2EFD9" w:themeFill="accent6" w:themeFillTint="33"/>
          </w:tcPr>
          <w:p w:rsidR="00AC522B" w:rsidRPr="002E11D9" w:rsidRDefault="00AC522B" w:rsidP="00AC522B">
            <w:pPr>
              <w:spacing w:after="120"/>
              <w:rPr>
                <w:rFonts w:ascii="Arial" w:hAnsi="Arial" w:cs="Arial"/>
              </w:rPr>
            </w:pPr>
            <w:r w:rsidRPr="002E11D9">
              <w:rPr>
                <w:rFonts w:ascii="Arial" w:hAnsi="Arial" w:cs="Arial"/>
              </w:rPr>
              <w:lastRenderedPageBreak/>
              <w:t>In January 2026, north west London saw a temporary increase in 12</w:t>
            </w:r>
            <w:r w:rsidRPr="002E11D9">
              <w:rPr>
                <w:rFonts w:ascii="Arial" w:hAnsi="Arial" w:cs="Arial"/>
              </w:rPr>
              <w:noBreakHyphen/>
              <w:t xml:space="preserve">hour waits. This was driven by a combination of higher-than-usual demand and limited availability of appropriate community-based </w:t>
            </w:r>
            <w:r w:rsidRPr="002E11D9">
              <w:rPr>
                <w:rFonts w:ascii="Arial" w:hAnsi="Arial" w:cs="Arial"/>
              </w:rPr>
              <w:lastRenderedPageBreak/>
              <w:t>alternatives to Emergency Departments. It was not caused by a single issue, but by a mix of factors including pressures on bed capacity, staffing constraints across the urgent care and mental health pathway, and delays linked to the availability of suitable services outside of ED for safe onward care.</w:t>
            </w:r>
          </w:p>
          <w:p w:rsidR="00AC522B" w:rsidRPr="002E11D9" w:rsidRDefault="00AC522B" w:rsidP="00AC522B">
            <w:pPr>
              <w:spacing w:after="120"/>
              <w:rPr>
                <w:rFonts w:ascii="Arial" w:hAnsi="Arial" w:cs="Arial"/>
              </w:rPr>
            </w:pPr>
            <w:r w:rsidRPr="002E11D9">
              <w:rPr>
                <w:rFonts w:ascii="Arial" w:hAnsi="Arial" w:cs="Arial"/>
              </w:rPr>
              <w:t>To address this, NHS North West London has invested Urgent and Emergency Care funding directly into strengthening mental health alternatives to ED. These improvements are being phased in across late 2025/26 and early 2026/27. This includes the go</w:t>
            </w:r>
            <w:r w:rsidRPr="002E11D9">
              <w:rPr>
                <w:rFonts w:ascii="Arial" w:hAnsi="Arial" w:cs="Arial"/>
              </w:rPr>
              <w:noBreakHyphen/>
              <w:t>live of a new Mental Health Crisis Assessment Service (MHCAS) at Lakeside, which will provide a dedicated route for people in crisis to be assessed and supported without needing to attend an Emergency Department.</w:t>
            </w:r>
          </w:p>
          <w:p w:rsidR="00AC4EBC" w:rsidRPr="002E11D9" w:rsidRDefault="00AC522B" w:rsidP="00AC522B">
            <w:pPr>
              <w:spacing w:after="120"/>
              <w:rPr>
                <w:rFonts w:ascii="Arial" w:hAnsi="Arial" w:cs="Arial"/>
              </w:rPr>
            </w:pPr>
            <w:r w:rsidRPr="002E11D9">
              <w:rPr>
                <w:rFonts w:ascii="Arial" w:hAnsi="Arial" w:cs="Arial"/>
              </w:rPr>
              <w:t>These changes are already having an impact. The February 2026 data shows an improvement in 12</w:t>
            </w:r>
            <w:r w:rsidRPr="002E11D9">
              <w:rPr>
                <w:rFonts w:ascii="Arial" w:hAnsi="Arial" w:cs="Arial"/>
              </w:rPr>
              <w:noBreakHyphen/>
              <w:t>hour waits, the eradication of 72</w:t>
            </w:r>
            <w:r w:rsidRPr="002E11D9">
              <w:rPr>
                <w:rFonts w:ascii="Arial" w:hAnsi="Arial" w:cs="Arial"/>
              </w:rPr>
              <w:noBreakHyphen/>
              <w:t>hour breaches, and a reduction in average length of stay. Alongside this, a recently approved business case for an Assertive Outreach model will further strengthen our ability to support patients safely outside ED and reduce demand for emergency pathways.</w:t>
            </w:r>
          </w:p>
        </w:tc>
      </w:tr>
      <w:tr w:rsidR="002E11D9" w:rsidRPr="002E11D9" w:rsidTr="00C5048D">
        <w:tc>
          <w:tcPr>
            <w:tcW w:w="624" w:type="dxa"/>
            <w:shd w:val="clear" w:color="auto" w:fill="auto"/>
          </w:tcPr>
          <w:p w:rsidR="00472CD9" w:rsidRPr="002E11D9" w:rsidRDefault="00C5048D" w:rsidP="00472CD9">
            <w:pPr>
              <w:spacing w:after="120"/>
              <w:rPr>
                <w:rFonts w:ascii="Arial" w:hAnsi="Arial" w:cs="Arial"/>
                <w:b/>
              </w:rPr>
            </w:pPr>
            <w:r w:rsidRPr="002E11D9">
              <w:rPr>
                <w:rFonts w:ascii="Arial" w:hAnsi="Arial" w:cs="Arial"/>
                <w:b/>
              </w:rPr>
              <w:lastRenderedPageBreak/>
              <w:t>7</w:t>
            </w:r>
          </w:p>
        </w:tc>
        <w:tc>
          <w:tcPr>
            <w:tcW w:w="1867" w:type="dxa"/>
            <w:shd w:val="clear" w:color="auto" w:fill="auto"/>
          </w:tcPr>
          <w:p w:rsidR="00472CD9" w:rsidRPr="002E11D9" w:rsidRDefault="00472CD9" w:rsidP="00472CD9">
            <w:pPr>
              <w:spacing w:after="120"/>
              <w:rPr>
                <w:rFonts w:ascii="Arial" w:hAnsi="Arial" w:cs="Arial"/>
              </w:rPr>
            </w:pPr>
            <w:r w:rsidRPr="002E11D9">
              <w:rPr>
                <w:rFonts w:ascii="Arial" w:hAnsi="Arial" w:cs="Arial"/>
                <w:b/>
              </w:rPr>
              <w:t xml:space="preserve">3.2) NC London Population Health Strategic Commissioning Committee and NW London </w:t>
            </w:r>
            <w:r w:rsidRPr="002E11D9">
              <w:rPr>
                <w:rFonts w:ascii="Arial" w:hAnsi="Arial" w:cs="Arial"/>
                <w:b/>
              </w:rPr>
              <w:lastRenderedPageBreak/>
              <w:t>Strategic Commissioning Committee Assurance Report</w:t>
            </w:r>
          </w:p>
        </w:tc>
        <w:tc>
          <w:tcPr>
            <w:tcW w:w="1137" w:type="dxa"/>
            <w:shd w:val="clear" w:color="auto" w:fill="auto"/>
          </w:tcPr>
          <w:p w:rsidR="00472CD9" w:rsidRPr="002E11D9" w:rsidRDefault="00472CD9" w:rsidP="00472CD9">
            <w:pPr>
              <w:pStyle w:val="xmsonormal"/>
              <w:spacing w:after="120"/>
              <w:rPr>
                <w:rFonts w:ascii="Arial" w:hAnsi="Arial" w:cs="Arial"/>
                <w:sz w:val="22"/>
                <w:szCs w:val="22"/>
              </w:rPr>
            </w:pPr>
            <w:r w:rsidRPr="002E11D9">
              <w:rPr>
                <w:rFonts w:ascii="Arial" w:hAnsi="Arial" w:cs="Arial"/>
                <w:sz w:val="22"/>
                <w:szCs w:val="22"/>
              </w:rPr>
              <w:lastRenderedPageBreak/>
              <w:t>Jim Grealy</w:t>
            </w:r>
          </w:p>
          <w:p w:rsidR="00472CD9" w:rsidRPr="002E11D9" w:rsidRDefault="00472CD9" w:rsidP="00472CD9">
            <w:pPr>
              <w:spacing w:after="120"/>
              <w:rPr>
                <w:rFonts w:ascii="Arial" w:hAnsi="Arial" w:cs="Arial"/>
              </w:rPr>
            </w:pPr>
          </w:p>
        </w:tc>
        <w:tc>
          <w:tcPr>
            <w:tcW w:w="5499" w:type="dxa"/>
            <w:shd w:val="clear" w:color="auto" w:fill="auto"/>
          </w:tcPr>
          <w:p w:rsidR="00472CD9" w:rsidRPr="002E11D9" w:rsidRDefault="00472CD9" w:rsidP="00472CD9">
            <w:pPr>
              <w:pStyle w:val="xmsonormal"/>
              <w:spacing w:after="120"/>
              <w:rPr>
                <w:rFonts w:ascii="Arial" w:hAnsi="Arial" w:cs="Arial"/>
                <w:sz w:val="22"/>
                <w:szCs w:val="22"/>
              </w:rPr>
            </w:pPr>
            <w:r w:rsidRPr="002E11D9">
              <w:rPr>
                <w:rFonts w:ascii="Arial" w:hAnsi="Arial" w:cs="Arial"/>
                <w:sz w:val="22"/>
                <w:szCs w:val="22"/>
              </w:rPr>
              <w:t>The paper notes 'Patients need clear, simple explanations of what neighbourhood models will deliver without adding complexity' - and goes on to say 'a strong narrative could shift the system away from paternalism'.</w:t>
            </w:r>
          </w:p>
          <w:p w:rsidR="00472CD9" w:rsidRPr="002E11D9" w:rsidRDefault="00472CD9" w:rsidP="00472CD9">
            <w:pPr>
              <w:pStyle w:val="xmsonormal"/>
              <w:spacing w:after="120"/>
              <w:rPr>
                <w:rFonts w:ascii="Arial" w:hAnsi="Arial" w:cs="Arial"/>
                <w:sz w:val="22"/>
                <w:szCs w:val="22"/>
              </w:rPr>
            </w:pPr>
            <w:r w:rsidRPr="002E11D9">
              <w:rPr>
                <w:rFonts w:ascii="Arial" w:hAnsi="Arial" w:cs="Arial"/>
                <w:sz w:val="22"/>
                <w:szCs w:val="22"/>
              </w:rPr>
              <w:lastRenderedPageBreak/>
              <w:t>Like very many patients I would strongly endorse the statements above so I would like to ask:</w:t>
            </w:r>
          </w:p>
          <w:p w:rsidR="00472CD9" w:rsidRPr="002E11D9" w:rsidRDefault="00472CD9" w:rsidP="00472CD9">
            <w:pPr>
              <w:numPr>
                <w:ilvl w:val="0"/>
                <w:numId w:val="36"/>
              </w:numPr>
              <w:spacing w:after="120"/>
              <w:rPr>
                <w:rFonts w:ascii="Arial" w:eastAsia="Times New Roman" w:hAnsi="Arial" w:cs="Arial"/>
              </w:rPr>
            </w:pPr>
            <w:r w:rsidRPr="002E11D9">
              <w:rPr>
                <w:rFonts w:ascii="Arial" w:eastAsia="Times New Roman" w:hAnsi="Arial" w:cs="Arial"/>
              </w:rPr>
              <w:t>When will patients, i.e. those who live in actually recognisable neighbourhoods, be told what constitutes their neighbourhood in NHS provision terms?</w:t>
            </w:r>
          </w:p>
          <w:p w:rsidR="007F1773" w:rsidRPr="002E11D9" w:rsidRDefault="00472CD9" w:rsidP="00472CD9">
            <w:pPr>
              <w:numPr>
                <w:ilvl w:val="0"/>
                <w:numId w:val="37"/>
              </w:numPr>
              <w:spacing w:after="120"/>
              <w:rPr>
                <w:rFonts w:ascii="Arial" w:eastAsia="Times New Roman" w:hAnsi="Arial" w:cs="Arial"/>
              </w:rPr>
            </w:pPr>
            <w:r w:rsidRPr="002E11D9">
              <w:rPr>
                <w:rFonts w:ascii="Arial" w:eastAsia="Times New Roman" w:hAnsi="Arial" w:cs="Arial"/>
              </w:rPr>
              <w:t>As an aid to shifting from paternalism, will patients have genuine opportunities to co-produce policy for developing and delivering services in their 'neighbourhoods'?</w:t>
            </w:r>
          </w:p>
          <w:p w:rsidR="00472CD9" w:rsidRPr="002E11D9" w:rsidRDefault="00472CD9" w:rsidP="00472CD9">
            <w:pPr>
              <w:numPr>
                <w:ilvl w:val="0"/>
                <w:numId w:val="37"/>
              </w:numPr>
              <w:spacing w:after="120"/>
              <w:rPr>
                <w:rFonts w:ascii="Arial" w:eastAsia="Times New Roman" w:hAnsi="Arial" w:cs="Arial"/>
              </w:rPr>
            </w:pPr>
            <w:r w:rsidRPr="002E11D9">
              <w:rPr>
                <w:rFonts w:ascii="Arial" w:eastAsia="Times New Roman" w:hAnsi="Arial" w:cs="Arial"/>
              </w:rPr>
              <w:t>When will a timetable be produced for patients/residents/neighbours which might allow them to engage in considerations about the roll-out and kind of appropriate neighbourhood services?</w:t>
            </w:r>
          </w:p>
        </w:tc>
        <w:tc>
          <w:tcPr>
            <w:tcW w:w="5499" w:type="dxa"/>
            <w:shd w:val="clear" w:color="auto" w:fill="auto"/>
          </w:tcPr>
          <w:p w:rsidR="001B0D8B" w:rsidRPr="001B0D8B" w:rsidRDefault="001B0D8B" w:rsidP="001B0D8B">
            <w:pPr>
              <w:spacing w:after="120"/>
              <w:rPr>
                <w:rFonts w:ascii="Arial" w:hAnsi="Arial" w:cs="Arial"/>
              </w:rPr>
            </w:pPr>
            <w:r w:rsidRPr="001B0D8B">
              <w:rPr>
                <w:rFonts w:ascii="Arial" w:hAnsi="Arial" w:cs="Arial"/>
              </w:rPr>
              <w:lastRenderedPageBreak/>
              <w:t xml:space="preserve">‘Neighbourhood health’ is a way of describing care that is increasingly local, joined up and personalised. Neighbourhood health geographies have been identified by borough partnerships in all 13 boroughs in our area. They should take account of natural communities that have an identity for residents and balance this with the operational needs of service </w:t>
            </w:r>
            <w:r w:rsidRPr="001B0D8B">
              <w:rPr>
                <w:rFonts w:ascii="Arial" w:hAnsi="Arial" w:cs="Arial"/>
              </w:rPr>
              <w:lastRenderedPageBreak/>
              <w:t>providers. They should be endorsed by Health &amp; Wellbeing Boards.</w:t>
            </w:r>
          </w:p>
          <w:p w:rsidR="001B0D8B" w:rsidRPr="001B0D8B" w:rsidRDefault="001B0D8B" w:rsidP="001B0D8B">
            <w:pPr>
              <w:spacing w:after="120"/>
              <w:rPr>
                <w:rFonts w:ascii="Arial" w:hAnsi="Arial" w:cs="Arial"/>
              </w:rPr>
            </w:pPr>
            <w:r w:rsidRPr="001B0D8B">
              <w:rPr>
                <w:rFonts w:ascii="Arial" w:hAnsi="Arial" w:cs="Arial"/>
              </w:rPr>
              <w:t>The aim is residents gradually see a difference in how services are delivered and how ‘joined up’ they feel - particularly those managing complex needs and often engaging with health, council and voluntary services. Neighbourhoods are footprints for prevention and proactive care – working with communities to shape offers that focus on staying well and avoiding crisis. Finally, our estates strategy will take account of neighbourhood working – thinking about spaces in which communities can access different types of support and new spaces for to access diagnostics, outpatient appointments and treatment where needed.</w:t>
            </w:r>
          </w:p>
          <w:p w:rsidR="001B0D8B" w:rsidRPr="001B0D8B" w:rsidRDefault="001B0D8B" w:rsidP="001B0D8B">
            <w:pPr>
              <w:spacing w:after="120"/>
              <w:rPr>
                <w:rFonts w:ascii="Arial" w:hAnsi="Arial" w:cs="Arial"/>
              </w:rPr>
            </w:pPr>
            <w:r w:rsidRPr="001B0D8B">
              <w:rPr>
                <w:rFonts w:ascii="Arial" w:hAnsi="Arial" w:cs="Arial"/>
              </w:rPr>
              <w:t xml:space="preserve"> </w:t>
            </w:r>
          </w:p>
          <w:p w:rsidR="001B0D8B" w:rsidRPr="001B0D8B" w:rsidRDefault="001B0D8B" w:rsidP="001B0D8B">
            <w:pPr>
              <w:spacing w:after="120"/>
              <w:rPr>
                <w:rFonts w:ascii="Arial" w:hAnsi="Arial" w:cs="Arial"/>
              </w:rPr>
            </w:pPr>
            <w:r w:rsidRPr="001B0D8B">
              <w:rPr>
                <w:rFonts w:ascii="Arial" w:hAnsi="Arial" w:cs="Arial"/>
              </w:rPr>
              <w:t xml:space="preserve">We know provision is more effective when it is rooted in the community and practices coproduction with individuals, families and communities. Impact on equity of access, experience and outcomes is key, which means a responsibility on local providers and on commissioners to engage, listen and shape offers accordingly. For providers and frontline staff there is also a major emphasis on coproduction and personalisation at an individual level, helping people develop the knowledge, skills and confidence to take control and play a more active role in their own health. There is more to do to align approaches to coproduction and engagement across health, local government and the voluntary sector. Our borough partnerships are well placed to do this with voluntary </w:t>
            </w:r>
            <w:r w:rsidR="00627A19">
              <w:rPr>
                <w:rFonts w:ascii="Arial" w:hAnsi="Arial" w:cs="Arial"/>
              </w:rPr>
              <w:lastRenderedPageBreak/>
              <w:t>sector organisations and HealthW</w:t>
            </w:r>
            <w:r w:rsidRPr="001B0D8B">
              <w:rPr>
                <w:rFonts w:ascii="Arial" w:hAnsi="Arial" w:cs="Arial"/>
              </w:rPr>
              <w:t xml:space="preserve">atch critical partners in this work. </w:t>
            </w:r>
          </w:p>
          <w:p w:rsidR="001B0D8B" w:rsidRPr="001B0D8B" w:rsidRDefault="001B0D8B" w:rsidP="001B0D8B">
            <w:pPr>
              <w:spacing w:after="120"/>
              <w:rPr>
                <w:rFonts w:ascii="Arial" w:hAnsi="Arial" w:cs="Arial"/>
              </w:rPr>
            </w:pPr>
          </w:p>
          <w:p w:rsidR="001B0D8B" w:rsidRPr="001B0D8B" w:rsidRDefault="001B0D8B" w:rsidP="001B0D8B">
            <w:pPr>
              <w:spacing w:after="120"/>
              <w:rPr>
                <w:rFonts w:ascii="Arial" w:hAnsi="Arial" w:cs="Arial"/>
              </w:rPr>
            </w:pPr>
            <w:r w:rsidRPr="001B0D8B">
              <w:rPr>
                <w:rFonts w:ascii="Arial" w:hAnsi="Arial" w:cs="Arial"/>
              </w:rPr>
              <w:t>Plans for the development of neighbourhood health have been informed by years of engagement with patient groups, residents and communities – nationally, across London and locally. We want to respond to this and make integrated, local care that achieves more equitable outcomes, a reality. The next stage of this work is to build on those foundations through the development of an Involvement Strategy is underway; however it will take further work to start to understand how we take this forward in the context of the newly merged organisation and the role of the ICB as a strategic commissioner. Given the challenges of the transition, we anticipate that we will be starting this further evolution of the work in Quarter 1 of 2026/27, when the new organisation is established.</w:t>
            </w:r>
          </w:p>
          <w:p w:rsidR="001B0D8B" w:rsidRPr="001B0D8B" w:rsidRDefault="001B0D8B" w:rsidP="001B0D8B">
            <w:pPr>
              <w:spacing w:after="120"/>
              <w:rPr>
                <w:rFonts w:ascii="Arial" w:hAnsi="Arial" w:cs="Arial"/>
              </w:rPr>
            </w:pPr>
          </w:p>
          <w:p w:rsidR="00472CD9" w:rsidRPr="002E11D9" w:rsidRDefault="00374866" w:rsidP="001B0D8B">
            <w:pPr>
              <w:spacing w:after="120"/>
              <w:rPr>
                <w:rFonts w:ascii="Arial" w:hAnsi="Arial" w:cs="Arial"/>
              </w:rPr>
            </w:pPr>
            <w:hyperlink r:id="rId10" w:history="1">
              <w:r w:rsidR="001B0D8B" w:rsidRPr="001B0D8B">
                <w:rPr>
                  <w:rStyle w:val="Hyperlink"/>
                  <w:rFonts w:ascii="Arial" w:hAnsi="Arial" w:cs="Arial"/>
                </w:rPr>
                <w:t>For further Q&amp;A on neighbourhood please see January 2026 Board paper</w:t>
              </w:r>
            </w:hyperlink>
            <w:r w:rsidR="001B0D8B" w:rsidRPr="001B0D8B">
              <w:rPr>
                <w:rFonts w:ascii="Arial" w:hAnsi="Arial" w:cs="Arial"/>
              </w:rPr>
              <w:t>.</w:t>
            </w:r>
          </w:p>
        </w:tc>
      </w:tr>
      <w:tr w:rsidR="002E11D9" w:rsidRPr="002E11D9" w:rsidTr="00C5048D">
        <w:tc>
          <w:tcPr>
            <w:tcW w:w="624" w:type="dxa"/>
            <w:shd w:val="clear" w:color="auto" w:fill="E2EFD9" w:themeFill="accent6" w:themeFillTint="33"/>
          </w:tcPr>
          <w:p w:rsidR="00472CD9" w:rsidRPr="002E11D9" w:rsidRDefault="00C5048D" w:rsidP="00472CD9">
            <w:pPr>
              <w:spacing w:after="120"/>
              <w:rPr>
                <w:rFonts w:ascii="Arial" w:hAnsi="Arial" w:cs="Arial"/>
                <w:b/>
              </w:rPr>
            </w:pPr>
            <w:r w:rsidRPr="002E11D9">
              <w:rPr>
                <w:rFonts w:ascii="Arial" w:hAnsi="Arial" w:cs="Arial"/>
                <w:b/>
              </w:rPr>
              <w:lastRenderedPageBreak/>
              <w:t>8</w:t>
            </w:r>
          </w:p>
        </w:tc>
        <w:tc>
          <w:tcPr>
            <w:tcW w:w="186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b/>
              </w:rPr>
              <w:t xml:space="preserve">3.9) Board Assurance Framework </w:t>
            </w:r>
          </w:p>
        </w:tc>
        <w:tc>
          <w:tcPr>
            <w:tcW w:w="113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rPr>
              <w:t xml:space="preserve">Appendices 3 and 4 (NCL and NWL respectively) seem to represent a stark contrast in detail, method of presentation, coverage and length. (one quite hard to read spreadsheet as against 24 pages) Does this represent a disparity of risk across the 2 ICBs, or a difference in previous practice in reporting? The NWL paper evidences distinct concerns from staff, for example, on the practicalities of the merger, and loss </w:t>
            </w:r>
            <w:r w:rsidRPr="002E11D9">
              <w:rPr>
                <w:rFonts w:ascii="Arial" w:hAnsi="Arial" w:cs="Arial"/>
              </w:rPr>
              <w:lastRenderedPageBreak/>
              <w:t>of staff, where NCL personnel have been brought in for the merger preparation.</w:t>
            </w:r>
          </w:p>
        </w:tc>
        <w:tc>
          <w:tcPr>
            <w:tcW w:w="5499" w:type="dxa"/>
            <w:shd w:val="clear" w:color="auto" w:fill="E2EFD9" w:themeFill="accent6" w:themeFillTint="33"/>
          </w:tcPr>
          <w:p w:rsidR="00627A19" w:rsidRPr="00627A19" w:rsidRDefault="00627A19" w:rsidP="00627A19">
            <w:pPr>
              <w:spacing w:after="120"/>
              <w:rPr>
                <w:rFonts w:ascii="Arial" w:hAnsi="Arial" w:cs="Arial"/>
              </w:rPr>
            </w:pPr>
            <w:r w:rsidRPr="00627A19">
              <w:rPr>
                <w:rFonts w:ascii="Arial" w:hAnsi="Arial" w:cs="Arial"/>
              </w:rPr>
              <w:lastRenderedPageBreak/>
              <w:t xml:space="preserve">North Central London ICB (‘NCL ICB’) and North West London ICB (‘NWL ICB’) have different thresholds for when risks are reported at Board level.  They also have different styles of risk registers.  However, whilst there are some general differences in approach there are crucial similarities which ensures robust risk oversight and management.  All strategic risks reaching the relevant </w:t>
            </w:r>
            <w:r w:rsidRPr="00627A19">
              <w:rPr>
                <w:rFonts w:ascii="Arial" w:hAnsi="Arial" w:cs="Arial"/>
              </w:rPr>
              <w:lastRenderedPageBreak/>
              <w:t>thresholds are report to Board on a quarterly basis.  All key risks are overseen in both organisations by Board committees/sub-committees, key areas of risk are addressed and all risks are owned by the joint Executive Directors.  A single approach to risk management is also being developed for the new ICB.</w:t>
            </w:r>
          </w:p>
          <w:p w:rsidR="00627A19" w:rsidRPr="00627A19" w:rsidRDefault="00627A19" w:rsidP="00627A19">
            <w:pPr>
              <w:spacing w:after="120"/>
              <w:rPr>
                <w:rFonts w:ascii="Arial" w:hAnsi="Arial" w:cs="Arial"/>
              </w:rPr>
            </w:pPr>
            <w:r w:rsidRPr="00627A19">
              <w:rPr>
                <w:rFonts w:ascii="Arial" w:hAnsi="Arial" w:cs="Arial"/>
              </w:rPr>
              <w:t> </w:t>
            </w:r>
          </w:p>
          <w:p w:rsidR="00472CD9" w:rsidRPr="002E11D9" w:rsidRDefault="00627A19" w:rsidP="00627A19">
            <w:pPr>
              <w:spacing w:after="120"/>
              <w:rPr>
                <w:rFonts w:ascii="Arial" w:hAnsi="Arial" w:cs="Arial"/>
              </w:rPr>
            </w:pPr>
            <w:r w:rsidRPr="00627A19">
              <w:rPr>
                <w:rFonts w:ascii="Arial" w:hAnsi="Arial" w:cs="Arial"/>
              </w:rPr>
              <w:t>The NWL risk regarding the recruitment, retention and development of staff was reduced due to the establishment of a joint change team and additional resources into HR to support both the organisational change programme and the future state post-merger.</w:t>
            </w:r>
          </w:p>
        </w:tc>
      </w:tr>
      <w:tr w:rsidR="002E11D9" w:rsidRPr="002E11D9" w:rsidTr="00C5048D">
        <w:tc>
          <w:tcPr>
            <w:tcW w:w="624" w:type="dxa"/>
            <w:shd w:val="clear" w:color="auto" w:fill="auto"/>
          </w:tcPr>
          <w:p w:rsidR="00472CD9" w:rsidRPr="002E11D9" w:rsidRDefault="00C5048D" w:rsidP="00472CD9">
            <w:pPr>
              <w:spacing w:after="120"/>
              <w:rPr>
                <w:rFonts w:ascii="Arial" w:hAnsi="Arial" w:cs="Arial"/>
                <w:b/>
              </w:rPr>
            </w:pPr>
            <w:r w:rsidRPr="002E11D9">
              <w:rPr>
                <w:rFonts w:ascii="Arial" w:hAnsi="Arial" w:cs="Arial"/>
                <w:b/>
              </w:rPr>
              <w:lastRenderedPageBreak/>
              <w:t>9</w:t>
            </w:r>
          </w:p>
        </w:tc>
        <w:tc>
          <w:tcPr>
            <w:tcW w:w="1867" w:type="dxa"/>
            <w:shd w:val="clear" w:color="auto" w:fill="auto"/>
          </w:tcPr>
          <w:p w:rsidR="00472CD9" w:rsidRPr="002E11D9" w:rsidRDefault="00472CD9" w:rsidP="00472CD9">
            <w:pPr>
              <w:spacing w:after="120"/>
              <w:rPr>
                <w:rFonts w:ascii="Arial" w:hAnsi="Arial" w:cs="Arial"/>
              </w:rPr>
            </w:pPr>
            <w:r w:rsidRPr="002E11D9">
              <w:rPr>
                <w:rFonts w:ascii="Arial" w:hAnsi="Arial" w:cs="Arial"/>
                <w:b/>
              </w:rPr>
              <w:t xml:space="preserve">3.9) Board Assurance Framework </w:t>
            </w:r>
          </w:p>
        </w:tc>
        <w:tc>
          <w:tcPr>
            <w:tcW w:w="1137" w:type="dxa"/>
            <w:shd w:val="clear" w:color="auto" w:fill="auto"/>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auto"/>
          </w:tcPr>
          <w:p w:rsidR="00472CD9" w:rsidRPr="002E11D9" w:rsidRDefault="00472CD9" w:rsidP="00472CD9">
            <w:pPr>
              <w:spacing w:after="120"/>
              <w:rPr>
                <w:rFonts w:ascii="Arial" w:hAnsi="Arial" w:cs="Arial"/>
              </w:rPr>
            </w:pPr>
            <w:r w:rsidRPr="002E11D9">
              <w:rPr>
                <w:rFonts w:ascii="Arial" w:hAnsi="Arial" w:cs="Arial"/>
              </w:rPr>
              <w:t xml:space="preserve">Has the issue of </w:t>
            </w:r>
            <w:r w:rsidRPr="002E11D9">
              <w:rPr>
                <w:rFonts w:ascii="Arial" w:hAnsi="Arial" w:cs="Arial"/>
                <w:bCs/>
                <w:lang w:val="en-US"/>
              </w:rPr>
              <w:t>Lower funding level per head of population in NWL compared to other ICBs nationally in current year, which was to have been dealt with in year 26/27 prior to the announced merger been resolved, so that NWL “part” of the new ICB does receive the previously agreed promised enhanced funding?  (Board meetings previously have given this assurance.)</w:t>
            </w:r>
          </w:p>
        </w:tc>
        <w:tc>
          <w:tcPr>
            <w:tcW w:w="5499" w:type="dxa"/>
            <w:shd w:val="clear" w:color="auto" w:fill="auto"/>
          </w:tcPr>
          <w:p w:rsidR="00627A19" w:rsidRPr="00627A19" w:rsidRDefault="00627A19" w:rsidP="00627A19">
            <w:pPr>
              <w:spacing w:after="120"/>
              <w:rPr>
                <w:rFonts w:ascii="Arial" w:hAnsi="Arial" w:cs="Arial"/>
              </w:rPr>
            </w:pPr>
            <w:r w:rsidRPr="00627A19">
              <w:rPr>
                <w:rFonts w:ascii="Arial" w:hAnsi="Arial" w:cs="Arial"/>
              </w:rPr>
              <w:t>In 25/26 NWL 2.96% under and NCL 3.01% over (across core, primary care and spec comm)</w:t>
            </w:r>
            <w:r>
              <w:rPr>
                <w:rFonts w:ascii="Arial" w:hAnsi="Arial" w:cs="Arial"/>
              </w:rPr>
              <w:t>.</w:t>
            </w:r>
          </w:p>
          <w:p w:rsidR="00627A19" w:rsidRPr="00627A19" w:rsidRDefault="00627A19" w:rsidP="00627A19">
            <w:pPr>
              <w:spacing w:after="120"/>
              <w:rPr>
                <w:rFonts w:ascii="Arial" w:hAnsi="Arial" w:cs="Arial"/>
              </w:rPr>
            </w:pPr>
            <w:r w:rsidRPr="00627A19">
              <w:rPr>
                <w:rFonts w:ascii="Arial" w:hAnsi="Arial" w:cs="Arial"/>
              </w:rPr>
              <w:t>The methodology and populat</w:t>
            </w:r>
            <w:r>
              <w:rPr>
                <w:rFonts w:ascii="Arial" w:hAnsi="Arial" w:cs="Arial"/>
              </w:rPr>
              <w:t>ion changes in 26/27 meant the two</w:t>
            </w:r>
            <w:r w:rsidRPr="00627A19">
              <w:rPr>
                <w:rFonts w:ascii="Arial" w:hAnsi="Arial" w:cs="Arial"/>
              </w:rPr>
              <w:t xml:space="preserve"> ICBs fair shares targets reduced (a bigger reduction in NWL) compared to 25/26, which changed the DFTs</w:t>
            </w:r>
          </w:p>
          <w:p w:rsidR="00627A19" w:rsidRPr="00627A19" w:rsidRDefault="00627A19" w:rsidP="00627A19">
            <w:pPr>
              <w:spacing w:after="120"/>
              <w:rPr>
                <w:rFonts w:ascii="Arial" w:hAnsi="Arial" w:cs="Arial"/>
              </w:rPr>
            </w:pPr>
            <w:r w:rsidRPr="00627A19">
              <w:rPr>
                <w:rFonts w:ascii="Arial" w:hAnsi="Arial" w:cs="Arial"/>
              </w:rPr>
              <w:t xml:space="preserve">The combined allocation for 26/27 was 1.6% under target for core, 3.4% under for primary care, </w:t>
            </w:r>
            <w:proofErr w:type="gramStart"/>
            <w:r w:rsidRPr="00627A19">
              <w:rPr>
                <w:rFonts w:ascii="Arial" w:hAnsi="Arial" w:cs="Arial"/>
              </w:rPr>
              <w:t>1.42</w:t>
            </w:r>
            <w:proofErr w:type="gramEnd"/>
            <w:r w:rsidRPr="00627A19">
              <w:rPr>
                <w:rFonts w:ascii="Arial" w:hAnsi="Arial" w:cs="Arial"/>
              </w:rPr>
              <w:t xml:space="preserve">% over for spec comm. </w:t>
            </w:r>
            <w:bookmarkStart w:id="0" w:name="_GoBack"/>
            <w:bookmarkEnd w:id="0"/>
            <w:r w:rsidRPr="00627A19">
              <w:rPr>
                <w:rFonts w:ascii="Arial" w:hAnsi="Arial" w:cs="Arial"/>
              </w:rPr>
              <w:t>The threshold for maximum 0.5% convergence was ICBs being more than 3% under and WNL no longer an outlier in core. We received 0.16% convergence. Not aware of any ICBs nationally receiving more than the 0.5% convergence.</w:t>
            </w:r>
          </w:p>
          <w:p w:rsidR="00472CD9" w:rsidRPr="002E11D9" w:rsidRDefault="00627A19" w:rsidP="00627A19">
            <w:pPr>
              <w:spacing w:after="120"/>
              <w:rPr>
                <w:rFonts w:ascii="Arial" w:hAnsi="Arial" w:cs="Arial"/>
              </w:rPr>
            </w:pPr>
            <w:r w:rsidRPr="00627A19">
              <w:rPr>
                <w:rFonts w:ascii="Arial" w:hAnsi="Arial" w:cs="Arial"/>
              </w:rPr>
              <w:lastRenderedPageBreak/>
              <w:t>National team compared allocation for WNL with individual allocations for NWL and NCL and found no material difference.</w:t>
            </w:r>
          </w:p>
        </w:tc>
      </w:tr>
      <w:tr w:rsidR="002E11D9" w:rsidRPr="002E11D9" w:rsidTr="00C5048D">
        <w:tc>
          <w:tcPr>
            <w:tcW w:w="624" w:type="dxa"/>
            <w:shd w:val="clear" w:color="auto" w:fill="E2EFD9" w:themeFill="accent6" w:themeFillTint="33"/>
          </w:tcPr>
          <w:p w:rsidR="00472CD9" w:rsidRPr="002E11D9" w:rsidRDefault="00C5048D" w:rsidP="00472CD9">
            <w:pPr>
              <w:spacing w:after="120"/>
              <w:rPr>
                <w:rFonts w:ascii="Arial" w:hAnsi="Arial" w:cs="Arial"/>
                <w:b/>
              </w:rPr>
            </w:pPr>
            <w:r w:rsidRPr="002E11D9">
              <w:rPr>
                <w:rFonts w:ascii="Arial" w:hAnsi="Arial" w:cs="Arial"/>
                <w:b/>
              </w:rPr>
              <w:lastRenderedPageBreak/>
              <w:t>10</w:t>
            </w:r>
          </w:p>
        </w:tc>
        <w:tc>
          <w:tcPr>
            <w:tcW w:w="186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b/>
              </w:rPr>
              <w:t xml:space="preserve">3.9) Board Assurance Framework </w:t>
            </w:r>
          </w:p>
        </w:tc>
        <w:tc>
          <w:tcPr>
            <w:tcW w:w="1137"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E2EFD9" w:themeFill="accent6" w:themeFillTint="33"/>
          </w:tcPr>
          <w:p w:rsidR="00472CD9" w:rsidRPr="002E11D9" w:rsidRDefault="00472CD9" w:rsidP="00472CD9">
            <w:pPr>
              <w:spacing w:after="120"/>
              <w:rPr>
                <w:rFonts w:ascii="Arial" w:hAnsi="Arial" w:cs="Arial"/>
              </w:rPr>
            </w:pPr>
            <w:r w:rsidRPr="002E11D9">
              <w:rPr>
                <w:rFonts w:ascii="Arial" w:hAnsi="Arial" w:cs="Arial"/>
                <w:bCs/>
                <w:lang w:val="en-US"/>
              </w:rPr>
              <w:t>The NWL paper refers to a panel of 120 lay representatives ready to be co-opted onto panels etc; what is the recruitment process for this and how will this be dealt with in the merged ICB?</w:t>
            </w:r>
            <w:r w:rsidRPr="002E11D9">
              <w:rPr>
                <w:rFonts w:ascii="Arial" w:hAnsi="Arial" w:cs="Arial"/>
                <w:bCs/>
              </w:rPr>
              <w:t xml:space="preserve"> </w:t>
            </w:r>
          </w:p>
        </w:tc>
        <w:tc>
          <w:tcPr>
            <w:tcW w:w="5499" w:type="dxa"/>
            <w:shd w:val="clear" w:color="auto" w:fill="E2EFD9" w:themeFill="accent6" w:themeFillTint="33"/>
          </w:tcPr>
          <w:p w:rsidR="002E11D9" w:rsidRPr="002E11D9" w:rsidRDefault="002E11D9" w:rsidP="002E11D9">
            <w:pPr>
              <w:spacing w:after="120"/>
              <w:rPr>
                <w:rFonts w:ascii="Arial" w:hAnsi="Arial" w:cs="Arial"/>
              </w:rPr>
            </w:pPr>
            <w:r w:rsidRPr="002E11D9">
              <w:rPr>
                <w:rFonts w:ascii="Arial" w:hAnsi="Arial" w:cs="Arial"/>
              </w:rPr>
              <w:t>NHS North West London historically invited local people to put their names forward if they were interested in joining our lay partner pool, and this has been promoted on several occasions, including directly to community members and campaigners.</w:t>
            </w:r>
          </w:p>
          <w:p w:rsidR="002E11D9" w:rsidRPr="002E11D9" w:rsidRDefault="002E11D9" w:rsidP="002E11D9">
            <w:pPr>
              <w:spacing w:after="120"/>
              <w:rPr>
                <w:rFonts w:ascii="Arial" w:hAnsi="Arial" w:cs="Arial"/>
              </w:rPr>
            </w:pPr>
            <w:r w:rsidRPr="002E11D9">
              <w:rPr>
                <w:rFonts w:ascii="Arial" w:hAnsi="Arial" w:cs="Arial"/>
              </w:rPr>
              <w:t> </w:t>
            </w:r>
          </w:p>
          <w:p w:rsidR="00472CD9" w:rsidRPr="002E11D9" w:rsidRDefault="002E11D9" w:rsidP="002E11D9">
            <w:pPr>
              <w:spacing w:after="120"/>
              <w:rPr>
                <w:rFonts w:ascii="Arial" w:hAnsi="Arial" w:cs="Arial"/>
              </w:rPr>
            </w:pPr>
            <w:r w:rsidRPr="002E11D9">
              <w:rPr>
                <w:rFonts w:ascii="Arial" w:hAnsi="Arial" w:cs="Arial"/>
              </w:rPr>
              <w:t>The new merged ICB will be refreshing our involvement strategy and we will review the approach to lay partner recruitment to ensure it is transparent, consistent and supports a wider, more representative pool. Further details on the revised process will be set out as part of the new strategy.</w:t>
            </w:r>
          </w:p>
        </w:tc>
      </w:tr>
      <w:tr w:rsidR="002E11D9" w:rsidRPr="002E11D9" w:rsidTr="00C5048D">
        <w:tc>
          <w:tcPr>
            <w:tcW w:w="624" w:type="dxa"/>
            <w:shd w:val="clear" w:color="auto" w:fill="auto"/>
          </w:tcPr>
          <w:p w:rsidR="00472CD9" w:rsidRPr="002E11D9" w:rsidRDefault="00C5048D" w:rsidP="00472CD9">
            <w:pPr>
              <w:spacing w:after="120"/>
              <w:rPr>
                <w:rFonts w:ascii="Arial" w:hAnsi="Arial" w:cs="Arial"/>
                <w:b/>
              </w:rPr>
            </w:pPr>
            <w:r w:rsidRPr="002E11D9">
              <w:rPr>
                <w:rFonts w:ascii="Arial" w:hAnsi="Arial" w:cs="Arial"/>
                <w:b/>
              </w:rPr>
              <w:t>11</w:t>
            </w:r>
          </w:p>
        </w:tc>
        <w:tc>
          <w:tcPr>
            <w:tcW w:w="1867" w:type="dxa"/>
            <w:shd w:val="clear" w:color="auto" w:fill="auto"/>
          </w:tcPr>
          <w:p w:rsidR="00472CD9" w:rsidRPr="002E11D9" w:rsidRDefault="00472CD9" w:rsidP="00472CD9">
            <w:pPr>
              <w:spacing w:after="120"/>
              <w:rPr>
                <w:rFonts w:ascii="Arial" w:hAnsi="Arial" w:cs="Arial"/>
              </w:rPr>
            </w:pPr>
            <w:r w:rsidRPr="002E11D9">
              <w:rPr>
                <w:rFonts w:ascii="Arial" w:hAnsi="Arial" w:cs="Arial"/>
                <w:b/>
              </w:rPr>
              <w:t>3.10) Chief Executive Officer’s report</w:t>
            </w:r>
          </w:p>
        </w:tc>
        <w:tc>
          <w:tcPr>
            <w:tcW w:w="1137" w:type="dxa"/>
            <w:shd w:val="clear" w:color="auto" w:fill="auto"/>
          </w:tcPr>
          <w:p w:rsidR="00472CD9" w:rsidRPr="002E11D9" w:rsidRDefault="00472CD9" w:rsidP="00472CD9">
            <w:pPr>
              <w:spacing w:after="120"/>
              <w:rPr>
                <w:rFonts w:ascii="Arial" w:hAnsi="Arial" w:cs="Arial"/>
              </w:rPr>
            </w:pPr>
            <w:r w:rsidRPr="002E11D9">
              <w:rPr>
                <w:rFonts w:ascii="Arial" w:hAnsi="Arial" w:cs="Arial"/>
              </w:rPr>
              <w:t>Brent Patient Voice</w:t>
            </w:r>
          </w:p>
        </w:tc>
        <w:tc>
          <w:tcPr>
            <w:tcW w:w="5499" w:type="dxa"/>
            <w:shd w:val="clear" w:color="auto" w:fill="auto"/>
          </w:tcPr>
          <w:p w:rsidR="00472CD9" w:rsidRPr="002E11D9" w:rsidRDefault="00472CD9" w:rsidP="00472CD9">
            <w:pPr>
              <w:spacing w:after="120"/>
              <w:rPr>
                <w:rFonts w:ascii="Arial" w:hAnsi="Arial" w:cs="Arial"/>
              </w:rPr>
            </w:pPr>
            <w:r w:rsidRPr="002E11D9">
              <w:rPr>
                <w:rFonts w:ascii="Arial" w:hAnsi="Arial" w:cs="Arial"/>
              </w:rPr>
              <w:t xml:space="preserve">We note the examples of hubs/neighbourhood working give in Katie Fisher’s report, including the strangely named Cardio-Renal-Metabolic Hub in Harrow. Does this hub have regular patients; what percentage of Harrow GP practices are covered by the 3,000 patients so far reviewed; where were they previously treated and are more or fewer staff involved? Is not the hub really a thematic way of re-organising a narrow aspect of care across a fairly wide area rather than an all-embracing neighbourhood hub set out as a key aspect of the NHS 10-year plan? </w:t>
            </w:r>
          </w:p>
        </w:tc>
        <w:tc>
          <w:tcPr>
            <w:tcW w:w="5499" w:type="dxa"/>
            <w:shd w:val="clear" w:color="auto" w:fill="auto"/>
          </w:tcPr>
          <w:p w:rsidR="00AC522B" w:rsidRDefault="00AC522B" w:rsidP="00AC522B">
            <w:pPr>
              <w:shd w:val="clear" w:color="auto" w:fill="FFFFFF"/>
              <w:spacing w:line="300" w:lineRule="atLeast"/>
              <w:textAlignment w:val="baseline"/>
              <w:rPr>
                <w:rFonts w:ascii="Arial" w:eastAsia="Times New Roman" w:hAnsi="Arial" w:cs="Arial"/>
                <w:sz w:val="24"/>
                <w:szCs w:val="24"/>
                <w:lang w:eastAsia="en-GB"/>
              </w:rPr>
            </w:pPr>
            <w:r w:rsidRPr="00AC522B">
              <w:rPr>
                <w:rFonts w:ascii="Arial" w:eastAsia="Times New Roman" w:hAnsi="Arial" w:cs="Arial"/>
                <w:sz w:val="24"/>
                <w:szCs w:val="24"/>
                <w:lang w:eastAsia="en-GB"/>
              </w:rPr>
              <w:t>The Cardio</w:t>
            </w:r>
            <w:r w:rsidRPr="00AC522B">
              <w:rPr>
                <w:rFonts w:ascii="Arial" w:eastAsia="Times New Roman" w:hAnsi="Arial" w:cs="Arial"/>
                <w:sz w:val="24"/>
                <w:szCs w:val="24"/>
                <w:lang w:eastAsia="en-GB"/>
              </w:rPr>
              <w:noBreakHyphen/>
              <w:t>Renal</w:t>
            </w:r>
            <w:r w:rsidRPr="00AC522B">
              <w:rPr>
                <w:rFonts w:ascii="Arial" w:eastAsia="Times New Roman" w:hAnsi="Arial" w:cs="Arial"/>
                <w:sz w:val="24"/>
                <w:szCs w:val="24"/>
                <w:lang w:eastAsia="en-GB"/>
              </w:rPr>
              <w:noBreakHyphen/>
              <w:t>Metabolic (CRM) hub model recognises that people living with cardiac disease, kidney disease or metabolic conditions such as diabetes often face higher risks of developing the other conditions managed within the hub. Bringing these pathways together enables a more proactive, preventative approach to care.</w:t>
            </w:r>
          </w:p>
          <w:p w:rsidR="00B4464A" w:rsidRPr="00AC522B" w:rsidRDefault="00B4464A" w:rsidP="00AC522B">
            <w:pPr>
              <w:shd w:val="clear" w:color="auto" w:fill="FFFFFF"/>
              <w:spacing w:line="300" w:lineRule="atLeast"/>
              <w:textAlignment w:val="baseline"/>
              <w:rPr>
                <w:rFonts w:ascii="Arial" w:eastAsia="Times New Roman" w:hAnsi="Arial" w:cs="Arial"/>
                <w:sz w:val="24"/>
                <w:szCs w:val="24"/>
                <w:lang w:eastAsia="en-GB"/>
              </w:rPr>
            </w:pPr>
          </w:p>
          <w:p w:rsidR="00AC522B" w:rsidRDefault="00AC522B" w:rsidP="00AC522B">
            <w:pPr>
              <w:shd w:val="clear" w:color="auto" w:fill="FFFFFF"/>
              <w:spacing w:line="300" w:lineRule="atLeast"/>
              <w:textAlignment w:val="baseline"/>
              <w:rPr>
                <w:rFonts w:ascii="Arial" w:eastAsia="Times New Roman" w:hAnsi="Arial" w:cs="Arial"/>
                <w:sz w:val="24"/>
                <w:szCs w:val="24"/>
                <w:lang w:eastAsia="en-GB"/>
              </w:rPr>
            </w:pPr>
            <w:r w:rsidRPr="00AC522B">
              <w:rPr>
                <w:rFonts w:ascii="Arial" w:eastAsia="Times New Roman" w:hAnsi="Arial" w:cs="Arial"/>
                <w:sz w:val="24"/>
                <w:szCs w:val="24"/>
                <w:lang w:eastAsia="en-GB"/>
              </w:rPr>
              <w:t xml:space="preserve">The hub is accessible to all Harrow patients and has been delivered through all Harrow Primary Care Networks working collaboratively. So far, around 3,000 patients have been reviewed. </w:t>
            </w:r>
            <w:r w:rsidRPr="00AC522B">
              <w:rPr>
                <w:rFonts w:ascii="Arial" w:eastAsia="Times New Roman" w:hAnsi="Arial" w:cs="Arial"/>
                <w:sz w:val="24"/>
                <w:szCs w:val="24"/>
                <w:lang w:eastAsia="en-GB"/>
              </w:rPr>
              <w:lastRenderedPageBreak/>
              <w:t>These patients would previously have been managed through a mixture of primary and secondary care, with care often being more reactive than preventative.</w:t>
            </w:r>
          </w:p>
          <w:p w:rsidR="00B4464A" w:rsidRPr="00AC522B" w:rsidRDefault="00B4464A" w:rsidP="00AC522B">
            <w:pPr>
              <w:shd w:val="clear" w:color="auto" w:fill="FFFFFF"/>
              <w:spacing w:line="300" w:lineRule="atLeast"/>
              <w:textAlignment w:val="baseline"/>
              <w:rPr>
                <w:rFonts w:ascii="Arial" w:eastAsia="Times New Roman" w:hAnsi="Arial" w:cs="Arial"/>
                <w:sz w:val="24"/>
                <w:szCs w:val="24"/>
                <w:lang w:eastAsia="en-GB"/>
              </w:rPr>
            </w:pPr>
          </w:p>
          <w:p w:rsidR="00AC522B" w:rsidRDefault="00AC522B" w:rsidP="00AC522B">
            <w:pPr>
              <w:shd w:val="clear" w:color="auto" w:fill="FFFFFF"/>
              <w:spacing w:line="300" w:lineRule="atLeast"/>
              <w:textAlignment w:val="baseline"/>
              <w:rPr>
                <w:rFonts w:ascii="Arial" w:eastAsia="Times New Roman" w:hAnsi="Arial" w:cs="Arial"/>
                <w:sz w:val="24"/>
                <w:szCs w:val="24"/>
                <w:lang w:eastAsia="en-GB"/>
              </w:rPr>
            </w:pPr>
            <w:r w:rsidRPr="00AC522B">
              <w:rPr>
                <w:rFonts w:ascii="Arial" w:eastAsia="Times New Roman" w:hAnsi="Arial" w:cs="Arial"/>
                <w:sz w:val="24"/>
                <w:szCs w:val="24"/>
                <w:lang w:eastAsia="en-GB"/>
              </w:rPr>
              <w:t>The staffing levels involved are broadly the same as before, but the model changes </w:t>
            </w:r>
            <w:r w:rsidRPr="00AC522B">
              <w:rPr>
                <w:rFonts w:ascii="Arial" w:eastAsia="Times New Roman" w:hAnsi="Arial" w:cs="Arial"/>
                <w:i/>
                <w:iCs/>
                <w:sz w:val="24"/>
                <w:szCs w:val="24"/>
                <w:lang w:eastAsia="en-GB"/>
              </w:rPr>
              <w:t>how</w:t>
            </w:r>
            <w:r w:rsidRPr="00AC522B">
              <w:rPr>
                <w:rFonts w:ascii="Arial" w:eastAsia="Times New Roman" w:hAnsi="Arial" w:cs="Arial"/>
                <w:sz w:val="24"/>
                <w:szCs w:val="24"/>
                <w:lang w:eastAsia="en-GB"/>
              </w:rPr>
              <w:t> staff time is used. Appointments are longer and more holistic, enabling clinicians to address both clinical needs and key lifestyle and preventative measures. This improves engagement, reduces avoidable or premature secondary care referrals, and aims to slow disease development and progression.</w:t>
            </w:r>
          </w:p>
          <w:p w:rsidR="00B4464A" w:rsidRPr="00AC522B" w:rsidRDefault="00B4464A" w:rsidP="00AC522B">
            <w:pPr>
              <w:shd w:val="clear" w:color="auto" w:fill="FFFFFF"/>
              <w:spacing w:line="300" w:lineRule="atLeast"/>
              <w:textAlignment w:val="baseline"/>
              <w:rPr>
                <w:rFonts w:ascii="Arial" w:eastAsia="Times New Roman" w:hAnsi="Arial" w:cs="Arial"/>
                <w:sz w:val="24"/>
                <w:szCs w:val="24"/>
                <w:lang w:eastAsia="en-GB"/>
              </w:rPr>
            </w:pPr>
          </w:p>
          <w:p w:rsidR="00AC522B" w:rsidRDefault="00AC522B" w:rsidP="00AC522B">
            <w:pPr>
              <w:shd w:val="clear" w:color="auto" w:fill="FFFFFF"/>
              <w:spacing w:line="300" w:lineRule="atLeast"/>
              <w:textAlignment w:val="baseline"/>
              <w:rPr>
                <w:rFonts w:ascii="Arial" w:eastAsia="Times New Roman" w:hAnsi="Arial" w:cs="Arial"/>
                <w:sz w:val="24"/>
                <w:szCs w:val="24"/>
                <w:lang w:eastAsia="en-GB"/>
              </w:rPr>
            </w:pPr>
            <w:r w:rsidRPr="00AC522B">
              <w:rPr>
                <w:rFonts w:ascii="Arial" w:eastAsia="Times New Roman" w:hAnsi="Arial" w:cs="Arial"/>
                <w:sz w:val="24"/>
                <w:szCs w:val="24"/>
                <w:lang w:eastAsia="en-GB"/>
              </w:rPr>
              <w:t>A core part of the model is a multidisciplinary approach in which the patient plays an active role. In addition to clinical input, the hub connects people to wider community resources such as voluntary sector organisations and public health</w:t>
            </w:r>
            <w:r w:rsidRPr="00AC522B">
              <w:rPr>
                <w:rFonts w:ascii="Arial" w:eastAsia="Times New Roman" w:hAnsi="Arial" w:cs="Arial"/>
                <w:sz w:val="24"/>
                <w:szCs w:val="24"/>
                <w:lang w:eastAsia="en-GB"/>
              </w:rPr>
              <w:noBreakHyphen/>
              <w:t>commissioned services (e.g., strength and balance groups, Harrow Cycle Hub). Digital tools such as MyHealth London and Know Diabetes support peer</w:t>
            </w:r>
            <w:r w:rsidRPr="00AC522B">
              <w:rPr>
                <w:rFonts w:ascii="Arial" w:eastAsia="Times New Roman" w:hAnsi="Arial" w:cs="Arial"/>
                <w:sz w:val="24"/>
                <w:szCs w:val="24"/>
                <w:lang w:eastAsia="en-GB"/>
              </w:rPr>
              <w:noBreakHyphen/>
              <w:t>to</w:t>
            </w:r>
            <w:r w:rsidRPr="00AC522B">
              <w:rPr>
                <w:rFonts w:ascii="Arial" w:eastAsia="Times New Roman" w:hAnsi="Arial" w:cs="Arial"/>
                <w:sz w:val="24"/>
                <w:szCs w:val="24"/>
                <w:lang w:eastAsia="en-GB"/>
              </w:rPr>
              <w:noBreakHyphen/>
              <w:t>peer learning and continued self</w:t>
            </w:r>
            <w:r w:rsidRPr="00AC522B">
              <w:rPr>
                <w:rFonts w:ascii="Arial" w:eastAsia="Times New Roman" w:hAnsi="Arial" w:cs="Arial"/>
                <w:sz w:val="24"/>
                <w:szCs w:val="24"/>
                <w:lang w:eastAsia="en-GB"/>
              </w:rPr>
              <w:noBreakHyphen/>
              <w:t>management between appointments.</w:t>
            </w:r>
          </w:p>
          <w:p w:rsidR="00B4464A" w:rsidRPr="00AC522B" w:rsidRDefault="00B4464A" w:rsidP="00AC522B">
            <w:pPr>
              <w:shd w:val="clear" w:color="auto" w:fill="FFFFFF"/>
              <w:spacing w:line="300" w:lineRule="atLeast"/>
              <w:textAlignment w:val="baseline"/>
              <w:rPr>
                <w:rFonts w:ascii="Arial" w:eastAsia="Times New Roman" w:hAnsi="Arial" w:cs="Arial"/>
                <w:sz w:val="24"/>
                <w:szCs w:val="24"/>
                <w:lang w:eastAsia="en-GB"/>
              </w:rPr>
            </w:pPr>
          </w:p>
          <w:p w:rsidR="00B4464A" w:rsidRDefault="00B4464A" w:rsidP="00AC522B">
            <w:pPr>
              <w:shd w:val="clear" w:color="auto" w:fill="FFFFFF"/>
              <w:spacing w:line="300" w:lineRule="atLeast"/>
              <w:textAlignment w:val="baseline"/>
              <w:rPr>
                <w:rFonts w:ascii="Arial" w:eastAsia="Times New Roman" w:hAnsi="Arial" w:cs="Arial"/>
                <w:sz w:val="24"/>
                <w:szCs w:val="24"/>
                <w:lang w:eastAsia="en-GB"/>
              </w:rPr>
            </w:pPr>
            <w:r w:rsidRPr="00B4464A">
              <w:rPr>
                <w:rFonts w:ascii="Arial" w:eastAsia="Times New Roman" w:hAnsi="Arial" w:cs="Arial"/>
                <w:sz w:val="24"/>
                <w:szCs w:val="24"/>
                <w:lang w:eastAsia="en-GB"/>
              </w:rPr>
              <w:lastRenderedPageBreak/>
              <w:t>The extended appointment length also creates space to identify and address social determinants of health such as unemployment, food insecurity and health literacy. This means the traditional long</w:t>
            </w:r>
            <w:r w:rsidRPr="00B4464A">
              <w:rPr>
                <w:rFonts w:ascii="Arial" w:eastAsia="Times New Roman" w:hAnsi="Arial" w:cs="Arial"/>
                <w:sz w:val="24"/>
                <w:szCs w:val="24"/>
                <w:lang w:eastAsia="en-GB"/>
              </w:rPr>
              <w:noBreakHyphen/>
              <w:t>term conditions model is enhanced by a more personalised, holistic approach that builds patient confidence, self</w:t>
            </w:r>
            <w:r w:rsidRPr="00B4464A">
              <w:rPr>
                <w:rFonts w:ascii="Arial" w:eastAsia="Times New Roman" w:hAnsi="Arial" w:cs="Arial"/>
                <w:sz w:val="24"/>
                <w:szCs w:val="24"/>
                <w:lang w:eastAsia="en-GB"/>
              </w:rPr>
              <w:noBreakHyphen/>
              <w:t>efficacy and self</w:t>
            </w:r>
            <w:r w:rsidRPr="00B4464A">
              <w:rPr>
                <w:rFonts w:ascii="Arial" w:eastAsia="Times New Roman" w:hAnsi="Arial" w:cs="Arial"/>
                <w:sz w:val="24"/>
                <w:szCs w:val="24"/>
                <w:lang w:eastAsia="en-GB"/>
              </w:rPr>
              <w:noBreakHyphen/>
              <w:t>care which helps patients to actively participate in understanding their care and how they can help mitigate current and future rising risks (for example through lifestyle and behavioural changes).</w:t>
            </w:r>
          </w:p>
          <w:p w:rsidR="00B4464A" w:rsidRPr="00AC522B" w:rsidRDefault="00B4464A" w:rsidP="00AC522B">
            <w:pPr>
              <w:shd w:val="clear" w:color="auto" w:fill="FFFFFF"/>
              <w:spacing w:line="300" w:lineRule="atLeast"/>
              <w:textAlignment w:val="baseline"/>
              <w:rPr>
                <w:rFonts w:ascii="Arial" w:eastAsia="Times New Roman" w:hAnsi="Arial" w:cs="Arial"/>
                <w:sz w:val="24"/>
                <w:szCs w:val="24"/>
                <w:lang w:eastAsia="en-GB"/>
              </w:rPr>
            </w:pPr>
          </w:p>
          <w:p w:rsidR="00AC522B" w:rsidRPr="002E11D9" w:rsidRDefault="00AC522B" w:rsidP="00AC522B">
            <w:pPr>
              <w:shd w:val="clear" w:color="auto" w:fill="FFFFFF"/>
              <w:spacing w:line="300" w:lineRule="atLeast"/>
              <w:textAlignment w:val="baseline"/>
              <w:rPr>
                <w:rFonts w:ascii="Arial" w:hAnsi="Arial" w:cs="Arial"/>
              </w:rPr>
            </w:pPr>
            <w:r w:rsidRPr="00AC522B">
              <w:rPr>
                <w:rFonts w:ascii="Arial" w:eastAsia="Times New Roman" w:hAnsi="Arial" w:cs="Arial"/>
                <w:sz w:val="24"/>
                <w:szCs w:val="24"/>
                <w:lang w:eastAsia="en-GB"/>
              </w:rPr>
              <w:t>While the CRM hub focuses on a defined cohort of patients, it demonstrates how coordinated neighbourhood</w:t>
            </w:r>
            <w:r w:rsidRPr="00AC522B">
              <w:rPr>
                <w:rFonts w:ascii="Arial" w:eastAsia="Times New Roman" w:hAnsi="Arial" w:cs="Arial"/>
                <w:sz w:val="24"/>
                <w:szCs w:val="24"/>
                <w:lang w:eastAsia="en-GB"/>
              </w:rPr>
              <w:noBreakHyphen/>
              <w:t>level care can be organised around prevention and wellbeing, which are core ambitions of the NHS Long Term Plan. It shows how thematic neighbourhood models can support improved outcomes for people with complex, interrelated conditions, while still aligning with the wider principles of neighbourhood-based, integrated care.</w:t>
            </w:r>
          </w:p>
        </w:tc>
      </w:tr>
      <w:tr w:rsidR="002E11D9" w:rsidRPr="002E11D9" w:rsidTr="00C5048D">
        <w:tc>
          <w:tcPr>
            <w:tcW w:w="624" w:type="dxa"/>
            <w:shd w:val="clear" w:color="auto" w:fill="E2EFD9" w:themeFill="accent6" w:themeFillTint="33"/>
          </w:tcPr>
          <w:p w:rsidR="00C5048D" w:rsidRPr="002E11D9" w:rsidRDefault="00C5048D" w:rsidP="0058156F">
            <w:pPr>
              <w:spacing w:after="120"/>
              <w:rPr>
                <w:rFonts w:ascii="Arial" w:hAnsi="Arial" w:cs="Arial"/>
                <w:b/>
              </w:rPr>
            </w:pPr>
            <w:r w:rsidRPr="002E11D9">
              <w:rPr>
                <w:rFonts w:ascii="Arial" w:hAnsi="Arial" w:cs="Arial"/>
                <w:b/>
              </w:rPr>
              <w:lastRenderedPageBreak/>
              <w:t>12</w:t>
            </w:r>
          </w:p>
        </w:tc>
        <w:tc>
          <w:tcPr>
            <w:tcW w:w="1867" w:type="dxa"/>
            <w:shd w:val="clear" w:color="auto" w:fill="E2EFD9" w:themeFill="accent6" w:themeFillTint="33"/>
          </w:tcPr>
          <w:p w:rsidR="00C5048D" w:rsidRPr="002E11D9" w:rsidRDefault="00C5048D" w:rsidP="0058156F">
            <w:pPr>
              <w:spacing w:after="120"/>
              <w:rPr>
                <w:rFonts w:ascii="Arial" w:hAnsi="Arial" w:cs="Arial"/>
              </w:rPr>
            </w:pPr>
            <w:r w:rsidRPr="002E11D9">
              <w:rPr>
                <w:rFonts w:ascii="Arial" w:hAnsi="Arial" w:cs="Arial"/>
                <w:b/>
              </w:rPr>
              <w:t>Timing/ agenda</w:t>
            </w:r>
          </w:p>
        </w:tc>
        <w:tc>
          <w:tcPr>
            <w:tcW w:w="1137" w:type="dxa"/>
            <w:shd w:val="clear" w:color="auto" w:fill="E2EFD9" w:themeFill="accent6" w:themeFillTint="33"/>
          </w:tcPr>
          <w:p w:rsidR="00C5048D" w:rsidRPr="002E11D9" w:rsidRDefault="00C5048D" w:rsidP="0058156F">
            <w:pPr>
              <w:spacing w:after="120"/>
              <w:rPr>
                <w:rFonts w:ascii="Arial" w:hAnsi="Arial" w:cs="Arial"/>
              </w:rPr>
            </w:pPr>
            <w:r w:rsidRPr="002E11D9">
              <w:rPr>
                <w:rFonts w:ascii="Arial" w:hAnsi="Arial" w:cs="Arial"/>
              </w:rPr>
              <w:t>Brent Patient Voice</w:t>
            </w:r>
          </w:p>
        </w:tc>
        <w:tc>
          <w:tcPr>
            <w:tcW w:w="5499" w:type="dxa"/>
            <w:shd w:val="clear" w:color="auto" w:fill="E2EFD9" w:themeFill="accent6" w:themeFillTint="33"/>
          </w:tcPr>
          <w:p w:rsidR="00C5048D" w:rsidRPr="002E11D9" w:rsidRDefault="00C5048D" w:rsidP="0058156F">
            <w:pPr>
              <w:spacing w:after="120"/>
              <w:rPr>
                <w:rFonts w:ascii="Arial" w:hAnsi="Arial" w:cs="Arial"/>
              </w:rPr>
            </w:pPr>
            <w:r w:rsidRPr="002E11D9">
              <w:rPr>
                <w:rFonts w:ascii="Arial" w:hAnsi="Arial" w:cs="Arial"/>
                <w:bCs/>
              </w:rPr>
              <w:t>Brent Patient Voice wishes to raise concern at the short time made available for an appropriately detailed review of papers, and the raising of questions, particularly w</w:t>
            </w:r>
            <w:r w:rsidR="00AC522B" w:rsidRPr="002E11D9">
              <w:rPr>
                <w:rFonts w:ascii="Arial" w:hAnsi="Arial" w:cs="Arial"/>
                <w:bCs/>
              </w:rPr>
              <w:t xml:space="preserve">here there are, in some cases, </w:t>
            </w:r>
            <w:r w:rsidRPr="002E11D9">
              <w:rPr>
                <w:rFonts w:ascii="Arial" w:hAnsi="Arial" w:cs="Arial"/>
                <w:bCs/>
              </w:rPr>
              <w:t xml:space="preserve">2 sets of papers (one per ICB), and then </w:t>
            </w:r>
            <w:r w:rsidRPr="002E11D9">
              <w:rPr>
                <w:rFonts w:ascii="Arial" w:hAnsi="Arial" w:cs="Arial"/>
                <w:bCs/>
              </w:rPr>
              <w:lastRenderedPageBreak/>
              <w:t>merged reports .It will be understood by the Bo</w:t>
            </w:r>
            <w:r w:rsidR="00AC522B" w:rsidRPr="002E11D9">
              <w:rPr>
                <w:rFonts w:ascii="Arial" w:hAnsi="Arial" w:cs="Arial"/>
                <w:bCs/>
              </w:rPr>
              <w:t>ard that patients from each ICB</w:t>
            </w:r>
            <w:r w:rsidRPr="002E11D9">
              <w:rPr>
                <w:rFonts w:ascii="Arial" w:hAnsi="Arial" w:cs="Arial"/>
                <w:bCs/>
              </w:rPr>
              <w:t xml:space="preserve"> are used to looking for familiar information from reading their “own” Board reports over the years. It would be helpful if – as was the case with NWL – patients and groups should have over a weekend to consider papers and liaise on questions, and deliver by 10 am on the Monday prior to the Tuesday Board meetings. Written answers have always been given later, and only questions of immediate ease of answering could be dealt within the meeting.</w:t>
            </w:r>
          </w:p>
        </w:tc>
        <w:tc>
          <w:tcPr>
            <w:tcW w:w="5499" w:type="dxa"/>
            <w:shd w:val="clear" w:color="auto" w:fill="E2EFD9" w:themeFill="accent6" w:themeFillTint="33"/>
          </w:tcPr>
          <w:p w:rsidR="00AC522B" w:rsidRPr="002E11D9" w:rsidRDefault="00AC522B" w:rsidP="00AC522B">
            <w:pPr>
              <w:spacing w:after="120"/>
              <w:rPr>
                <w:rFonts w:ascii="Arial" w:hAnsi="Arial" w:cs="Arial"/>
              </w:rPr>
            </w:pPr>
            <w:r w:rsidRPr="002E11D9">
              <w:rPr>
                <w:rFonts w:ascii="Arial" w:hAnsi="Arial" w:cs="Arial"/>
              </w:rPr>
              <w:lastRenderedPageBreak/>
              <w:t>This is noted and we will take it under consideration.</w:t>
            </w:r>
          </w:p>
          <w:p w:rsidR="00AC522B" w:rsidRPr="002E11D9" w:rsidRDefault="00AC522B" w:rsidP="0058156F">
            <w:pPr>
              <w:spacing w:after="120"/>
              <w:rPr>
                <w:rFonts w:ascii="Arial" w:hAnsi="Arial" w:cs="Arial"/>
              </w:rPr>
            </w:pPr>
          </w:p>
        </w:tc>
      </w:tr>
      <w:tr w:rsidR="002E11D9" w:rsidRPr="002E11D9" w:rsidTr="001F79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24" w:type="dxa"/>
          </w:tcPr>
          <w:p w:rsidR="001F793D" w:rsidRPr="002E11D9" w:rsidRDefault="001F793D" w:rsidP="00F64CDD">
            <w:pPr>
              <w:spacing w:after="120"/>
              <w:rPr>
                <w:rFonts w:ascii="Arial" w:hAnsi="Arial" w:cs="Arial"/>
                <w:b/>
              </w:rPr>
            </w:pPr>
            <w:r w:rsidRPr="002E11D9">
              <w:rPr>
                <w:rFonts w:ascii="Arial" w:hAnsi="Arial" w:cs="Arial"/>
                <w:b/>
              </w:rPr>
              <w:t>13</w:t>
            </w:r>
          </w:p>
        </w:tc>
        <w:tc>
          <w:tcPr>
            <w:tcW w:w="1867" w:type="dxa"/>
          </w:tcPr>
          <w:p w:rsidR="001F793D" w:rsidRPr="002E11D9" w:rsidRDefault="001F793D" w:rsidP="00F64CDD">
            <w:pPr>
              <w:spacing w:after="120"/>
              <w:rPr>
                <w:rFonts w:ascii="Arial" w:hAnsi="Arial" w:cs="Arial"/>
              </w:rPr>
            </w:pPr>
            <w:r w:rsidRPr="002E11D9">
              <w:rPr>
                <w:rFonts w:ascii="Arial" w:hAnsi="Arial" w:cs="Arial"/>
                <w:b/>
              </w:rPr>
              <w:t>3.10) Chief Executive Officer’s report</w:t>
            </w:r>
          </w:p>
        </w:tc>
        <w:tc>
          <w:tcPr>
            <w:tcW w:w="1137" w:type="dxa"/>
          </w:tcPr>
          <w:p w:rsidR="001F793D" w:rsidRPr="002E11D9" w:rsidRDefault="001F793D" w:rsidP="00F64CDD">
            <w:pPr>
              <w:spacing w:after="120"/>
              <w:rPr>
                <w:rFonts w:ascii="Arial" w:hAnsi="Arial" w:cs="Arial"/>
              </w:rPr>
            </w:pPr>
          </w:p>
        </w:tc>
        <w:tc>
          <w:tcPr>
            <w:tcW w:w="5499" w:type="dxa"/>
          </w:tcPr>
          <w:p w:rsidR="002E11D9" w:rsidRPr="002E11D9" w:rsidRDefault="002E11D9" w:rsidP="002E11D9">
            <w:pPr>
              <w:shd w:val="clear" w:color="auto" w:fill="FFFFFF"/>
              <w:textAlignment w:val="baseline"/>
              <w:rPr>
                <w:rFonts w:ascii="Arial" w:eastAsia="Times New Roman" w:hAnsi="Arial" w:cs="Arial"/>
                <w:sz w:val="24"/>
                <w:szCs w:val="24"/>
                <w:bdr w:val="none" w:sz="0" w:space="0" w:color="auto" w:frame="1"/>
                <w:lang w:eastAsia="en-GB"/>
              </w:rPr>
            </w:pPr>
            <w:r w:rsidRPr="002E11D9">
              <w:rPr>
                <w:rFonts w:ascii="Arial" w:eastAsia="Times New Roman" w:hAnsi="Arial" w:cs="Arial"/>
                <w:sz w:val="24"/>
                <w:szCs w:val="24"/>
                <w:bdr w:val="none" w:sz="0" w:space="0" w:color="auto" w:frame="1"/>
                <w:lang w:eastAsia="en-GB"/>
              </w:rPr>
              <w:t>The CEO’s report identifies that NWL supports 2.1 million residents and 2.7 million registered patients.</w:t>
            </w:r>
          </w:p>
          <w:p w:rsidR="002E11D9" w:rsidRPr="002E11D9" w:rsidRDefault="002E11D9" w:rsidP="002E11D9">
            <w:pPr>
              <w:shd w:val="clear" w:color="auto" w:fill="FFFFFF"/>
              <w:textAlignment w:val="baseline"/>
              <w:rPr>
                <w:rFonts w:ascii="Aptos" w:eastAsia="Times New Roman" w:hAnsi="Aptos" w:cs="Segoe UI"/>
                <w:sz w:val="24"/>
                <w:szCs w:val="24"/>
                <w:lang w:eastAsia="en-GB"/>
              </w:rPr>
            </w:pPr>
          </w:p>
          <w:p w:rsidR="002E11D9" w:rsidRPr="002E11D9" w:rsidRDefault="002E11D9" w:rsidP="002E11D9">
            <w:pPr>
              <w:shd w:val="clear" w:color="auto" w:fill="FFFFFF"/>
              <w:textAlignment w:val="baseline"/>
              <w:rPr>
                <w:rFonts w:ascii="Arial" w:eastAsia="Times New Roman" w:hAnsi="Arial" w:cs="Arial"/>
                <w:sz w:val="24"/>
                <w:szCs w:val="24"/>
                <w:bdr w:val="none" w:sz="0" w:space="0" w:color="auto" w:frame="1"/>
                <w:lang w:eastAsia="en-GB"/>
              </w:rPr>
            </w:pPr>
            <w:r w:rsidRPr="002E11D9">
              <w:rPr>
                <w:rFonts w:ascii="Arial" w:eastAsia="Times New Roman" w:hAnsi="Arial" w:cs="Arial"/>
                <w:sz w:val="24"/>
                <w:szCs w:val="24"/>
                <w:bdr w:val="none" w:sz="0" w:space="0" w:color="auto" w:frame="1"/>
                <w:lang w:eastAsia="en-GB"/>
              </w:rPr>
              <w:t>What action is being taken to identify the 600,000 so-called ghost patients for whom practices are claiming the per-capita payment for patients who have left the practice? This accounts for some 20% of primary care funding.</w:t>
            </w:r>
          </w:p>
          <w:p w:rsidR="002E11D9" w:rsidRPr="002E11D9" w:rsidRDefault="002E11D9" w:rsidP="002E11D9">
            <w:pPr>
              <w:shd w:val="clear" w:color="auto" w:fill="FFFFFF"/>
              <w:textAlignment w:val="baseline"/>
              <w:rPr>
                <w:rFonts w:ascii="Aptos" w:eastAsia="Times New Roman" w:hAnsi="Aptos" w:cs="Segoe UI"/>
                <w:sz w:val="24"/>
                <w:szCs w:val="24"/>
                <w:lang w:eastAsia="en-GB"/>
              </w:rPr>
            </w:pPr>
          </w:p>
          <w:p w:rsidR="002E11D9" w:rsidRPr="002E11D9" w:rsidRDefault="002E11D9" w:rsidP="002E11D9">
            <w:pPr>
              <w:shd w:val="clear" w:color="auto" w:fill="FFFFFF"/>
              <w:textAlignment w:val="baseline"/>
              <w:rPr>
                <w:rFonts w:ascii="Arial" w:eastAsia="Times New Roman" w:hAnsi="Arial" w:cs="Arial"/>
                <w:sz w:val="24"/>
                <w:szCs w:val="24"/>
                <w:bdr w:val="none" w:sz="0" w:space="0" w:color="auto" w:frame="1"/>
                <w:lang w:eastAsia="en-GB"/>
              </w:rPr>
            </w:pPr>
            <w:r w:rsidRPr="002E11D9">
              <w:rPr>
                <w:rFonts w:ascii="Arial" w:eastAsia="Times New Roman" w:hAnsi="Arial" w:cs="Arial"/>
                <w:sz w:val="24"/>
                <w:szCs w:val="24"/>
                <w:bdr w:val="none" w:sz="0" w:space="0" w:color="auto" w:frame="1"/>
                <w:lang w:eastAsia="en-GB"/>
              </w:rPr>
              <w:t>Whilst a few of these patients may be accounted for by prisoners, rough sleepers, and by commuters who prefer to register near their place of work, they represent a very small minority. We are aware that some practices have been claiming payment for patients who left the country more than ten years ago!</w:t>
            </w:r>
          </w:p>
          <w:p w:rsidR="002E11D9" w:rsidRPr="002E11D9" w:rsidRDefault="002E11D9" w:rsidP="002E11D9">
            <w:pPr>
              <w:shd w:val="clear" w:color="auto" w:fill="FFFFFF"/>
              <w:textAlignment w:val="baseline"/>
              <w:rPr>
                <w:rFonts w:ascii="Aptos" w:eastAsia="Times New Roman" w:hAnsi="Aptos" w:cs="Segoe UI"/>
                <w:sz w:val="24"/>
                <w:szCs w:val="24"/>
                <w:lang w:eastAsia="en-GB"/>
              </w:rPr>
            </w:pPr>
          </w:p>
          <w:p w:rsidR="001F793D" w:rsidRPr="002E11D9" w:rsidRDefault="002E11D9" w:rsidP="002E11D9">
            <w:pPr>
              <w:shd w:val="clear" w:color="auto" w:fill="FFFFFF"/>
              <w:textAlignment w:val="baseline"/>
              <w:rPr>
                <w:rFonts w:ascii="Arial" w:hAnsi="Arial" w:cs="Arial"/>
              </w:rPr>
            </w:pPr>
            <w:r w:rsidRPr="002E11D9">
              <w:rPr>
                <w:rFonts w:ascii="Arial" w:eastAsia="Times New Roman" w:hAnsi="Arial" w:cs="Arial"/>
                <w:sz w:val="24"/>
                <w:szCs w:val="24"/>
                <w:bdr w:val="none" w:sz="0" w:space="0" w:color="auto" w:frame="1"/>
                <w:lang w:eastAsia="en-GB"/>
              </w:rPr>
              <w:lastRenderedPageBreak/>
              <w:t>When are practices going to be required to conduct list-cleansing exercises? It is not in their interest to do so voluntarily while the ICB is funding them for these non-existent patients.</w:t>
            </w:r>
          </w:p>
        </w:tc>
        <w:tc>
          <w:tcPr>
            <w:tcW w:w="5499" w:type="dxa"/>
          </w:tcPr>
          <w:p w:rsidR="001F793D" w:rsidRPr="00A75969" w:rsidRDefault="001F793D" w:rsidP="001F793D">
            <w:pPr>
              <w:shd w:val="clear" w:color="auto" w:fill="FFFFFF"/>
              <w:spacing w:line="300" w:lineRule="atLeast"/>
              <w:textAlignment w:val="baseline"/>
              <w:rPr>
                <w:rFonts w:ascii="Arial" w:hAnsi="Arial" w:cs="Arial"/>
                <w:b/>
              </w:rPr>
            </w:pPr>
            <w:r w:rsidRPr="00A75969">
              <w:rPr>
                <w:rFonts w:ascii="Arial" w:hAnsi="Arial" w:cs="Arial"/>
                <w:b/>
              </w:rPr>
              <w:lastRenderedPageBreak/>
              <w:t>PCSE list validation and maintenance</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Primary Care Support England (PCSE) are commissioned by NHS England to support all practices and ICBs across England with primary care list validation and maintenance processes to ensure lists are as accurate as possible. The ICB does not directly undertake these processes but will investigate if it is notified by PCSE of a specific issue with a practice.</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 xml:space="preserve">PCSE’s list maintenance programme is a 3-year rolling cycle for all GP practices, meaning a third of GP practices each year are requested to provide a download of their list for reconciliation with the details held on the national system. Checks and updates are completed to ensure that GP practice lists only include registered patients who they are providing </w:t>
            </w:r>
            <w:r w:rsidRPr="002E11D9">
              <w:rPr>
                <w:rFonts w:ascii="Arial" w:hAnsi="Arial" w:cs="Arial"/>
              </w:rPr>
              <w:lastRenderedPageBreak/>
              <w:t>services for. The process includes validating patient details, removing incorrect registrations, and ensuring practices are paid correctly for the number of patients they have. Practices are required to maintain their patient lists and can also request a list reconciliation should they identify discrepancies.</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PCSE also run a number of list validation processes on an annual basis for the following 6 groups:</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pStyle w:val="ListParagraph"/>
              <w:numPr>
                <w:ilvl w:val="0"/>
                <w:numId w:val="39"/>
              </w:numPr>
              <w:shd w:val="clear" w:color="auto" w:fill="FFFFFF"/>
              <w:spacing w:line="300" w:lineRule="atLeast"/>
              <w:textAlignment w:val="baseline"/>
              <w:rPr>
                <w:rFonts w:ascii="Arial" w:hAnsi="Arial" w:cs="Arial"/>
              </w:rPr>
            </w:pPr>
            <w:r w:rsidRPr="002E11D9">
              <w:rPr>
                <w:rFonts w:ascii="Arial" w:hAnsi="Arial" w:cs="Arial"/>
              </w:rPr>
              <w:t>patients aged over 100</w:t>
            </w:r>
          </w:p>
          <w:p w:rsidR="001F793D" w:rsidRPr="002E11D9" w:rsidRDefault="001F793D" w:rsidP="001F793D">
            <w:pPr>
              <w:pStyle w:val="ListParagraph"/>
              <w:numPr>
                <w:ilvl w:val="0"/>
                <w:numId w:val="39"/>
              </w:numPr>
              <w:shd w:val="clear" w:color="auto" w:fill="FFFFFF"/>
              <w:spacing w:line="300" w:lineRule="atLeast"/>
              <w:textAlignment w:val="baseline"/>
              <w:rPr>
                <w:rFonts w:ascii="Arial" w:hAnsi="Arial" w:cs="Arial"/>
              </w:rPr>
            </w:pPr>
            <w:r w:rsidRPr="002E11D9">
              <w:rPr>
                <w:rFonts w:ascii="Arial" w:hAnsi="Arial" w:cs="Arial"/>
              </w:rPr>
              <w:t>patients registered with the NHS in the UK for the first time in the last year</w:t>
            </w:r>
          </w:p>
          <w:p w:rsidR="001F793D" w:rsidRPr="002E11D9" w:rsidRDefault="001F793D" w:rsidP="001F793D">
            <w:pPr>
              <w:pStyle w:val="ListParagraph"/>
              <w:numPr>
                <w:ilvl w:val="0"/>
                <w:numId w:val="39"/>
              </w:numPr>
              <w:shd w:val="clear" w:color="auto" w:fill="FFFFFF"/>
              <w:spacing w:line="300" w:lineRule="atLeast"/>
              <w:textAlignment w:val="baseline"/>
              <w:rPr>
                <w:rFonts w:ascii="Arial" w:hAnsi="Arial" w:cs="Arial"/>
              </w:rPr>
            </w:pPr>
            <w:r w:rsidRPr="002E11D9">
              <w:rPr>
                <w:rFonts w:ascii="Arial" w:hAnsi="Arial" w:cs="Arial"/>
              </w:rPr>
              <w:t>patients registered at an educational facility for four or more years (students)</w:t>
            </w:r>
          </w:p>
          <w:p w:rsidR="001F793D" w:rsidRPr="002E11D9" w:rsidRDefault="001F793D" w:rsidP="001F793D">
            <w:pPr>
              <w:pStyle w:val="ListParagraph"/>
              <w:numPr>
                <w:ilvl w:val="0"/>
                <w:numId w:val="39"/>
              </w:numPr>
              <w:shd w:val="clear" w:color="auto" w:fill="FFFFFF"/>
              <w:spacing w:line="300" w:lineRule="atLeast"/>
              <w:textAlignment w:val="baseline"/>
              <w:rPr>
                <w:rFonts w:ascii="Arial" w:hAnsi="Arial" w:cs="Arial"/>
              </w:rPr>
            </w:pPr>
            <w:r w:rsidRPr="002E11D9">
              <w:rPr>
                <w:rFonts w:ascii="Arial" w:hAnsi="Arial" w:cs="Arial"/>
              </w:rPr>
              <w:t>patients aged under 16 showing as the sole occupier of a property</w:t>
            </w:r>
          </w:p>
          <w:p w:rsidR="001F793D" w:rsidRPr="002E11D9" w:rsidRDefault="001F793D" w:rsidP="001F793D">
            <w:pPr>
              <w:pStyle w:val="ListParagraph"/>
              <w:numPr>
                <w:ilvl w:val="0"/>
                <w:numId w:val="39"/>
              </w:numPr>
              <w:shd w:val="clear" w:color="auto" w:fill="FFFFFF"/>
              <w:spacing w:line="300" w:lineRule="atLeast"/>
              <w:textAlignment w:val="baseline"/>
              <w:rPr>
                <w:rFonts w:ascii="Arial" w:hAnsi="Arial" w:cs="Arial"/>
              </w:rPr>
            </w:pPr>
            <w:r w:rsidRPr="002E11D9">
              <w:rPr>
                <w:rFonts w:ascii="Arial" w:hAnsi="Arial" w:cs="Arial"/>
              </w:rPr>
              <w:t>properties the Royal Mail report as demolished</w:t>
            </w:r>
          </w:p>
          <w:p w:rsidR="001F793D" w:rsidRPr="002E11D9" w:rsidRDefault="001F793D" w:rsidP="001F793D">
            <w:pPr>
              <w:pStyle w:val="ListParagraph"/>
              <w:numPr>
                <w:ilvl w:val="0"/>
                <w:numId w:val="39"/>
              </w:numPr>
              <w:shd w:val="clear" w:color="auto" w:fill="FFFFFF"/>
              <w:spacing w:line="300" w:lineRule="atLeast"/>
              <w:textAlignment w:val="baseline"/>
              <w:rPr>
                <w:rFonts w:ascii="Arial" w:hAnsi="Arial" w:cs="Arial"/>
              </w:rPr>
            </w:pPr>
            <w:proofErr w:type="gramStart"/>
            <w:r w:rsidRPr="002E11D9">
              <w:rPr>
                <w:rFonts w:ascii="Arial" w:hAnsi="Arial" w:cs="Arial"/>
              </w:rPr>
              <w:t>properties</w:t>
            </w:r>
            <w:proofErr w:type="gramEnd"/>
            <w:r w:rsidRPr="002E11D9">
              <w:rPr>
                <w:rFonts w:ascii="Arial" w:hAnsi="Arial" w:cs="Arial"/>
              </w:rPr>
              <w:t xml:space="preserve"> with eight or more registered inhabitants (multiple occupancy).</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 xml:space="preserve">In addition to these, PCSE will contact practices for a list patients who have not had a consultation in the past 5 years, thereafter PCSE sends letters to these patients twice asking them to confirm their address and that they wish to remain registered with the practice, if PCSE do not receive a response from a </w:t>
            </w:r>
            <w:r w:rsidRPr="002E11D9">
              <w:rPr>
                <w:rFonts w:ascii="Arial" w:hAnsi="Arial" w:cs="Arial"/>
              </w:rPr>
              <w:lastRenderedPageBreak/>
              <w:t>patient within 2 months then they are generate an electronic request (called an FP69) that allows them 3 months to confirm the patient is still current and update their details if needed.  If after 3 months no changes to the patient’s details or registration status have been received, they will be removed from the registered list. If any practice generates a large number of unprocessed FP69 requests then PCSE/NHSE should notify the local commissioner to investigate.</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Given that PCSE undertake list maintenance and validation on annual basis it is inevitable that all practices will have a degree of list inflation. Practices in London tend to be impacted to a greater degree because the city has a higher turnover of residents compared to other parts of England.</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b/>
              </w:rPr>
            </w:pPr>
            <w:r w:rsidRPr="002E11D9">
              <w:rPr>
                <w:rFonts w:ascii="Arial" w:hAnsi="Arial" w:cs="Arial"/>
                <w:b/>
              </w:rPr>
              <w:t>Non NWL residents choosing to register with NWL practices</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It should also be noted that not all of the 600,000 additional patients are ‘ghost’ patients.</w:t>
            </w: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 xml:space="preserve">There are number of patients who live outside of north-west London who choose to register with north-west London practices eg. </w:t>
            </w:r>
            <w:proofErr w:type="gramStart"/>
            <w:r w:rsidRPr="002E11D9">
              <w:rPr>
                <w:rFonts w:ascii="Arial" w:hAnsi="Arial" w:cs="Arial"/>
              </w:rPr>
              <w:t>living</w:t>
            </w:r>
            <w:proofErr w:type="gramEnd"/>
            <w:r w:rsidRPr="002E11D9">
              <w:rPr>
                <w:rFonts w:ascii="Arial" w:hAnsi="Arial" w:cs="Arial"/>
              </w:rPr>
              <w:t xml:space="preserve"> in neighbouring ICB </w:t>
            </w:r>
            <w:r w:rsidRPr="002E11D9">
              <w:rPr>
                <w:rFonts w:ascii="Arial" w:hAnsi="Arial" w:cs="Arial"/>
              </w:rPr>
              <w:lastRenderedPageBreak/>
              <w:t>areas or who choose to register as an out of area patient.</w:t>
            </w:r>
          </w:p>
          <w:p w:rsidR="001F793D" w:rsidRPr="002E11D9" w:rsidRDefault="001F793D" w:rsidP="001F793D">
            <w:pPr>
              <w:shd w:val="clear" w:color="auto" w:fill="FFFFFF"/>
              <w:spacing w:line="300" w:lineRule="atLeast"/>
              <w:textAlignment w:val="baseline"/>
              <w:rPr>
                <w:rFonts w:ascii="Arial" w:hAnsi="Arial" w:cs="Arial"/>
              </w:rPr>
            </w:pPr>
          </w:p>
          <w:p w:rsidR="001F793D" w:rsidRPr="002E11D9" w:rsidRDefault="001F793D" w:rsidP="001F793D">
            <w:pPr>
              <w:shd w:val="clear" w:color="auto" w:fill="FFFFFF"/>
              <w:spacing w:line="300" w:lineRule="atLeast"/>
              <w:textAlignment w:val="baseline"/>
              <w:rPr>
                <w:rFonts w:ascii="Arial" w:hAnsi="Arial" w:cs="Arial"/>
              </w:rPr>
            </w:pPr>
            <w:r w:rsidRPr="002E11D9">
              <w:rPr>
                <w:rFonts w:ascii="Arial" w:hAnsi="Arial" w:cs="Arial"/>
              </w:rPr>
              <w:t>NWL has two practices that have lists of approx. 100,000 patients each which are predominantly patients who reside outside of north-west London but have chosen to access care as out of area patients.</w:t>
            </w:r>
          </w:p>
        </w:tc>
      </w:tr>
    </w:tbl>
    <w:p w:rsidR="00472CD9" w:rsidRPr="002E11D9" w:rsidRDefault="00472CD9" w:rsidP="00206237">
      <w:pPr>
        <w:spacing w:after="120" w:line="240" w:lineRule="auto"/>
        <w:rPr>
          <w:rFonts w:ascii="Arial" w:hAnsi="Arial" w:cs="Arial"/>
        </w:rPr>
      </w:pPr>
    </w:p>
    <w:sectPr w:rsidR="00472CD9" w:rsidRPr="002E11D9" w:rsidSect="00472CD9">
      <w:headerReference w:type="even" r:id="rId11"/>
      <w:headerReference w:type="default" r:id="rId12"/>
      <w:footerReference w:type="even" r:id="rId13"/>
      <w:footerReference w:type="default" r:id="rId14"/>
      <w:headerReference w:type="first" r:id="rId15"/>
      <w:footerReference w:type="first" r:id="rId16"/>
      <w:pgSz w:w="16838" w:h="11906"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866" w:rsidRDefault="00374866" w:rsidP="000D7FD1">
      <w:pPr>
        <w:spacing w:after="0" w:line="240" w:lineRule="auto"/>
      </w:pPr>
      <w:r>
        <w:separator/>
      </w:r>
    </w:p>
  </w:endnote>
  <w:endnote w:type="continuationSeparator" w:id="0">
    <w:p w:rsidR="00374866" w:rsidRDefault="00374866" w:rsidP="000D7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666A" w:rsidRDefault="007966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6433879"/>
      <w:docPartObj>
        <w:docPartGallery w:val="Page Numbers (Bottom of Page)"/>
        <w:docPartUnique/>
      </w:docPartObj>
    </w:sdtPr>
    <w:sdtEndPr/>
    <w:sdtContent>
      <w:sdt>
        <w:sdtPr>
          <w:id w:val="-1769616900"/>
          <w:docPartObj>
            <w:docPartGallery w:val="Page Numbers (Top of Page)"/>
            <w:docPartUnique/>
          </w:docPartObj>
        </w:sdtPr>
        <w:sdtEndPr/>
        <w:sdtContent>
          <w:p w:rsidR="00967331" w:rsidRDefault="0096733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627A19">
              <w:rPr>
                <w:b/>
                <w:bCs/>
                <w:noProof/>
              </w:rPr>
              <w:t>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27A19">
              <w:rPr>
                <w:b/>
                <w:bCs/>
                <w:noProof/>
              </w:rPr>
              <w:t>14</w:t>
            </w:r>
            <w:r>
              <w:rPr>
                <w:b/>
                <w:bCs/>
                <w:sz w:val="24"/>
                <w:szCs w:val="24"/>
              </w:rPr>
              <w:fldChar w:fldCharType="end"/>
            </w:r>
          </w:p>
        </w:sdtContent>
      </w:sdt>
    </w:sdtContent>
  </w:sdt>
  <w:p w:rsidR="00FB313F" w:rsidRDefault="00FB313F" w:rsidP="00FB313F">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666A" w:rsidRDefault="00796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866" w:rsidRDefault="00374866" w:rsidP="000D7FD1">
      <w:pPr>
        <w:spacing w:after="0" w:line="240" w:lineRule="auto"/>
      </w:pPr>
      <w:r>
        <w:separator/>
      </w:r>
    </w:p>
  </w:footnote>
  <w:footnote w:type="continuationSeparator" w:id="0">
    <w:p w:rsidR="00374866" w:rsidRDefault="00374866" w:rsidP="000D7F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666A" w:rsidRDefault="007966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4627" w:type="dxa"/>
      <w:tblInd w:w="-5"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Look w:val="04A0" w:firstRow="1" w:lastRow="0" w:firstColumn="1" w:lastColumn="0" w:noHBand="0" w:noVBand="1"/>
    </w:tblPr>
    <w:tblGrid>
      <w:gridCol w:w="14627"/>
    </w:tblGrid>
    <w:tr w:rsidR="00822FED" w:rsidRPr="00007E8B" w:rsidTr="00472CD9">
      <w:tc>
        <w:tcPr>
          <w:tcW w:w="14627" w:type="dxa"/>
          <w:shd w:val="clear" w:color="auto" w:fill="E2EFD9" w:themeFill="accent6" w:themeFillTint="33"/>
        </w:tcPr>
        <w:p w:rsidR="0079666A" w:rsidRDefault="00822FED" w:rsidP="0079666A">
          <w:pPr>
            <w:spacing w:after="120"/>
            <w:jc w:val="center"/>
            <w:rPr>
              <w:rFonts w:ascii="Arial" w:hAnsi="Arial" w:cs="Arial"/>
              <w:b/>
            </w:rPr>
          </w:pPr>
          <w:r w:rsidRPr="00007E8B">
            <w:rPr>
              <w:rFonts w:ascii="Arial" w:hAnsi="Arial" w:cs="Arial"/>
              <w:b/>
            </w:rPr>
            <w:t>NW London ICB</w:t>
          </w:r>
          <w:r w:rsidR="00B60B6F">
            <w:rPr>
              <w:rFonts w:ascii="Arial" w:hAnsi="Arial" w:cs="Arial"/>
              <w:b/>
            </w:rPr>
            <w:t xml:space="preserve"> &amp; NC London</w:t>
          </w:r>
          <w:r w:rsidRPr="00007E8B">
            <w:rPr>
              <w:rFonts w:ascii="Arial" w:hAnsi="Arial" w:cs="Arial"/>
              <w:b/>
            </w:rPr>
            <w:t xml:space="preserve"> Board</w:t>
          </w:r>
          <w:r w:rsidR="00B60B6F">
            <w:rPr>
              <w:rFonts w:ascii="Arial" w:hAnsi="Arial" w:cs="Arial"/>
              <w:b/>
            </w:rPr>
            <w:t xml:space="preserve"> </w:t>
          </w:r>
          <w:r w:rsidR="0079666A">
            <w:rPr>
              <w:rFonts w:ascii="Arial" w:hAnsi="Arial" w:cs="Arial"/>
              <w:b/>
            </w:rPr>
            <w:t xml:space="preserve">meeting in public </w:t>
          </w:r>
          <w:r w:rsidR="00B60B6F">
            <w:rPr>
              <w:rFonts w:ascii="Arial" w:hAnsi="Arial" w:cs="Arial"/>
              <w:b/>
            </w:rPr>
            <w:t>in common</w:t>
          </w:r>
          <w:r w:rsidRPr="00007E8B">
            <w:rPr>
              <w:rFonts w:ascii="Arial" w:hAnsi="Arial" w:cs="Arial"/>
              <w:b/>
            </w:rPr>
            <w:t xml:space="preserve">: </w:t>
          </w:r>
          <w:r w:rsidR="0079666A">
            <w:rPr>
              <w:rFonts w:ascii="Arial" w:hAnsi="Arial" w:cs="Arial"/>
              <w:b/>
            </w:rPr>
            <w:t>24 March 2026</w:t>
          </w:r>
        </w:p>
        <w:p w:rsidR="0079666A" w:rsidRPr="00007E8B" w:rsidRDefault="0079666A" w:rsidP="0079666A">
          <w:pPr>
            <w:spacing w:after="120"/>
            <w:jc w:val="center"/>
            <w:rPr>
              <w:rFonts w:ascii="Arial" w:hAnsi="Arial" w:cs="Arial"/>
              <w:b/>
            </w:rPr>
          </w:pPr>
          <w:r>
            <w:rPr>
              <w:rFonts w:ascii="Arial" w:hAnsi="Arial" w:cs="Arial"/>
              <w:b/>
            </w:rPr>
            <w:t xml:space="preserve">Questions from members of the public </w:t>
          </w:r>
        </w:p>
      </w:tc>
    </w:tr>
  </w:tbl>
  <w:p w:rsidR="00472CD9" w:rsidRDefault="00472C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666A" w:rsidRDefault="007966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031ED"/>
    <w:multiLevelType w:val="hybridMultilevel"/>
    <w:tmpl w:val="EE4EAA6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5E116BA"/>
    <w:multiLevelType w:val="hybridMultilevel"/>
    <w:tmpl w:val="60A635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ACB1BF8"/>
    <w:multiLevelType w:val="hybridMultilevel"/>
    <w:tmpl w:val="301299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D027F90"/>
    <w:multiLevelType w:val="hybridMultilevel"/>
    <w:tmpl w:val="A830CD98"/>
    <w:lvl w:ilvl="0" w:tplc="3E5A8C1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F2E6920"/>
    <w:multiLevelType w:val="multilevel"/>
    <w:tmpl w:val="8138D5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E21C88"/>
    <w:multiLevelType w:val="hybridMultilevel"/>
    <w:tmpl w:val="3A6801D8"/>
    <w:lvl w:ilvl="0" w:tplc="40381CFC">
      <w:start w:val="1"/>
      <w:numFmt w:val="decimal"/>
      <w:lvlText w:val="%1"/>
      <w:lvlJc w:val="left"/>
      <w:pPr>
        <w:ind w:left="1140" w:hanging="78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25183F5C"/>
    <w:multiLevelType w:val="hybridMultilevel"/>
    <w:tmpl w:val="D01A30C2"/>
    <w:lvl w:ilvl="0" w:tplc="B536456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0B255B"/>
    <w:multiLevelType w:val="hybridMultilevel"/>
    <w:tmpl w:val="B5E8355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2864352B"/>
    <w:multiLevelType w:val="multilevel"/>
    <w:tmpl w:val="C41E29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48600D"/>
    <w:multiLevelType w:val="hybridMultilevel"/>
    <w:tmpl w:val="DCA2C3F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326847"/>
    <w:multiLevelType w:val="hybridMultilevel"/>
    <w:tmpl w:val="8A08D312"/>
    <w:lvl w:ilvl="0" w:tplc="08090001">
      <w:start w:val="1"/>
      <w:numFmt w:val="bullet"/>
      <w:lvlText w:val=""/>
      <w:lvlJc w:val="left"/>
      <w:pPr>
        <w:ind w:left="773" w:hanging="360"/>
      </w:pPr>
      <w:rPr>
        <w:rFonts w:ascii="Symbol" w:hAnsi="Symbol" w:hint="default"/>
      </w:rPr>
    </w:lvl>
    <w:lvl w:ilvl="1" w:tplc="08090003">
      <w:start w:val="1"/>
      <w:numFmt w:val="bullet"/>
      <w:lvlText w:val="o"/>
      <w:lvlJc w:val="left"/>
      <w:pPr>
        <w:ind w:left="1493" w:hanging="360"/>
      </w:pPr>
      <w:rPr>
        <w:rFonts w:ascii="Courier New" w:hAnsi="Courier New" w:cs="Courier New" w:hint="default"/>
      </w:rPr>
    </w:lvl>
    <w:lvl w:ilvl="2" w:tplc="08090005">
      <w:start w:val="1"/>
      <w:numFmt w:val="bullet"/>
      <w:lvlText w:val=""/>
      <w:lvlJc w:val="left"/>
      <w:pPr>
        <w:ind w:left="2213" w:hanging="360"/>
      </w:pPr>
      <w:rPr>
        <w:rFonts w:ascii="Wingdings" w:hAnsi="Wingdings" w:hint="default"/>
      </w:rPr>
    </w:lvl>
    <w:lvl w:ilvl="3" w:tplc="08090001">
      <w:start w:val="1"/>
      <w:numFmt w:val="bullet"/>
      <w:lvlText w:val=""/>
      <w:lvlJc w:val="left"/>
      <w:pPr>
        <w:ind w:left="2933" w:hanging="360"/>
      </w:pPr>
      <w:rPr>
        <w:rFonts w:ascii="Symbol" w:hAnsi="Symbol" w:hint="default"/>
      </w:rPr>
    </w:lvl>
    <w:lvl w:ilvl="4" w:tplc="08090003">
      <w:start w:val="1"/>
      <w:numFmt w:val="bullet"/>
      <w:lvlText w:val="o"/>
      <w:lvlJc w:val="left"/>
      <w:pPr>
        <w:ind w:left="3653" w:hanging="360"/>
      </w:pPr>
      <w:rPr>
        <w:rFonts w:ascii="Courier New" w:hAnsi="Courier New" w:cs="Courier New" w:hint="default"/>
      </w:rPr>
    </w:lvl>
    <w:lvl w:ilvl="5" w:tplc="08090005">
      <w:start w:val="1"/>
      <w:numFmt w:val="bullet"/>
      <w:lvlText w:val=""/>
      <w:lvlJc w:val="left"/>
      <w:pPr>
        <w:ind w:left="4373" w:hanging="360"/>
      </w:pPr>
      <w:rPr>
        <w:rFonts w:ascii="Wingdings" w:hAnsi="Wingdings" w:hint="default"/>
      </w:rPr>
    </w:lvl>
    <w:lvl w:ilvl="6" w:tplc="08090001">
      <w:start w:val="1"/>
      <w:numFmt w:val="bullet"/>
      <w:lvlText w:val=""/>
      <w:lvlJc w:val="left"/>
      <w:pPr>
        <w:ind w:left="5093" w:hanging="360"/>
      </w:pPr>
      <w:rPr>
        <w:rFonts w:ascii="Symbol" w:hAnsi="Symbol" w:hint="default"/>
      </w:rPr>
    </w:lvl>
    <w:lvl w:ilvl="7" w:tplc="08090003">
      <w:start w:val="1"/>
      <w:numFmt w:val="bullet"/>
      <w:lvlText w:val="o"/>
      <w:lvlJc w:val="left"/>
      <w:pPr>
        <w:ind w:left="5813" w:hanging="360"/>
      </w:pPr>
      <w:rPr>
        <w:rFonts w:ascii="Courier New" w:hAnsi="Courier New" w:cs="Courier New" w:hint="default"/>
      </w:rPr>
    </w:lvl>
    <w:lvl w:ilvl="8" w:tplc="08090005">
      <w:start w:val="1"/>
      <w:numFmt w:val="bullet"/>
      <w:lvlText w:val=""/>
      <w:lvlJc w:val="left"/>
      <w:pPr>
        <w:ind w:left="6533" w:hanging="360"/>
      </w:pPr>
      <w:rPr>
        <w:rFonts w:ascii="Wingdings" w:hAnsi="Wingdings" w:hint="default"/>
      </w:rPr>
    </w:lvl>
  </w:abstractNum>
  <w:abstractNum w:abstractNumId="11" w15:restartNumberingAfterBreak="0">
    <w:nsid w:val="3780555F"/>
    <w:multiLevelType w:val="hybridMultilevel"/>
    <w:tmpl w:val="B50AC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A73AEB"/>
    <w:multiLevelType w:val="hybridMultilevel"/>
    <w:tmpl w:val="1B34F5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BCF3C79"/>
    <w:multiLevelType w:val="hybridMultilevel"/>
    <w:tmpl w:val="3A6801D8"/>
    <w:lvl w:ilvl="0" w:tplc="40381CFC">
      <w:start w:val="1"/>
      <w:numFmt w:val="decimal"/>
      <w:lvlText w:val="%1"/>
      <w:lvlJc w:val="left"/>
      <w:pPr>
        <w:ind w:left="1140" w:hanging="78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3BEC0DEB"/>
    <w:multiLevelType w:val="hybridMultilevel"/>
    <w:tmpl w:val="58E47B2C"/>
    <w:lvl w:ilvl="0" w:tplc="B9EC123C">
      <w:start w:val="1"/>
      <w:numFmt w:val="upperLetter"/>
      <w:lvlText w:val="%1."/>
      <w:lvlJc w:val="left"/>
      <w:pPr>
        <w:ind w:left="720" w:hanging="360"/>
      </w:pPr>
      <w:rPr>
        <w:rFonts w:ascii="Arial" w:eastAsia="Calibr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F7474DB"/>
    <w:multiLevelType w:val="hybridMultilevel"/>
    <w:tmpl w:val="737E0E94"/>
    <w:lvl w:ilvl="0" w:tplc="A69E6592">
      <w:start w:val="1"/>
      <w:numFmt w:val="bullet"/>
      <w:lvlText w:val="•"/>
      <w:lvlJc w:val="left"/>
      <w:pPr>
        <w:tabs>
          <w:tab w:val="num" w:pos="720"/>
        </w:tabs>
        <w:ind w:left="720" w:hanging="360"/>
      </w:pPr>
      <w:rPr>
        <w:rFonts w:ascii="Arial" w:hAnsi="Arial" w:hint="default"/>
      </w:rPr>
    </w:lvl>
    <w:lvl w:ilvl="1" w:tplc="F380288A" w:tentative="1">
      <w:start w:val="1"/>
      <w:numFmt w:val="bullet"/>
      <w:lvlText w:val="•"/>
      <w:lvlJc w:val="left"/>
      <w:pPr>
        <w:tabs>
          <w:tab w:val="num" w:pos="1440"/>
        </w:tabs>
        <w:ind w:left="1440" w:hanging="360"/>
      </w:pPr>
      <w:rPr>
        <w:rFonts w:ascii="Arial" w:hAnsi="Arial" w:hint="default"/>
      </w:rPr>
    </w:lvl>
    <w:lvl w:ilvl="2" w:tplc="B186060C" w:tentative="1">
      <w:start w:val="1"/>
      <w:numFmt w:val="bullet"/>
      <w:lvlText w:val="•"/>
      <w:lvlJc w:val="left"/>
      <w:pPr>
        <w:tabs>
          <w:tab w:val="num" w:pos="2160"/>
        </w:tabs>
        <w:ind w:left="2160" w:hanging="360"/>
      </w:pPr>
      <w:rPr>
        <w:rFonts w:ascii="Arial" w:hAnsi="Arial" w:hint="default"/>
      </w:rPr>
    </w:lvl>
    <w:lvl w:ilvl="3" w:tplc="45EE42A6" w:tentative="1">
      <w:start w:val="1"/>
      <w:numFmt w:val="bullet"/>
      <w:lvlText w:val="•"/>
      <w:lvlJc w:val="left"/>
      <w:pPr>
        <w:tabs>
          <w:tab w:val="num" w:pos="2880"/>
        </w:tabs>
        <w:ind w:left="2880" w:hanging="360"/>
      </w:pPr>
      <w:rPr>
        <w:rFonts w:ascii="Arial" w:hAnsi="Arial" w:hint="default"/>
      </w:rPr>
    </w:lvl>
    <w:lvl w:ilvl="4" w:tplc="370A055E" w:tentative="1">
      <w:start w:val="1"/>
      <w:numFmt w:val="bullet"/>
      <w:lvlText w:val="•"/>
      <w:lvlJc w:val="left"/>
      <w:pPr>
        <w:tabs>
          <w:tab w:val="num" w:pos="3600"/>
        </w:tabs>
        <w:ind w:left="3600" w:hanging="360"/>
      </w:pPr>
      <w:rPr>
        <w:rFonts w:ascii="Arial" w:hAnsi="Arial" w:hint="default"/>
      </w:rPr>
    </w:lvl>
    <w:lvl w:ilvl="5" w:tplc="59A20F1C" w:tentative="1">
      <w:start w:val="1"/>
      <w:numFmt w:val="bullet"/>
      <w:lvlText w:val="•"/>
      <w:lvlJc w:val="left"/>
      <w:pPr>
        <w:tabs>
          <w:tab w:val="num" w:pos="4320"/>
        </w:tabs>
        <w:ind w:left="4320" w:hanging="360"/>
      </w:pPr>
      <w:rPr>
        <w:rFonts w:ascii="Arial" w:hAnsi="Arial" w:hint="default"/>
      </w:rPr>
    </w:lvl>
    <w:lvl w:ilvl="6" w:tplc="1FE05C6A" w:tentative="1">
      <w:start w:val="1"/>
      <w:numFmt w:val="bullet"/>
      <w:lvlText w:val="•"/>
      <w:lvlJc w:val="left"/>
      <w:pPr>
        <w:tabs>
          <w:tab w:val="num" w:pos="5040"/>
        </w:tabs>
        <w:ind w:left="5040" w:hanging="360"/>
      </w:pPr>
      <w:rPr>
        <w:rFonts w:ascii="Arial" w:hAnsi="Arial" w:hint="default"/>
      </w:rPr>
    </w:lvl>
    <w:lvl w:ilvl="7" w:tplc="D584CCAA" w:tentative="1">
      <w:start w:val="1"/>
      <w:numFmt w:val="bullet"/>
      <w:lvlText w:val="•"/>
      <w:lvlJc w:val="left"/>
      <w:pPr>
        <w:tabs>
          <w:tab w:val="num" w:pos="5760"/>
        </w:tabs>
        <w:ind w:left="5760" w:hanging="360"/>
      </w:pPr>
      <w:rPr>
        <w:rFonts w:ascii="Arial" w:hAnsi="Arial" w:hint="default"/>
      </w:rPr>
    </w:lvl>
    <w:lvl w:ilvl="8" w:tplc="5150C82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5C42FA4"/>
    <w:multiLevelType w:val="hybridMultilevel"/>
    <w:tmpl w:val="06C02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7B0C1D"/>
    <w:multiLevelType w:val="multilevel"/>
    <w:tmpl w:val="BC14D0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7B8299D"/>
    <w:multiLevelType w:val="hybridMultilevel"/>
    <w:tmpl w:val="5D0620C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AF73DA"/>
    <w:multiLevelType w:val="hybridMultilevel"/>
    <w:tmpl w:val="7BF2637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9F7EFD"/>
    <w:multiLevelType w:val="multilevel"/>
    <w:tmpl w:val="20EC803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CC435B3"/>
    <w:multiLevelType w:val="hybridMultilevel"/>
    <w:tmpl w:val="DFAA364A"/>
    <w:lvl w:ilvl="0" w:tplc="D514F4A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DFE4878"/>
    <w:multiLevelType w:val="hybridMultilevel"/>
    <w:tmpl w:val="B950E992"/>
    <w:lvl w:ilvl="0" w:tplc="B536456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412CCF"/>
    <w:multiLevelType w:val="hybridMultilevel"/>
    <w:tmpl w:val="01A8F204"/>
    <w:lvl w:ilvl="0" w:tplc="52A4F1DA">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568E5F4C"/>
    <w:multiLevelType w:val="hybridMultilevel"/>
    <w:tmpl w:val="71347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D7E6BFC"/>
    <w:multiLevelType w:val="hybridMultilevel"/>
    <w:tmpl w:val="CBF62C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5F673B0C"/>
    <w:multiLevelType w:val="hybridMultilevel"/>
    <w:tmpl w:val="D2048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950B4A"/>
    <w:multiLevelType w:val="hybridMultilevel"/>
    <w:tmpl w:val="A9EC2CA0"/>
    <w:lvl w:ilvl="0" w:tplc="65606CD4">
      <w:start w:val="1"/>
      <w:numFmt w:val="bullet"/>
      <w:lvlText w:val=""/>
      <w:lvlJc w:val="left"/>
      <w:pPr>
        <w:ind w:left="720" w:hanging="360"/>
      </w:pPr>
      <w:rPr>
        <w:rFonts w:ascii="Symbol" w:hAnsi="Symbol" w:hint="default"/>
      </w:rPr>
    </w:lvl>
    <w:lvl w:ilvl="1" w:tplc="612AE4DA">
      <w:start w:val="1"/>
      <w:numFmt w:val="bullet"/>
      <w:lvlText w:val="o"/>
      <w:lvlJc w:val="left"/>
      <w:pPr>
        <w:ind w:left="1440" w:hanging="360"/>
      </w:pPr>
      <w:rPr>
        <w:rFonts w:ascii="Courier New" w:hAnsi="Courier New" w:hint="default"/>
      </w:rPr>
    </w:lvl>
    <w:lvl w:ilvl="2" w:tplc="2D5EB346">
      <w:start w:val="1"/>
      <w:numFmt w:val="bullet"/>
      <w:lvlText w:val=""/>
      <w:lvlJc w:val="left"/>
      <w:pPr>
        <w:ind w:left="2160" w:hanging="360"/>
      </w:pPr>
      <w:rPr>
        <w:rFonts w:ascii="Wingdings" w:hAnsi="Wingdings" w:hint="default"/>
      </w:rPr>
    </w:lvl>
    <w:lvl w:ilvl="3" w:tplc="221E64FE">
      <w:start w:val="1"/>
      <w:numFmt w:val="bullet"/>
      <w:lvlText w:val=""/>
      <w:lvlJc w:val="left"/>
      <w:pPr>
        <w:ind w:left="2880" w:hanging="360"/>
      </w:pPr>
      <w:rPr>
        <w:rFonts w:ascii="Symbol" w:hAnsi="Symbol" w:hint="default"/>
      </w:rPr>
    </w:lvl>
    <w:lvl w:ilvl="4" w:tplc="00864D6E">
      <w:start w:val="1"/>
      <w:numFmt w:val="bullet"/>
      <w:lvlText w:val="o"/>
      <w:lvlJc w:val="left"/>
      <w:pPr>
        <w:ind w:left="3600" w:hanging="360"/>
      </w:pPr>
      <w:rPr>
        <w:rFonts w:ascii="Courier New" w:hAnsi="Courier New" w:hint="default"/>
      </w:rPr>
    </w:lvl>
    <w:lvl w:ilvl="5" w:tplc="D472A18E">
      <w:start w:val="1"/>
      <w:numFmt w:val="bullet"/>
      <w:lvlText w:val=""/>
      <w:lvlJc w:val="left"/>
      <w:pPr>
        <w:ind w:left="4320" w:hanging="360"/>
      </w:pPr>
      <w:rPr>
        <w:rFonts w:ascii="Wingdings" w:hAnsi="Wingdings" w:hint="default"/>
      </w:rPr>
    </w:lvl>
    <w:lvl w:ilvl="6" w:tplc="625A8E50">
      <w:start w:val="1"/>
      <w:numFmt w:val="bullet"/>
      <w:lvlText w:val=""/>
      <w:lvlJc w:val="left"/>
      <w:pPr>
        <w:ind w:left="5040" w:hanging="360"/>
      </w:pPr>
      <w:rPr>
        <w:rFonts w:ascii="Symbol" w:hAnsi="Symbol" w:hint="default"/>
      </w:rPr>
    </w:lvl>
    <w:lvl w:ilvl="7" w:tplc="052CA42A">
      <w:start w:val="1"/>
      <w:numFmt w:val="bullet"/>
      <w:lvlText w:val="o"/>
      <w:lvlJc w:val="left"/>
      <w:pPr>
        <w:ind w:left="5760" w:hanging="360"/>
      </w:pPr>
      <w:rPr>
        <w:rFonts w:ascii="Courier New" w:hAnsi="Courier New" w:hint="default"/>
      </w:rPr>
    </w:lvl>
    <w:lvl w:ilvl="8" w:tplc="4F2A8DC4">
      <w:start w:val="1"/>
      <w:numFmt w:val="bullet"/>
      <w:lvlText w:val=""/>
      <w:lvlJc w:val="left"/>
      <w:pPr>
        <w:ind w:left="6480" w:hanging="360"/>
      </w:pPr>
      <w:rPr>
        <w:rFonts w:ascii="Wingdings" w:hAnsi="Wingdings" w:hint="default"/>
      </w:rPr>
    </w:lvl>
  </w:abstractNum>
  <w:abstractNum w:abstractNumId="28" w15:restartNumberingAfterBreak="0">
    <w:nsid w:val="66977C10"/>
    <w:multiLevelType w:val="hybridMultilevel"/>
    <w:tmpl w:val="8E3034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66C30748"/>
    <w:multiLevelType w:val="hybridMultilevel"/>
    <w:tmpl w:val="0B8E92F2"/>
    <w:lvl w:ilvl="0" w:tplc="DD747054">
      <w:start w:val="1"/>
      <w:numFmt w:val="bullet"/>
      <w:lvlText w:val="•"/>
      <w:lvlJc w:val="left"/>
      <w:pPr>
        <w:tabs>
          <w:tab w:val="num" w:pos="720"/>
        </w:tabs>
        <w:ind w:left="720" w:hanging="360"/>
      </w:pPr>
      <w:rPr>
        <w:rFonts w:ascii="Arial" w:hAnsi="Arial" w:cs="Times New Roman" w:hint="default"/>
      </w:rPr>
    </w:lvl>
    <w:lvl w:ilvl="1" w:tplc="C576FBD2">
      <w:start w:val="1"/>
      <w:numFmt w:val="bullet"/>
      <w:lvlText w:val="•"/>
      <w:lvlJc w:val="left"/>
      <w:pPr>
        <w:tabs>
          <w:tab w:val="num" w:pos="1440"/>
        </w:tabs>
        <w:ind w:left="1440" w:hanging="360"/>
      </w:pPr>
      <w:rPr>
        <w:rFonts w:ascii="Arial" w:hAnsi="Arial" w:cs="Times New Roman" w:hint="default"/>
      </w:rPr>
    </w:lvl>
    <w:lvl w:ilvl="2" w:tplc="70CA73EC">
      <w:start w:val="1"/>
      <w:numFmt w:val="bullet"/>
      <w:lvlText w:val="•"/>
      <w:lvlJc w:val="left"/>
      <w:pPr>
        <w:tabs>
          <w:tab w:val="num" w:pos="2160"/>
        </w:tabs>
        <w:ind w:left="2160" w:hanging="360"/>
      </w:pPr>
      <w:rPr>
        <w:rFonts w:ascii="Arial" w:hAnsi="Arial" w:cs="Times New Roman" w:hint="default"/>
      </w:rPr>
    </w:lvl>
    <w:lvl w:ilvl="3" w:tplc="9E56EBF4">
      <w:start w:val="1"/>
      <w:numFmt w:val="bullet"/>
      <w:lvlText w:val="•"/>
      <w:lvlJc w:val="left"/>
      <w:pPr>
        <w:tabs>
          <w:tab w:val="num" w:pos="2880"/>
        </w:tabs>
        <w:ind w:left="2880" w:hanging="360"/>
      </w:pPr>
      <w:rPr>
        <w:rFonts w:ascii="Arial" w:hAnsi="Arial" w:cs="Times New Roman" w:hint="default"/>
      </w:rPr>
    </w:lvl>
    <w:lvl w:ilvl="4" w:tplc="6E3EABF0">
      <w:start w:val="1"/>
      <w:numFmt w:val="bullet"/>
      <w:lvlText w:val="•"/>
      <w:lvlJc w:val="left"/>
      <w:pPr>
        <w:tabs>
          <w:tab w:val="num" w:pos="3600"/>
        </w:tabs>
        <w:ind w:left="3600" w:hanging="360"/>
      </w:pPr>
      <w:rPr>
        <w:rFonts w:ascii="Arial" w:hAnsi="Arial" w:cs="Times New Roman" w:hint="default"/>
      </w:rPr>
    </w:lvl>
    <w:lvl w:ilvl="5" w:tplc="B03697B4">
      <w:start w:val="1"/>
      <w:numFmt w:val="bullet"/>
      <w:lvlText w:val="•"/>
      <w:lvlJc w:val="left"/>
      <w:pPr>
        <w:tabs>
          <w:tab w:val="num" w:pos="4320"/>
        </w:tabs>
        <w:ind w:left="4320" w:hanging="360"/>
      </w:pPr>
      <w:rPr>
        <w:rFonts w:ascii="Arial" w:hAnsi="Arial" w:cs="Times New Roman" w:hint="default"/>
      </w:rPr>
    </w:lvl>
    <w:lvl w:ilvl="6" w:tplc="42C295A8">
      <w:start w:val="1"/>
      <w:numFmt w:val="bullet"/>
      <w:lvlText w:val="•"/>
      <w:lvlJc w:val="left"/>
      <w:pPr>
        <w:tabs>
          <w:tab w:val="num" w:pos="5040"/>
        </w:tabs>
        <w:ind w:left="5040" w:hanging="360"/>
      </w:pPr>
      <w:rPr>
        <w:rFonts w:ascii="Arial" w:hAnsi="Arial" w:cs="Times New Roman" w:hint="default"/>
      </w:rPr>
    </w:lvl>
    <w:lvl w:ilvl="7" w:tplc="F740EB3C">
      <w:start w:val="1"/>
      <w:numFmt w:val="bullet"/>
      <w:lvlText w:val="•"/>
      <w:lvlJc w:val="left"/>
      <w:pPr>
        <w:tabs>
          <w:tab w:val="num" w:pos="5760"/>
        </w:tabs>
        <w:ind w:left="5760" w:hanging="360"/>
      </w:pPr>
      <w:rPr>
        <w:rFonts w:ascii="Arial" w:hAnsi="Arial" w:cs="Times New Roman" w:hint="default"/>
      </w:rPr>
    </w:lvl>
    <w:lvl w:ilvl="8" w:tplc="DD7EC1B6">
      <w:start w:val="1"/>
      <w:numFmt w:val="bullet"/>
      <w:lvlText w:val="•"/>
      <w:lvlJc w:val="left"/>
      <w:pPr>
        <w:tabs>
          <w:tab w:val="num" w:pos="6480"/>
        </w:tabs>
        <w:ind w:left="6480" w:hanging="360"/>
      </w:pPr>
      <w:rPr>
        <w:rFonts w:ascii="Arial" w:hAnsi="Arial" w:cs="Times New Roman" w:hint="default"/>
      </w:rPr>
    </w:lvl>
  </w:abstractNum>
  <w:abstractNum w:abstractNumId="30" w15:restartNumberingAfterBreak="0">
    <w:nsid w:val="68CA4F37"/>
    <w:multiLevelType w:val="hybridMultilevel"/>
    <w:tmpl w:val="15F22D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701C3396"/>
    <w:multiLevelType w:val="hybridMultilevel"/>
    <w:tmpl w:val="9244DE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703B5666"/>
    <w:multiLevelType w:val="multilevel"/>
    <w:tmpl w:val="80469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07212A3"/>
    <w:multiLevelType w:val="hybridMultilevel"/>
    <w:tmpl w:val="3A6801D8"/>
    <w:lvl w:ilvl="0" w:tplc="40381CFC">
      <w:start w:val="1"/>
      <w:numFmt w:val="decimal"/>
      <w:lvlText w:val="%1"/>
      <w:lvlJc w:val="left"/>
      <w:pPr>
        <w:ind w:left="1140" w:hanging="78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76514431"/>
    <w:multiLevelType w:val="hybridMultilevel"/>
    <w:tmpl w:val="744630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8B63C55"/>
    <w:multiLevelType w:val="hybridMultilevel"/>
    <w:tmpl w:val="71344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9881D61"/>
    <w:multiLevelType w:val="hybridMultilevel"/>
    <w:tmpl w:val="AA4CCD2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7" w15:restartNumberingAfterBreak="0">
    <w:nsid w:val="7BA65A68"/>
    <w:multiLevelType w:val="hybridMultilevel"/>
    <w:tmpl w:val="6AE8CED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7"/>
  </w:num>
  <w:num w:numId="2">
    <w:abstractNumId w:val="2"/>
  </w:num>
  <w:num w:numId="3">
    <w:abstractNumId w:val="30"/>
  </w:num>
  <w:num w:numId="4">
    <w:abstractNumId w:val="25"/>
  </w:num>
  <w:num w:numId="5">
    <w:abstractNumId w:val="15"/>
  </w:num>
  <w:num w:numId="6">
    <w:abstractNumId w:val="31"/>
  </w:num>
  <w:num w:numId="7">
    <w:abstractNumId w:val="28"/>
  </w:num>
  <w:num w:numId="8">
    <w:abstractNumId w:val="10"/>
  </w:num>
  <w:num w:numId="9">
    <w:abstractNumId w:val="35"/>
  </w:num>
  <w:num w:numId="10">
    <w:abstractNumId w:val="21"/>
  </w:num>
  <w:num w:numId="11">
    <w:abstractNumId w:val="34"/>
  </w:num>
  <w:num w:numId="12">
    <w:abstractNumId w:val="14"/>
  </w:num>
  <w:num w:numId="13">
    <w:abstractNumId w:val="2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23"/>
  </w:num>
  <w:num w:numId="16">
    <w:abstractNumId w:val="3"/>
  </w:num>
  <w:num w:numId="17">
    <w:abstractNumId w:val="37"/>
  </w:num>
  <w:num w:numId="18">
    <w:abstractNumId w:val="18"/>
  </w:num>
  <w:num w:numId="19">
    <w:abstractNumId w:val="12"/>
  </w:num>
  <w:num w:numId="20">
    <w:abstractNumId w:val="29"/>
  </w:num>
  <w:num w:numId="21">
    <w:abstractNumId w:val="19"/>
  </w:num>
  <w:num w:numId="22">
    <w:abstractNumId w:val="26"/>
  </w:num>
  <w:num w:numId="23">
    <w:abstractNumId w:val="22"/>
  </w:num>
  <w:num w:numId="24">
    <w:abstractNumId w:val="6"/>
  </w:num>
  <w:num w:numId="25">
    <w:abstractNumId w:val="9"/>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0"/>
  </w:num>
  <w:num w:numId="29">
    <w:abstractNumId w:val="36"/>
  </w:num>
  <w:num w:numId="30">
    <w:abstractNumId w:val="24"/>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3"/>
  </w:num>
  <w:num w:numId="34">
    <w:abstractNumId w:val="13"/>
  </w:num>
  <w:num w:numId="35">
    <w:abstractNumId w:val="5"/>
  </w:num>
  <w:num w:numId="36">
    <w:abstractNumId w:val="17"/>
  </w:num>
  <w:num w:numId="37">
    <w:abstractNumId w:val="8"/>
  </w:num>
  <w:num w:numId="38">
    <w:abstractNumId w:val="4"/>
  </w:num>
  <w:num w:numId="39">
    <w:abstractNumId w:val="11"/>
  </w:num>
  <w:num w:numId="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CCF"/>
    <w:rsid w:val="000032C7"/>
    <w:rsid w:val="00007E8B"/>
    <w:rsid w:val="00034B0E"/>
    <w:rsid w:val="000359B0"/>
    <w:rsid w:val="00037CC9"/>
    <w:rsid w:val="0008375C"/>
    <w:rsid w:val="000B25B8"/>
    <w:rsid w:val="000D1A38"/>
    <w:rsid w:val="000D7FD1"/>
    <w:rsid w:val="001036B2"/>
    <w:rsid w:val="0012544B"/>
    <w:rsid w:val="001337B6"/>
    <w:rsid w:val="001502F2"/>
    <w:rsid w:val="0016643D"/>
    <w:rsid w:val="00171CA5"/>
    <w:rsid w:val="00176F2E"/>
    <w:rsid w:val="00184F0C"/>
    <w:rsid w:val="00193B1A"/>
    <w:rsid w:val="001A7399"/>
    <w:rsid w:val="001B0D8B"/>
    <w:rsid w:val="001B11F3"/>
    <w:rsid w:val="001C0659"/>
    <w:rsid w:val="001C7091"/>
    <w:rsid w:val="001D198E"/>
    <w:rsid w:val="001F793D"/>
    <w:rsid w:val="001F7E82"/>
    <w:rsid w:val="00206237"/>
    <w:rsid w:val="00222245"/>
    <w:rsid w:val="00223094"/>
    <w:rsid w:val="002279B5"/>
    <w:rsid w:val="00246AD9"/>
    <w:rsid w:val="00260B64"/>
    <w:rsid w:val="00274F55"/>
    <w:rsid w:val="00296388"/>
    <w:rsid w:val="002C326D"/>
    <w:rsid w:val="002E11D9"/>
    <w:rsid w:val="002F3580"/>
    <w:rsid w:val="002F696B"/>
    <w:rsid w:val="00355770"/>
    <w:rsid w:val="00360B3F"/>
    <w:rsid w:val="00360F56"/>
    <w:rsid w:val="00367B82"/>
    <w:rsid w:val="00367C99"/>
    <w:rsid w:val="00374866"/>
    <w:rsid w:val="00374950"/>
    <w:rsid w:val="00385D43"/>
    <w:rsid w:val="003B3CDB"/>
    <w:rsid w:val="003F7467"/>
    <w:rsid w:val="003F7607"/>
    <w:rsid w:val="0042187E"/>
    <w:rsid w:val="00421F79"/>
    <w:rsid w:val="0042627F"/>
    <w:rsid w:val="004712B1"/>
    <w:rsid w:val="00472CD9"/>
    <w:rsid w:val="004C28C4"/>
    <w:rsid w:val="004D4D49"/>
    <w:rsid w:val="004E422D"/>
    <w:rsid w:val="004E42A7"/>
    <w:rsid w:val="00544145"/>
    <w:rsid w:val="005849EB"/>
    <w:rsid w:val="00591DB0"/>
    <w:rsid w:val="00597384"/>
    <w:rsid w:val="005B4496"/>
    <w:rsid w:val="005E1325"/>
    <w:rsid w:val="005F5BC5"/>
    <w:rsid w:val="00627A19"/>
    <w:rsid w:val="006632B6"/>
    <w:rsid w:val="00680C8F"/>
    <w:rsid w:val="00690A84"/>
    <w:rsid w:val="006B2BCB"/>
    <w:rsid w:val="006C378C"/>
    <w:rsid w:val="006D0C6C"/>
    <w:rsid w:val="006D532E"/>
    <w:rsid w:val="006E009B"/>
    <w:rsid w:val="006E297A"/>
    <w:rsid w:val="006E5D6F"/>
    <w:rsid w:val="006F66D0"/>
    <w:rsid w:val="007059C7"/>
    <w:rsid w:val="007123A5"/>
    <w:rsid w:val="00723C07"/>
    <w:rsid w:val="0073165A"/>
    <w:rsid w:val="00770FE2"/>
    <w:rsid w:val="0079666A"/>
    <w:rsid w:val="007C534D"/>
    <w:rsid w:val="007D4606"/>
    <w:rsid w:val="007E0E06"/>
    <w:rsid w:val="007E49E8"/>
    <w:rsid w:val="007F1773"/>
    <w:rsid w:val="008010A0"/>
    <w:rsid w:val="00822FED"/>
    <w:rsid w:val="0082440E"/>
    <w:rsid w:val="00835C1A"/>
    <w:rsid w:val="008367F3"/>
    <w:rsid w:val="00840EF0"/>
    <w:rsid w:val="008457B0"/>
    <w:rsid w:val="00850A77"/>
    <w:rsid w:val="008A0134"/>
    <w:rsid w:val="008A30C3"/>
    <w:rsid w:val="008D33F8"/>
    <w:rsid w:val="00913039"/>
    <w:rsid w:val="009228C5"/>
    <w:rsid w:val="00927C11"/>
    <w:rsid w:val="00945FA7"/>
    <w:rsid w:val="00951F08"/>
    <w:rsid w:val="00967331"/>
    <w:rsid w:val="009B3F03"/>
    <w:rsid w:val="009C106C"/>
    <w:rsid w:val="00A320B1"/>
    <w:rsid w:val="00A340FA"/>
    <w:rsid w:val="00A40181"/>
    <w:rsid w:val="00A4255F"/>
    <w:rsid w:val="00A44043"/>
    <w:rsid w:val="00A75969"/>
    <w:rsid w:val="00A81F3C"/>
    <w:rsid w:val="00A87649"/>
    <w:rsid w:val="00A973BB"/>
    <w:rsid w:val="00AC4EBC"/>
    <w:rsid w:val="00AC522B"/>
    <w:rsid w:val="00B16BA5"/>
    <w:rsid w:val="00B27DE4"/>
    <w:rsid w:val="00B33B69"/>
    <w:rsid w:val="00B44174"/>
    <w:rsid w:val="00B4464A"/>
    <w:rsid w:val="00B45AC0"/>
    <w:rsid w:val="00B60B6F"/>
    <w:rsid w:val="00B75A64"/>
    <w:rsid w:val="00B76142"/>
    <w:rsid w:val="00BA6835"/>
    <w:rsid w:val="00BB267E"/>
    <w:rsid w:val="00BB3E73"/>
    <w:rsid w:val="00BB4D5C"/>
    <w:rsid w:val="00C1476F"/>
    <w:rsid w:val="00C15287"/>
    <w:rsid w:val="00C44CA3"/>
    <w:rsid w:val="00C5048D"/>
    <w:rsid w:val="00C5117C"/>
    <w:rsid w:val="00C52C00"/>
    <w:rsid w:val="00C53A2D"/>
    <w:rsid w:val="00C5708E"/>
    <w:rsid w:val="00C92692"/>
    <w:rsid w:val="00C939F1"/>
    <w:rsid w:val="00CA259C"/>
    <w:rsid w:val="00CC4B59"/>
    <w:rsid w:val="00CC5C9D"/>
    <w:rsid w:val="00CD7E7D"/>
    <w:rsid w:val="00CF7CCF"/>
    <w:rsid w:val="00D446D7"/>
    <w:rsid w:val="00D6296F"/>
    <w:rsid w:val="00D639EC"/>
    <w:rsid w:val="00D851F0"/>
    <w:rsid w:val="00DE3245"/>
    <w:rsid w:val="00E076D9"/>
    <w:rsid w:val="00E32AAF"/>
    <w:rsid w:val="00E32E11"/>
    <w:rsid w:val="00E47E10"/>
    <w:rsid w:val="00E57DFC"/>
    <w:rsid w:val="00E75461"/>
    <w:rsid w:val="00EA30A8"/>
    <w:rsid w:val="00ED14DE"/>
    <w:rsid w:val="00EE76A2"/>
    <w:rsid w:val="00EF302B"/>
    <w:rsid w:val="00EF798E"/>
    <w:rsid w:val="00F05477"/>
    <w:rsid w:val="00F066E4"/>
    <w:rsid w:val="00F21679"/>
    <w:rsid w:val="00F2559D"/>
    <w:rsid w:val="00F31B8C"/>
    <w:rsid w:val="00F35AAF"/>
    <w:rsid w:val="00F55BA4"/>
    <w:rsid w:val="00F671E2"/>
    <w:rsid w:val="00F84178"/>
    <w:rsid w:val="00F9121E"/>
    <w:rsid w:val="00FA10A2"/>
    <w:rsid w:val="00FB23D7"/>
    <w:rsid w:val="00FB313F"/>
    <w:rsid w:val="00FC301E"/>
    <w:rsid w:val="00FF4BEB"/>
    <w:rsid w:val="16856AE5"/>
    <w:rsid w:val="1EFF4A0D"/>
    <w:rsid w:val="222E6FCC"/>
    <w:rsid w:val="257F7423"/>
    <w:rsid w:val="26B6537C"/>
    <w:rsid w:val="30102136"/>
    <w:rsid w:val="3347C1F8"/>
    <w:rsid w:val="33B91DB5"/>
    <w:rsid w:val="3D26F123"/>
    <w:rsid w:val="3F3E3712"/>
    <w:rsid w:val="450D6251"/>
    <w:rsid w:val="4896FF67"/>
    <w:rsid w:val="51381848"/>
    <w:rsid w:val="549AD5FE"/>
    <w:rsid w:val="587A07D7"/>
    <w:rsid w:val="660885D3"/>
    <w:rsid w:val="7649493F"/>
    <w:rsid w:val="77D99E86"/>
    <w:rsid w:val="7BCCB5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3F261E"/>
  <w15:chartTrackingRefBased/>
  <w15:docId w15:val="{FF6EEFE5-D5D4-42CA-9499-4698E12AD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7C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contentpasted3">
    <w:name w:val="x_contentpasted3"/>
    <w:basedOn w:val="DefaultParagraphFont"/>
    <w:rsid w:val="007C534D"/>
  </w:style>
  <w:style w:type="paragraph" w:styleId="ListParagraph">
    <w:name w:val="List Paragraph"/>
    <w:basedOn w:val="Normal"/>
    <w:uiPriority w:val="34"/>
    <w:qFormat/>
    <w:rsid w:val="00246AD9"/>
    <w:pPr>
      <w:spacing w:after="0" w:line="240" w:lineRule="auto"/>
      <w:ind w:left="720"/>
    </w:pPr>
    <w:rPr>
      <w:rFonts w:ascii="Calibri" w:hAnsi="Calibri" w:cs="Calibri"/>
    </w:rPr>
  </w:style>
  <w:style w:type="paragraph" w:customStyle="1" w:styleId="xmsonormal">
    <w:name w:val="x_msonormal"/>
    <w:basedOn w:val="Normal"/>
    <w:rsid w:val="00246AD9"/>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0D7F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7FD1"/>
  </w:style>
  <w:style w:type="paragraph" w:styleId="Footer">
    <w:name w:val="footer"/>
    <w:basedOn w:val="Normal"/>
    <w:link w:val="FooterChar"/>
    <w:uiPriority w:val="99"/>
    <w:unhideWhenUsed/>
    <w:rsid w:val="000D7F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7FD1"/>
  </w:style>
  <w:style w:type="paragraph" w:styleId="BalloonText">
    <w:name w:val="Balloon Text"/>
    <w:basedOn w:val="Normal"/>
    <w:link w:val="BalloonTextChar"/>
    <w:uiPriority w:val="99"/>
    <w:semiHidden/>
    <w:unhideWhenUsed/>
    <w:rsid w:val="001C70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7091"/>
    <w:rPr>
      <w:rFonts w:ascii="Segoe UI" w:hAnsi="Segoe UI" w:cs="Segoe UI"/>
      <w:sz w:val="18"/>
      <w:szCs w:val="18"/>
    </w:rPr>
  </w:style>
  <w:style w:type="paragraph" w:styleId="NormalWeb">
    <w:name w:val="Normal (Web)"/>
    <w:basedOn w:val="Normal"/>
    <w:uiPriority w:val="99"/>
    <w:unhideWhenUsed/>
    <w:rsid w:val="006B2B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223094"/>
  </w:style>
  <w:style w:type="paragraph" w:customStyle="1" w:styleId="Default">
    <w:name w:val="Default"/>
    <w:rsid w:val="00C5708E"/>
    <w:pPr>
      <w:autoSpaceDE w:val="0"/>
      <w:autoSpaceDN w:val="0"/>
      <w:adjustRightInd w:val="0"/>
      <w:spacing w:after="0" w:line="240" w:lineRule="auto"/>
    </w:pPr>
    <w:rPr>
      <w:rFonts w:ascii="Arial" w:hAnsi="Arial" w:cs="Arial"/>
      <w:color w:val="000000"/>
      <w:sz w:val="24"/>
      <w:szCs w:val="24"/>
    </w:rPr>
  </w:style>
  <w:style w:type="paragraph" w:customStyle="1" w:styleId="xxmsonormal">
    <w:name w:val="x_xmsonormal"/>
    <w:basedOn w:val="Normal"/>
    <w:rsid w:val="00AC4EBC"/>
    <w:pPr>
      <w:spacing w:after="0" w:line="240" w:lineRule="auto"/>
    </w:pPr>
    <w:rPr>
      <w:rFonts w:ascii="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27A19"/>
    <w:rPr>
      <w:sz w:val="16"/>
      <w:szCs w:val="16"/>
    </w:rPr>
  </w:style>
  <w:style w:type="paragraph" w:styleId="CommentText">
    <w:name w:val="annotation text"/>
    <w:basedOn w:val="Normal"/>
    <w:link w:val="CommentTextChar"/>
    <w:uiPriority w:val="99"/>
    <w:semiHidden/>
    <w:unhideWhenUsed/>
    <w:rsid w:val="00627A19"/>
    <w:pPr>
      <w:spacing w:line="240" w:lineRule="auto"/>
    </w:pPr>
    <w:rPr>
      <w:sz w:val="20"/>
      <w:szCs w:val="20"/>
    </w:rPr>
  </w:style>
  <w:style w:type="character" w:customStyle="1" w:styleId="CommentTextChar">
    <w:name w:val="Comment Text Char"/>
    <w:basedOn w:val="DefaultParagraphFont"/>
    <w:link w:val="CommentText"/>
    <w:uiPriority w:val="99"/>
    <w:semiHidden/>
    <w:rsid w:val="00627A19"/>
    <w:rPr>
      <w:sz w:val="20"/>
      <w:szCs w:val="20"/>
    </w:rPr>
  </w:style>
  <w:style w:type="paragraph" w:styleId="CommentSubject">
    <w:name w:val="annotation subject"/>
    <w:basedOn w:val="CommentText"/>
    <w:next w:val="CommentText"/>
    <w:link w:val="CommentSubjectChar"/>
    <w:uiPriority w:val="99"/>
    <w:semiHidden/>
    <w:unhideWhenUsed/>
    <w:rsid w:val="00627A19"/>
    <w:rPr>
      <w:b/>
      <w:bCs/>
    </w:rPr>
  </w:style>
  <w:style w:type="character" w:customStyle="1" w:styleId="CommentSubjectChar">
    <w:name w:val="Comment Subject Char"/>
    <w:basedOn w:val="CommentTextChar"/>
    <w:link w:val="CommentSubject"/>
    <w:uiPriority w:val="99"/>
    <w:semiHidden/>
    <w:rsid w:val="00627A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5264">
      <w:bodyDiv w:val="1"/>
      <w:marLeft w:val="0"/>
      <w:marRight w:val="0"/>
      <w:marTop w:val="0"/>
      <w:marBottom w:val="0"/>
      <w:divBdr>
        <w:top w:val="none" w:sz="0" w:space="0" w:color="auto"/>
        <w:left w:val="none" w:sz="0" w:space="0" w:color="auto"/>
        <w:bottom w:val="none" w:sz="0" w:space="0" w:color="auto"/>
        <w:right w:val="none" w:sz="0" w:space="0" w:color="auto"/>
      </w:divBdr>
    </w:div>
    <w:div w:id="25176508">
      <w:bodyDiv w:val="1"/>
      <w:marLeft w:val="0"/>
      <w:marRight w:val="0"/>
      <w:marTop w:val="0"/>
      <w:marBottom w:val="0"/>
      <w:divBdr>
        <w:top w:val="none" w:sz="0" w:space="0" w:color="auto"/>
        <w:left w:val="none" w:sz="0" w:space="0" w:color="auto"/>
        <w:bottom w:val="none" w:sz="0" w:space="0" w:color="auto"/>
        <w:right w:val="none" w:sz="0" w:space="0" w:color="auto"/>
      </w:divBdr>
    </w:div>
    <w:div w:id="70781097">
      <w:bodyDiv w:val="1"/>
      <w:marLeft w:val="0"/>
      <w:marRight w:val="0"/>
      <w:marTop w:val="0"/>
      <w:marBottom w:val="0"/>
      <w:divBdr>
        <w:top w:val="none" w:sz="0" w:space="0" w:color="auto"/>
        <w:left w:val="none" w:sz="0" w:space="0" w:color="auto"/>
        <w:bottom w:val="none" w:sz="0" w:space="0" w:color="auto"/>
        <w:right w:val="none" w:sz="0" w:space="0" w:color="auto"/>
      </w:divBdr>
    </w:div>
    <w:div w:id="91171270">
      <w:bodyDiv w:val="1"/>
      <w:marLeft w:val="0"/>
      <w:marRight w:val="0"/>
      <w:marTop w:val="0"/>
      <w:marBottom w:val="0"/>
      <w:divBdr>
        <w:top w:val="none" w:sz="0" w:space="0" w:color="auto"/>
        <w:left w:val="none" w:sz="0" w:space="0" w:color="auto"/>
        <w:bottom w:val="none" w:sz="0" w:space="0" w:color="auto"/>
        <w:right w:val="none" w:sz="0" w:space="0" w:color="auto"/>
      </w:divBdr>
    </w:div>
    <w:div w:id="99379733">
      <w:bodyDiv w:val="1"/>
      <w:marLeft w:val="0"/>
      <w:marRight w:val="0"/>
      <w:marTop w:val="0"/>
      <w:marBottom w:val="0"/>
      <w:divBdr>
        <w:top w:val="none" w:sz="0" w:space="0" w:color="auto"/>
        <w:left w:val="none" w:sz="0" w:space="0" w:color="auto"/>
        <w:bottom w:val="none" w:sz="0" w:space="0" w:color="auto"/>
        <w:right w:val="none" w:sz="0" w:space="0" w:color="auto"/>
      </w:divBdr>
    </w:div>
    <w:div w:id="121727523">
      <w:bodyDiv w:val="1"/>
      <w:marLeft w:val="0"/>
      <w:marRight w:val="0"/>
      <w:marTop w:val="0"/>
      <w:marBottom w:val="0"/>
      <w:divBdr>
        <w:top w:val="none" w:sz="0" w:space="0" w:color="auto"/>
        <w:left w:val="none" w:sz="0" w:space="0" w:color="auto"/>
        <w:bottom w:val="none" w:sz="0" w:space="0" w:color="auto"/>
        <w:right w:val="none" w:sz="0" w:space="0" w:color="auto"/>
      </w:divBdr>
    </w:div>
    <w:div w:id="129396846">
      <w:bodyDiv w:val="1"/>
      <w:marLeft w:val="0"/>
      <w:marRight w:val="0"/>
      <w:marTop w:val="0"/>
      <w:marBottom w:val="0"/>
      <w:divBdr>
        <w:top w:val="none" w:sz="0" w:space="0" w:color="auto"/>
        <w:left w:val="none" w:sz="0" w:space="0" w:color="auto"/>
        <w:bottom w:val="none" w:sz="0" w:space="0" w:color="auto"/>
        <w:right w:val="none" w:sz="0" w:space="0" w:color="auto"/>
      </w:divBdr>
    </w:div>
    <w:div w:id="136148038">
      <w:bodyDiv w:val="1"/>
      <w:marLeft w:val="0"/>
      <w:marRight w:val="0"/>
      <w:marTop w:val="0"/>
      <w:marBottom w:val="0"/>
      <w:divBdr>
        <w:top w:val="none" w:sz="0" w:space="0" w:color="auto"/>
        <w:left w:val="none" w:sz="0" w:space="0" w:color="auto"/>
        <w:bottom w:val="none" w:sz="0" w:space="0" w:color="auto"/>
        <w:right w:val="none" w:sz="0" w:space="0" w:color="auto"/>
      </w:divBdr>
    </w:div>
    <w:div w:id="170682401">
      <w:bodyDiv w:val="1"/>
      <w:marLeft w:val="0"/>
      <w:marRight w:val="0"/>
      <w:marTop w:val="0"/>
      <w:marBottom w:val="0"/>
      <w:divBdr>
        <w:top w:val="none" w:sz="0" w:space="0" w:color="auto"/>
        <w:left w:val="none" w:sz="0" w:space="0" w:color="auto"/>
        <w:bottom w:val="none" w:sz="0" w:space="0" w:color="auto"/>
        <w:right w:val="none" w:sz="0" w:space="0" w:color="auto"/>
      </w:divBdr>
      <w:divsChild>
        <w:div w:id="1798838891">
          <w:marLeft w:val="360"/>
          <w:marRight w:val="0"/>
          <w:marTop w:val="200"/>
          <w:marBottom w:val="0"/>
          <w:divBdr>
            <w:top w:val="none" w:sz="0" w:space="0" w:color="auto"/>
            <w:left w:val="none" w:sz="0" w:space="0" w:color="auto"/>
            <w:bottom w:val="none" w:sz="0" w:space="0" w:color="auto"/>
            <w:right w:val="none" w:sz="0" w:space="0" w:color="auto"/>
          </w:divBdr>
        </w:div>
      </w:divsChild>
    </w:div>
    <w:div w:id="175310074">
      <w:bodyDiv w:val="1"/>
      <w:marLeft w:val="0"/>
      <w:marRight w:val="0"/>
      <w:marTop w:val="0"/>
      <w:marBottom w:val="0"/>
      <w:divBdr>
        <w:top w:val="none" w:sz="0" w:space="0" w:color="auto"/>
        <w:left w:val="none" w:sz="0" w:space="0" w:color="auto"/>
        <w:bottom w:val="none" w:sz="0" w:space="0" w:color="auto"/>
        <w:right w:val="none" w:sz="0" w:space="0" w:color="auto"/>
      </w:divBdr>
    </w:div>
    <w:div w:id="176820553">
      <w:bodyDiv w:val="1"/>
      <w:marLeft w:val="0"/>
      <w:marRight w:val="0"/>
      <w:marTop w:val="0"/>
      <w:marBottom w:val="0"/>
      <w:divBdr>
        <w:top w:val="none" w:sz="0" w:space="0" w:color="auto"/>
        <w:left w:val="none" w:sz="0" w:space="0" w:color="auto"/>
        <w:bottom w:val="none" w:sz="0" w:space="0" w:color="auto"/>
        <w:right w:val="none" w:sz="0" w:space="0" w:color="auto"/>
      </w:divBdr>
    </w:div>
    <w:div w:id="200830225">
      <w:bodyDiv w:val="1"/>
      <w:marLeft w:val="0"/>
      <w:marRight w:val="0"/>
      <w:marTop w:val="0"/>
      <w:marBottom w:val="0"/>
      <w:divBdr>
        <w:top w:val="none" w:sz="0" w:space="0" w:color="auto"/>
        <w:left w:val="none" w:sz="0" w:space="0" w:color="auto"/>
        <w:bottom w:val="none" w:sz="0" w:space="0" w:color="auto"/>
        <w:right w:val="none" w:sz="0" w:space="0" w:color="auto"/>
      </w:divBdr>
    </w:div>
    <w:div w:id="204372047">
      <w:bodyDiv w:val="1"/>
      <w:marLeft w:val="0"/>
      <w:marRight w:val="0"/>
      <w:marTop w:val="0"/>
      <w:marBottom w:val="0"/>
      <w:divBdr>
        <w:top w:val="none" w:sz="0" w:space="0" w:color="auto"/>
        <w:left w:val="none" w:sz="0" w:space="0" w:color="auto"/>
        <w:bottom w:val="none" w:sz="0" w:space="0" w:color="auto"/>
        <w:right w:val="none" w:sz="0" w:space="0" w:color="auto"/>
      </w:divBdr>
      <w:divsChild>
        <w:div w:id="629438628">
          <w:marLeft w:val="0"/>
          <w:marRight w:val="0"/>
          <w:marTop w:val="240"/>
          <w:marBottom w:val="240"/>
          <w:divBdr>
            <w:top w:val="none" w:sz="0" w:space="0" w:color="auto"/>
            <w:left w:val="none" w:sz="0" w:space="0" w:color="auto"/>
            <w:bottom w:val="none" w:sz="0" w:space="0" w:color="auto"/>
            <w:right w:val="none" w:sz="0" w:space="0" w:color="auto"/>
          </w:divBdr>
        </w:div>
        <w:div w:id="1208100219">
          <w:marLeft w:val="0"/>
          <w:marRight w:val="0"/>
          <w:marTop w:val="240"/>
          <w:marBottom w:val="240"/>
          <w:divBdr>
            <w:top w:val="none" w:sz="0" w:space="0" w:color="auto"/>
            <w:left w:val="none" w:sz="0" w:space="0" w:color="auto"/>
            <w:bottom w:val="none" w:sz="0" w:space="0" w:color="auto"/>
            <w:right w:val="none" w:sz="0" w:space="0" w:color="auto"/>
          </w:divBdr>
        </w:div>
        <w:div w:id="1808355067">
          <w:marLeft w:val="0"/>
          <w:marRight w:val="0"/>
          <w:marTop w:val="240"/>
          <w:marBottom w:val="240"/>
          <w:divBdr>
            <w:top w:val="none" w:sz="0" w:space="0" w:color="auto"/>
            <w:left w:val="none" w:sz="0" w:space="0" w:color="auto"/>
            <w:bottom w:val="none" w:sz="0" w:space="0" w:color="auto"/>
            <w:right w:val="none" w:sz="0" w:space="0" w:color="auto"/>
          </w:divBdr>
        </w:div>
      </w:divsChild>
    </w:div>
    <w:div w:id="262542699">
      <w:bodyDiv w:val="1"/>
      <w:marLeft w:val="0"/>
      <w:marRight w:val="0"/>
      <w:marTop w:val="0"/>
      <w:marBottom w:val="0"/>
      <w:divBdr>
        <w:top w:val="none" w:sz="0" w:space="0" w:color="auto"/>
        <w:left w:val="none" w:sz="0" w:space="0" w:color="auto"/>
        <w:bottom w:val="none" w:sz="0" w:space="0" w:color="auto"/>
        <w:right w:val="none" w:sz="0" w:space="0" w:color="auto"/>
      </w:divBdr>
    </w:div>
    <w:div w:id="274138547">
      <w:bodyDiv w:val="1"/>
      <w:marLeft w:val="0"/>
      <w:marRight w:val="0"/>
      <w:marTop w:val="0"/>
      <w:marBottom w:val="0"/>
      <w:divBdr>
        <w:top w:val="none" w:sz="0" w:space="0" w:color="auto"/>
        <w:left w:val="none" w:sz="0" w:space="0" w:color="auto"/>
        <w:bottom w:val="none" w:sz="0" w:space="0" w:color="auto"/>
        <w:right w:val="none" w:sz="0" w:space="0" w:color="auto"/>
      </w:divBdr>
    </w:div>
    <w:div w:id="289438203">
      <w:bodyDiv w:val="1"/>
      <w:marLeft w:val="0"/>
      <w:marRight w:val="0"/>
      <w:marTop w:val="0"/>
      <w:marBottom w:val="0"/>
      <w:divBdr>
        <w:top w:val="none" w:sz="0" w:space="0" w:color="auto"/>
        <w:left w:val="none" w:sz="0" w:space="0" w:color="auto"/>
        <w:bottom w:val="none" w:sz="0" w:space="0" w:color="auto"/>
        <w:right w:val="none" w:sz="0" w:space="0" w:color="auto"/>
      </w:divBdr>
    </w:div>
    <w:div w:id="346367911">
      <w:bodyDiv w:val="1"/>
      <w:marLeft w:val="0"/>
      <w:marRight w:val="0"/>
      <w:marTop w:val="0"/>
      <w:marBottom w:val="0"/>
      <w:divBdr>
        <w:top w:val="none" w:sz="0" w:space="0" w:color="auto"/>
        <w:left w:val="none" w:sz="0" w:space="0" w:color="auto"/>
        <w:bottom w:val="none" w:sz="0" w:space="0" w:color="auto"/>
        <w:right w:val="none" w:sz="0" w:space="0" w:color="auto"/>
      </w:divBdr>
    </w:div>
    <w:div w:id="358626798">
      <w:bodyDiv w:val="1"/>
      <w:marLeft w:val="0"/>
      <w:marRight w:val="0"/>
      <w:marTop w:val="0"/>
      <w:marBottom w:val="0"/>
      <w:divBdr>
        <w:top w:val="none" w:sz="0" w:space="0" w:color="auto"/>
        <w:left w:val="none" w:sz="0" w:space="0" w:color="auto"/>
        <w:bottom w:val="none" w:sz="0" w:space="0" w:color="auto"/>
        <w:right w:val="none" w:sz="0" w:space="0" w:color="auto"/>
      </w:divBdr>
    </w:div>
    <w:div w:id="372770426">
      <w:bodyDiv w:val="1"/>
      <w:marLeft w:val="0"/>
      <w:marRight w:val="0"/>
      <w:marTop w:val="0"/>
      <w:marBottom w:val="0"/>
      <w:divBdr>
        <w:top w:val="none" w:sz="0" w:space="0" w:color="auto"/>
        <w:left w:val="none" w:sz="0" w:space="0" w:color="auto"/>
        <w:bottom w:val="none" w:sz="0" w:space="0" w:color="auto"/>
        <w:right w:val="none" w:sz="0" w:space="0" w:color="auto"/>
      </w:divBdr>
    </w:div>
    <w:div w:id="410196961">
      <w:bodyDiv w:val="1"/>
      <w:marLeft w:val="0"/>
      <w:marRight w:val="0"/>
      <w:marTop w:val="0"/>
      <w:marBottom w:val="0"/>
      <w:divBdr>
        <w:top w:val="none" w:sz="0" w:space="0" w:color="auto"/>
        <w:left w:val="none" w:sz="0" w:space="0" w:color="auto"/>
        <w:bottom w:val="none" w:sz="0" w:space="0" w:color="auto"/>
        <w:right w:val="none" w:sz="0" w:space="0" w:color="auto"/>
      </w:divBdr>
    </w:div>
    <w:div w:id="444008969">
      <w:bodyDiv w:val="1"/>
      <w:marLeft w:val="0"/>
      <w:marRight w:val="0"/>
      <w:marTop w:val="0"/>
      <w:marBottom w:val="0"/>
      <w:divBdr>
        <w:top w:val="none" w:sz="0" w:space="0" w:color="auto"/>
        <w:left w:val="none" w:sz="0" w:space="0" w:color="auto"/>
        <w:bottom w:val="none" w:sz="0" w:space="0" w:color="auto"/>
        <w:right w:val="none" w:sz="0" w:space="0" w:color="auto"/>
      </w:divBdr>
    </w:div>
    <w:div w:id="450517784">
      <w:bodyDiv w:val="1"/>
      <w:marLeft w:val="0"/>
      <w:marRight w:val="0"/>
      <w:marTop w:val="0"/>
      <w:marBottom w:val="0"/>
      <w:divBdr>
        <w:top w:val="none" w:sz="0" w:space="0" w:color="auto"/>
        <w:left w:val="none" w:sz="0" w:space="0" w:color="auto"/>
        <w:bottom w:val="none" w:sz="0" w:space="0" w:color="auto"/>
        <w:right w:val="none" w:sz="0" w:space="0" w:color="auto"/>
      </w:divBdr>
    </w:div>
    <w:div w:id="455177362">
      <w:bodyDiv w:val="1"/>
      <w:marLeft w:val="0"/>
      <w:marRight w:val="0"/>
      <w:marTop w:val="0"/>
      <w:marBottom w:val="0"/>
      <w:divBdr>
        <w:top w:val="none" w:sz="0" w:space="0" w:color="auto"/>
        <w:left w:val="none" w:sz="0" w:space="0" w:color="auto"/>
        <w:bottom w:val="none" w:sz="0" w:space="0" w:color="auto"/>
        <w:right w:val="none" w:sz="0" w:space="0" w:color="auto"/>
      </w:divBdr>
      <w:divsChild>
        <w:div w:id="1638413598">
          <w:marLeft w:val="0"/>
          <w:marRight w:val="0"/>
          <w:marTop w:val="0"/>
          <w:marBottom w:val="160"/>
          <w:divBdr>
            <w:top w:val="none" w:sz="0" w:space="0" w:color="auto"/>
            <w:left w:val="none" w:sz="0" w:space="0" w:color="auto"/>
            <w:bottom w:val="none" w:sz="0" w:space="0" w:color="auto"/>
            <w:right w:val="none" w:sz="0" w:space="0" w:color="auto"/>
          </w:divBdr>
        </w:div>
        <w:div w:id="1735858445">
          <w:marLeft w:val="0"/>
          <w:marRight w:val="0"/>
          <w:marTop w:val="0"/>
          <w:marBottom w:val="160"/>
          <w:divBdr>
            <w:top w:val="none" w:sz="0" w:space="0" w:color="auto"/>
            <w:left w:val="none" w:sz="0" w:space="0" w:color="auto"/>
            <w:bottom w:val="none" w:sz="0" w:space="0" w:color="auto"/>
            <w:right w:val="none" w:sz="0" w:space="0" w:color="auto"/>
          </w:divBdr>
        </w:div>
        <w:div w:id="580061497">
          <w:marLeft w:val="0"/>
          <w:marRight w:val="0"/>
          <w:marTop w:val="0"/>
          <w:marBottom w:val="160"/>
          <w:divBdr>
            <w:top w:val="none" w:sz="0" w:space="0" w:color="auto"/>
            <w:left w:val="none" w:sz="0" w:space="0" w:color="auto"/>
            <w:bottom w:val="none" w:sz="0" w:space="0" w:color="auto"/>
            <w:right w:val="none" w:sz="0" w:space="0" w:color="auto"/>
          </w:divBdr>
        </w:div>
        <w:div w:id="1832260246">
          <w:marLeft w:val="0"/>
          <w:marRight w:val="0"/>
          <w:marTop w:val="0"/>
          <w:marBottom w:val="160"/>
          <w:divBdr>
            <w:top w:val="none" w:sz="0" w:space="0" w:color="auto"/>
            <w:left w:val="none" w:sz="0" w:space="0" w:color="auto"/>
            <w:bottom w:val="none" w:sz="0" w:space="0" w:color="auto"/>
            <w:right w:val="none" w:sz="0" w:space="0" w:color="auto"/>
          </w:divBdr>
        </w:div>
        <w:div w:id="44723997">
          <w:marLeft w:val="0"/>
          <w:marRight w:val="0"/>
          <w:marTop w:val="0"/>
          <w:marBottom w:val="160"/>
          <w:divBdr>
            <w:top w:val="none" w:sz="0" w:space="0" w:color="auto"/>
            <w:left w:val="none" w:sz="0" w:space="0" w:color="auto"/>
            <w:bottom w:val="none" w:sz="0" w:space="0" w:color="auto"/>
            <w:right w:val="none" w:sz="0" w:space="0" w:color="auto"/>
          </w:divBdr>
        </w:div>
        <w:div w:id="1147431984">
          <w:marLeft w:val="0"/>
          <w:marRight w:val="0"/>
          <w:marTop w:val="0"/>
          <w:marBottom w:val="0"/>
          <w:divBdr>
            <w:top w:val="none" w:sz="0" w:space="0" w:color="auto"/>
            <w:left w:val="none" w:sz="0" w:space="0" w:color="auto"/>
            <w:bottom w:val="none" w:sz="0" w:space="0" w:color="auto"/>
            <w:right w:val="none" w:sz="0" w:space="0" w:color="auto"/>
          </w:divBdr>
        </w:div>
      </w:divsChild>
    </w:div>
    <w:div w:id="471750312">
      <w:bodyDiv w:val="1"/>
      <w:marLeft w:val="0"/>
      <w:marRight w:val="0"/>
      <w:marTop w:val="0"/>
      <w:marBottom w:val="0"/>
      <w:divBdr>
        <w:top w:val="none" w:sz="0" w:space="0" w:color="auto"/>
        <w:left w:val="none" w:sz="0" w:space="0" w:color="auto"/>
        <w:bottom w:val="none" w:sz="0" w:space="0" w:color="auto"/>
        <w:right w:val="none" w:sz="0" w:space="0" w:color="auto"/>
      </w:divBdr>
    </w:div>
    <w:div w:id="496656660">
      <w:bodyDiv w:val="1"/>
      <w:marLeft w:val="0"/>
      <w:marRight w:val="0"/>
      <w:marTop w:val="0"/>
      <w:marBottom w:val="0"/>
      <w:divBdr>
        <w:top w:val="none" w:sz="0" w:space="0" w:color="auto"/>
        <w:left w:val="none" w:sz="0" w:space="0" w:color="auto"/>
        <w:bottom w:val="none" w:sz="0" w:space="0" w:color="auto"/>
        <w:right w:val="none" w:sz="0" w:space="0" w:color="auto"/>
      </w:divBdr>
    </w:div>
    <w:div w:id="496963284">
      <w:bodyDiv w:val="1"/>
      <w:marLeft w:val="0"/>
      <w:marRight w:val="0"/>
      <w:marTop w:val="0"/>
      <w:marBottom w:val="0"/>
      <w:divBdr>
        <w:top w:val="none" w:sz="0" w:space="0" w:color="auto"/>
        <w:left w:val="none" w:sz="0" w:space="0" w:color="auto"/>
        <w:bottom w:val="none" w:sz="0" w:space="0" w:color="auto"/>
        <w:right w:val="none" w:sz="0" w:space="0" w:color="auto"/>
      </w:divBdr>
    </w:div>
    <w:div w:id="514072838">
      <w:bodyDiv w:val="1"/>
      <w:marLeft w:val="0"/>
      <w:marRight w:val="0"/>
      <w:marTop w:val="0"/>
      <w:marBottom w:val="0"/>
      <w:divBdr>
        <w:top w:val="none" w:sz="0" w:space="0" w:color="auto"/>
        <w:left w:val="none" w:sz="0" w:space="0" w:color="auto"/>
        <w:bottom w:val="none" w:sz="0" w:space="0" w:color="auto"/>
        <w:right w:val="none" w:sz="0" w:space="0" w:color="auto"/>
      </w:divBdr>
    </w:div>
    <w:div w:id="543054794">
      <w:bodyDiv w:val="1"/>
      <w:marLeft w:val="0"/>
      <w:marRight w:val="0"/>
      <w:marTop w:val="0"/>
      <w:marBottom w:val="0"/>
      <w:divBdr>
        <w:top w:val="none" w:sz="0" w:space="0" w:color="auto"/>
        <w:left w:val="none" w:sz="0" w:space="0" w:color="auto"/>
        <w:bottom w:val="none" w:sz="0" w:space="0" w:color="auto"/>
        <w:right w:val="none" w:sz="0" w:space="0" w:color="auto"/>
      </w:divBdr>
    </w:div>
    <w:div w:id="567810511">
      <w:bodyDiv w:val="1"/>
      <w:marLeft w:val="0"/>
      <w:marRight w:val="0"/>
      <w:marTop w:val="0"/>
      <w:marBottom w:val="0"/>
      <w:divBdr>
        <w:top w:val="none" w:sz="0" w:space="0" w:color="auto"/>
        <w:left w:val="none" w:sz="0" w:space="0" w:color="auto"/>
        <w:bottom w:val="none" w:sz="0" w:space="0" w:color="auto"/>
        <w:right w:val="none" w:sz="0" w:space="0" w:color="auto"/>
      </w:divBdr>
    </w:div>
    <w:div w:id="582492157">
      <w:bodyDiv w:val="1"/>
      <w:marLeft w:val="0"/>
      <w:marRight w:val="0"/>
      <w:marTop w:val="0"/>
      <w:marBottom w:val="0"/>
      <w:divBdr>
        <w:top w:val="none" w:sz="0" w:space="0" w:color="auto"/>
        <w:left w:val="none" w:sz="0" w:space="0" w:color="auto"/>
        <w:bottom w:val="none" w:sz="0" w:space="0" w:color="auto"/>
        <w:right w:val="none" w:sz="0" w:space="0" w:color="auto"/>
      </w:divBdr>
    </w:div>
    <w:div w:id="606234243">
      <w:bodyDiv w:val="1"/>
      <w:marLeft w:val="0"/>
      <w:marRight w:val="0"/>
      <w:marTop w:val="0"/>
      <w:marBottom w:val="0"/>
      <w:divBdr>
        <w:top w:val="none" w:sz="0" w:space="0" w:color="auto"/>
        <w:left w:val="none" w:sz="0" w:space="0" w:color="auto"/>
        <w:bottom w:val="none" w:sz="0" w:space="0" w:color="auto"/>
        <w:right w:val="none" w:sz="0" w:space="0" w:color="auto"/>
      </w:divBdr>
    </w:div>
    <w:div w:id="611134939">
      <w:bodyDiv w:val="1"/>
      <w:marLeft w:val="0"/>
      <w:marRight w:val="0"/>
      <w:marTop w:val="0"/>
      <w:marBottom w:val="0"/>
      <w:divBdr>
        <w:top w:val="none" w:sz="0" w:space="0" w:color="auto"/>
        <w:left w:val="none" w:sz="0" w:space="0" w:color="auto"/>
        <w:bottom w:val="none" w:sz="0" w:space="0" w:color="auto"/>
        <w:right w:val="none" w:sz="0" w:space="0" w:color="auto"/>
      </w:divBdr>
    </w:div>
    <w:div w:id="612907279">
      <w:bodyDiv w:val="1"/>
      <w:marLeft w:val="0"/>
      <w:marRight w:val="0"/>
      <w:marTop w:val="0"/>
      <w:marBottom w:val="0"/>
      <w:divBdr>
        <w:top w:val="none" w:sz="0" w:space="0" w:color="auto"/>
        <w:left w:val="none" w:sz="0" w:space="0" w:color="auto"/>
        <w:bottom w:val="none" w:sz="0" w:space="0" w:color="auto"/>
        <w:right w:val="none" w:sz="0" w:space="0" w:color="auto"/>
      </w:divBdr>
    </w:div>
    <w:div w:id="642782846">
      <w:bodyDiv w:val="1"/>
      <w:marLeft w:val="0"/>
      <w:marRight w:val="0"/>
      <w:marTop w:val="0"/>
      <w:marBottom w:val="0"/>
      <w:divBdr>
        <w:top w:val="none" w:sz="0" w:space="0" w:color="auto"/>
        <w:left w:val="none" w:sz="0" w:space="0" w:color="auto"/>
        <w:bottom w:val="none" w:sz="0" w:space="0" w:color="auto"/>
        <w:right w:val="none" w:sz="0" w:space="0" w:color="auto"/>
      </w:divBdr>
    </w:div>
    <w:div w:id="645823353">
      <w:bodyDiv w:val="1"/>
      <w:marLeft w:val="0"/>
      <w:marRight w:val="0"/>
      <w:marTop w:val="0"/>
      <w:marBottom w:val="0"/>
      <w:divBdr>
        <w:top w:val="none" w:sz="0" w:space="0" w:color="auto"/>
        <w:left w:val="none" w:sz="0" w:space="0" w:color="auto"/>
        <w:bottom w:val="none" w:sz="0" w:space="0" w:color="auto"/>
        <w:right w:val="none" w:sz="0" w:space="0" w:color="auto"/>
      </w:divBdr>
    </w:div>
    <w:div w:id="650718599">
      <w:bodyDiv w:val="1"/>
      <w:marLeft w:val="0"/>
      <w:marRight w:val="0"/>
      <w:marTop w:val="0"/>
      <w:marBottom w:val="0"/>
      <w:divBdr>
        <w:top w:val="none" w:sz="0" w:space="0" w:color="auto"/>
        <w:left w:val="none" w:sz="0" w:space="0" w:color="auto"/>
        <w:bottom w:val="none" w:sz="0" w:space="0" w:color="auto"/>
        <w:right w:val="none" w:sz="0" w:space="0" w:color="auto"/>
      </w:divBdr>
    </w:div>
    <w:div w:id="687560983">
      <w:bodyDiv w:val="1"/>
      <w:marLeft w:val="0"/>
      <w:marRight w:val="0"/>
      <w:marTop w:val="0"/>
      <w:marBottom w:val="0"/>
      <w:divBdr>
        <w:top w:val="none" w:sz="0" w:space="0" w:color="auto"/>
        <w:left w:val="none" w:sz="0" w:space="0" w:color="auto"/>
        <w:bottom w:val="none" w:sz="0" w:space="0" w:color="auto"/>
        <w:right w:val="none" w:sz="0" w:space="0" w:color="auto"/>
      </w:divBdr>
    </w:div>
    <w:div w:id="708187072">
      <w:bodyDiv w:val="1"/>
      <w:marLeft w:val="0"/>
      <w:marRight w:val="0"/>
      <w:marTop w:val="0"/>
      <w:marBottom w:val="0"/>
      <w:divBdr>
        <w:top w:val="none" w:sz="0" w:space="0" w:color="auto"/>
        <w:left w:val="none" w:sz="0" w:space="0" w:color="auto"/>
        <w:bottom w:val="none" w:sz="0" w:space="0" w:color="auto"/>
        <w:right w:val="none" w:sz="0" w:space="0" w:color="auto"/>
      </w:divBdr>
    </w:div>
    <w:div w:id="714890083">
      <w:bodyDiv w:val="1"/>
      <w:marLeft w:val="0"/>
      <w:marRight w:val="0"/>
      <w:marTop w:val="0"/>
      <w:marBottom w:val="0"/>
      <w:divBdr>
        <w:top w:val="none" w:sz="0" w:space="0" w:color="auto"/>
        <w:left w:val="none" w:sz="0" w:space="0" w:color="auto"/>
        <w:bottom w:val="none" w:sz="0" w:space="0" w:color="auto"/>
        <w:right w:val="none" w:sz="0" w:space="0" w:color="auto"/>
      </w:divBdr>
    </w:div>
    <w:div w:id="754518779">
      <w:bodyDiv w:val="1"/>
      <w:marLeft w:val="0"/>
      <w:marRight w:val="0"/>
      <w:marTop w:val="0"/>
      <w:marBottom w:val="0"/>
      <w:divBdr>
        <w:top w:val="none" w:sz="0" w:space="0" w:color="auto"/>
        <w:left w:val="none" w:sz="0" w:space="0" w:color="auto"/>
        <w:bottom w:val="none" w:sz="0" w:space="0" w:color="auto"/>
        <w:right w:val="none" w:sz="0" w:space="0" w:color="auto"/>
      </w:divBdr>
    </w:div>
    <w:div w:id="757485522">
      <w:bodyDiv w:val="1"/>
      <w:marLeft w:val="0"/>
      <w:marRight w:val="0"/>
      <w:marTop w:val="0"/>
      <w:marBottom w:val="0"/>
      <w:divBdr>
        <w:top w:val="none" w:sz="0" w:space="0" w:color="auto"/>
        <w:left w:val="none" w:sz="0" w:space="0" w:color="auto"/>
        <w:bottom w:val="none" w:sz="0" w:space="0" w:color="auto"/>
        <w:right w:val="none" w:sz="0" w:space="0" w:color="auto"/>
      </w:divBdr>
    </w:div>
    <w:div w:id="766190905">
      <w:bodyDiv w:val="1"/>
      <w:marLeft w:val="0"/>
      <w:marRight w:val="0"/>
      <w:marTop w:val="0"/>
      <w:marBottom w:val="0"/>
      <w:divBdr>
        <w:top w:val="none" w:sz="0" w:space="0" w:color="auto"/>
        <w:left w:val="none" w:sz="0" w:space="0" w:color="auto"/>
        <w:bottom w:val="none" w:sz="0" w:space="0" w:color="auto"/>
        <w:right w:val="none" w:sz="0" w:space="0" w:color="auto"/>
      </w:divBdr>
    </w:div>
    <w:div w:id="816385559">
      <w:bodyDiv w:val="1"/>
      <w:marLeft w:val="0"/>
      <w:marRight w:val="0"/>
      <w:marTop w:val="0"/>
      <w:marBottom w:val="0"/>
      <w:divBdr>
        <w:top w:val="none" w:sz="0" w:space="0" w:color="auto"/>
        <w:left w:val="none" w:sz="0" w:space="0" w:color="auto"/>
        <w:bottom w:val="none" w:sz="0" w:space="0" w:color="auto"/>
        <w:right w:val="none" w:sz="0" w:space="0" w:color="auto"/>
      </w:divBdr>
    </w:div>
    <w:div w:id="889993349">
      <w:bodyDiv w:val="1"/>
      <w:marLeft w:val="0"/>
      <w:marRight w:val="0"/>
      <w:marTop w:val="0"/>
      <w:marBottom w:val="0"/>
      <w:divBdr>
        <w:top w:val="none" w:sz="0" w:space="0" w:color="auto"/>
        <w:left w:val="none" w:sz="0" w:space="0" w:color="auto"/>
        <w:bottom w:val="none" w:sz="0" w:space="0" w:color="auto"/>
        <w:right w:val="none" w:sz="0" w:space="0" w:color="auto"/>
      </w:divBdr>
    </w:div>
    <w:div w:id="890773838">
      <w:bodyDiv w:val="1"/>
      <w:marLeft w:val="0"/>
      <w:marRight w:val="0"/>
      <w:marTop w:val="0"/>
      <w:marBottom w:val="0"/>
      <w:divBdr>
        <w:top w:val="none" w:sz="0" w:space="0" w:color="auto"/>
        <w:left w:val="none" w:sz="0" w:space="0" w:color="auto"/>
        <w:bottom w:val="none" w:sz="0" w:space="0" w:color="auto"/>
        <w:right w:val="none" w:sz="0" w:space="0" w:color="auto"/>
      </w:divBdr>
    </w:div>
    <w:div w:id="894658253">
      <w:bodyDiv w:val="1"/>
      <w:marLeft w:val="0"/>
      <w:marRight w:val="0"/>
      <w:marTop w:val="0"/>
      <w:marBottom w:val="0"/>
      <w:divBdr>
        <w:top w:val="none" w:sz="0" w:space="0" w:color="auto"/>
        <w:left w:val="none" w:sz="0" w:space="0" w:color="auto"/>
        <w:bottom w:val="none" w:sz="0" w:space="0" w:color="auto"/>
        <w:right w:val="none" w:sz="0" w:space="0" w:color="auto"/>
      </w:divBdr>
    </w:div>
    <w:div w:id="906765717">
      <w:bodyDiv w:val="1"/>
      <w:marLeft w:val="0"/>
      <w:marRight w:val="0"/>
      <w:marTop w:val="0"/>
      <w:marBottom w:val="0"/>
      <w:divBdr>
        <w:top w:val="none" w:sz="0" w:space="0" w:color="auto"/>
        <w:left w:val="none" w:sz="0" w:space="0" w:color="auto"/>
        <w:bottom w:val="none" w:sz="0" w:space="0" w:color="auto"/>
        <w:right w:val="none" w:sz="0" w:space="0" w:color="auto"/>
      </w:divBdr>
    </w:div>
    <w:div w:id="941107007">
      <w:bodyDiv w:val="1"/>
      <w:marLeft w:val="0"/>
      <w:marRight w:val="0"/>
      <w:marTop w:val="0"/>
      <w:marBottom w:val="0"/>
      <w:divBdr>
        <w:top w:val="none" w:sz="0" w:space="0" w:color="auto"/>
        <w:left w:val="none" w:sz="0" w:space="0" w:color="auto"/>
        <w:bottom w:val="none" w:sz="0" w:space="0" w:color="auto"/>
        <w:right w:val="none" w:sz="0" w:space="0" w:color="auto"/>
      </w:divBdr>
    </w:div>
    <w:div w:id="946546488">
      <w:bodyDiv w:val="1"/>
      <w:marLeft w:val="0"/>
      <w:marRight w:val="0"/>
      <w:marTop w:val="0"/>
      <w:marBottom w:val="0"/>
      <w:divBdr>
        <w:top w:val="none" w:sz="0" w:space="0" w:color="auto"/>
        <w:left w:val="none" w:sz="0" w:space="0" w:color="auto"/>
        <w:bottom w:val="none" w:sz="0" w:space="0" w:color="auto"/>
        <w:right w:val="none" w:sz="0" w:space="0" w:color="auto"/>
      </w:divBdr>
    </w:div>
    <w:div w:id="997030074">
      <w:bodyDiv w:val="1"/>
      <w:marLeft w:val="0"/>
      <w:marRight w:val="0"/>
      <w:marTop w:val="0"/>
      <w:marBottom w:val="0"/>
      <w:divBdr>
        <w:top w:val="none" w:sz="0" w:space="0" w:color="auto"/>
        <w:left w:val="none" w:sz="0" w:space="0" w:color="auto"/>
        <w:bottom w:val="none" w:sz="0" w:space="0" w:color="auto"/>
        <w:right w:val="none" w:sz="0" w:space="0" w:color="auto"/>
      </w:divBdr>
      <w:divsChild>
        <w:div w:id="1552882498">
          <w:marLeft w:val="0"/>
          <w:marRight w:val="0"/>
          <w:marTop w:val="240"/>
          <w:marBottom w:val="240"/>
          <w:divBdr>
            <w:top w:val="none" w:sz="0" w:space="0" w:color="auto"/>
            <w:left w:val="none" w:sz="0" w:space="0" w:color="auto"/>
            <w:bottom w:val="none" w:sz="0" w:space="0" w:color="auto"/>
            <w:right w:val="none" w:sz="0" w:space="0" w:color="auto"/>
          </w:divBdr>
        </w:div>
        <w:div w:id="1096292691">
          <w:marLeft w:val="0"/>
          <w:marRight w:val="0"/>
          <w:marTop w:val="240"/>
          <w:marBottom w:val="240"/>
          <w:divBdr>
            <w:top w:val="none" w:sz="0" w:space="0" w:color="auto"/>
            <w:left w:val="none" w:sz="0" w:space="0" w:color="auto"/>
            <w:bottom w:val="none" w:sz="0" w:space="0" w:color="auto"/>
            <w:right w:val="none" w:sz="0" w:space="0" w:color="auto"/>
          </w:divBdr>
        </w:div>
        <w:div w:id="428547447">
          <w:marLeft w:val="0"/>
          <w:marRight w:val="0"/>
          <w:marTop w:val="240"/>
          <w:marBottom w:val="240"/>
          <w:divBdr>
            <w:top w:val="none" w:sz="0" w:space="0" w:color="auto"/>
            <w:left w:val="none" w:sz="0" w:space="0" w:color="auto"/>
            <w:bottom w:val="none" w:sz="0" w:space="0" w:color="auto"/>
            <w:right w:val="none" w:sz="0" w:space="0" w:color="auto"/>
          </w:divBdr>
        </w:div>
        <w:div w:id="8795643">
          <w:marLeft w:val="0"/>
          <w:marRight w:val="0"/>
          <w:marTop w:val="240"/>
          <w:marBottom w:val="240"/>
          <w:divBdr>
            <w:top w:val="none" w:sz="0" w:space="0" w:color="auto"/>
            <w:left w:val="none" w:sz="0" w:space="0" w:color="auto"/>
            <w:bottom w:val="none" w:sz="0" w:space="0" w:color="auto"/>
            <w:right w:val="none" w:sz="0" w:space="0" w:color="auto"/>
          </w:divBdr>
        </w:div>
        <w:div w:id="2009021417">
          <w:marLeft w:val="0"/>
          <w:marRight w:val="0"/>
          <w:marTop w:val="240"/>
          <w:marBottom w:val="240"/>
          <w:divBdr>
            <w:top w:val="none" w:sz="0" w:space="0" w:color="auto"/>
            <w:left w:val="none" w:sz="0" w:space="0" w:color="auto"/>
            <w:bottom w:val="none" w:sz="0" w:space="0" w:color="auto"/>
            <w:right w:val="none" w:sz="0" w:space="0" w:color="auto"/>
          </w:divBdr>
        </w:div>
        <w:div w:id="110365201">
          <w:marLeft w:val="0"/>
          <w:marRight w:val="0"/>
          <w:marTop w:val="240"/>
          <w:marBottom w:val="240"/>
          <w:divBdr>
            <w:top w:val="none" w:sz="0" w:space="0" w:color="auto"/>
            <w:left w:val="none" w:sz="0" w:space="0" w:color="auto"/>
            <w:bottom w:val="none" w:sz="0" w:space="0" w:color="auto"/>
            <w:right w:val="none" w:sz="0" w:space="0" w:color="auto"/>
          </w:divBdr>
        </w:div>
      </w:divsChild>
    </w:div>
    <w:div w:id="1010135323">
      <w:bodyDiv w:val="1"/>
      <w:marLeft w:val="0"/>
      <w:marRight w:val="0"/>
      <w:marTop w:val="0"/>
      <w:marBottom w:val="0"/>
      <w:divBdr>
        <w:top w:val="none" w:sz="0" w:space="0" w:color="auto"/>
        <w:left w:val="none" w:sz="0" w:space="0" w:color="auto"/>
        <w:bottom w:val="none" w:sz="0" w:space="0" w:color="auto"/>
        <w:right w:val="none" w:sz="0" w:space="0" w:color="auto"/>
      </w:divBdr>
    </w:div>
    <w:div w:id="1073359961">
      <w:bodyDiv w:val="1"/>
      <w:marLeft w:val="0"/>
      <w:marRight w:val="0"/>
      <w:marTop w:val="0"/>
      <w:marBottom w:val="0"/>
      <w:divBdr>
        <w:top w:val="none" w:sz="0" w:space="0" w:color="auto"/>
        <w:left w:val="none" w:sz="0" w:space="0" w:color="auto"/>
        <w:bottom w:val="none" w:sz="0" w:space="0" w:color="auto"/>
        <w:right w:val="none" w:sz="0" w:space="0" w:color="auto"/>
      </w:divBdr>
    </w:div>
    <w:div w:id="1110468303">
      <w:bodyDiv w:val="1"/>
      <w:marLeft w:val="0"/>
      <w:marRight w:val="0"/>
      <w:marTop w:val="0"/>
      <w:marBottom w:val="0"/>
      <w:divBdr>
        <w:top w:val="none" w:sz="0" w:space="0" w:color="auto"/>
        <w:left w:val="none" w:sz="0" w:space="0" w:color="auto"/>
        <w:bottom w:val="none" w:sz="0" w:space="0" w:color="auto"/>
        <w:right w:val="none" w:sz="0" w:space="0" w:color="auto"/>
      </w:divBdr>
    </w:div>
    <w:div w:id="1128165737">
      <w:bodyDiv w:val="1"/>
      <w:marLeft w:val="0"/>
      <w:marRight w:val="0"/>
      <w:marTop w:val="0"/>
      <w:marBottom w:val="0"/>
      <w:divBdr>
        <w:top w:val="none" w:sz="0" w:space="0" w:color="auto"/>
        <w:left w:val="none" w:sz="0" w:space="0" w:color="auto"/>
        <w:bottom w:val="none" w:sz="0" w:space="0" w:color="auto"/>
        <w:right w:val="none" w:sz="0" w:space="0" w:color="auto"/>
      </w:divBdr>
    </w:div>
    <w:div w:id="1130705428">
      <w:bodyDiv w:val="1"/>
      <w:marLeft w:val="0"/>
      <w:marRight w:val="0"/>
      <w:marTop w:val="0"/>
      <w:marBottom w:val="0"/>
      <w:divBdr>
        <w:top w:val="none" w:sz="0" w:space="0" w:color="auto"/>
        <w:left w:val="none" w:sz="0" w:space="0" w:color="auto"/>
        <w:bottom w:val="none" w:sz="0" w:space="0" w:color="auto"/>
        <w:right w:val="none" w:sz="0" w:space="0" w:color="auto"/>
      </w:divBdr>
    </w:div>
    <w:div w:id="1147237560">
      <w:bodyDiv w:val="1"/>
      <w:marLeft w:val="0"/>
      <w:marRight w:val="0"/>
      <w:marTop w:val="0"/>
      <w:marBottom w:val="0"/>
      <w:divBdr>
        <w:top w:val="none" w:sz="0" w:space="0" w:color="auto"/>
        <w:left w:val="none" w:sz="0" w:space="0" w:color="auto"/>
        <w:bottom w:val="none" w:sz="0" w:space="0" w:color="auto"/>
        <w:right w:val="none" w:sz="0" w:space="0" w:color="auto"/>
      </w:divBdr>
    </w:div>
    <w:div w:id="1161236717">
      <w:bodyDiv w:val="1"/>
      <w:marLeft w:val="0"/>
      <w:marRight w:val="0"/>
      <w:marTop w:val="0"/>
      <w:marBottom w:val="0"/>
      <w:divBdr>
        <w:top w:val="none" w:sz="0" w:space="0" w:color="auto"/>
        <w:left w:val="none" w:sz="0" w:space="0" w:color="auto"/>
        <w:bottom w:val="none" w:sz="0" w:space="0" w:color="auto"/>
        <w:right w:val="none" w:sz="0" w:space="0" w:color="auto"/>
      </w:divBdr>
      <w:divsChild>
        <w:div w:id="1107503580">
          <w:marLeft w:val="0"/>
          <w:marRight w:val="0"/>
          <w:marTop w:val="240"/>
          <w:marBottom w:val="240"/>
          <w:divBdr>
            <w:top w:val="none" w:sz="0" w:space="0" w:color="auto"/>
            <w:left w:val="none" w:sz="0" w:space="0" w:color="auto"/>
            <w:bottom w:val="none" w:sz="0" w:space="0" w:color="auto"/>
            <w:right w:val="none" w:sz="0" w:space="0" w:color="auto"/>
          </w:divBdr>
        </w:div>
        <w:div w:id="1866793918">
          <w:marLeft w:val="0"/>
          <w:marRight w:val="0"/>
          <w:marTop w:val="240"/>
          <w:marBottom w:val="240"/>
          <w:divBdr>
            <w:top w:val="none" w:sz="0" w:space="0" w:color="auto"/>
            <w:left w:val="none" w:sz="0" w:space="0" w:color="auto"/>
            <w:bottom w:val="none" w:sz="0" w:space="0" w:color="auto"/>
            <w:right w:val="none" w:sz="0" w:space="0" w:color="auto"/>
          </w:divBdr>
        </w:div>
        <w:div w:id="521819771">
          <w:marLeft w:val="0"/>
          <w:marRight w:val="0"/>
          <w:marTop w:val="240"/>
          <w:marBottom w:val="240"/>
          <w:divBdr>
            <w:top w:val="none" w:sz="0" w:space="0" w:color="auto"/>
            <w:left w:val="none" w:sz="0" w:space="0" w:color="auto"/>
            <w:bottom w:val="none" w:sz="0" w:space="0" w:color="auto"/>
            <w:right w:val="none" w:sz="0" w:space="0" w:color="auto"/>
          </w:divBdr>
        </w:div>
      </w:divsChild>
    </w:div>
    <w:div w:id="1162086589">
      <w:bodyDiv w:val="1"/>
      <w:marLeft w:val="0"/>
      <w:marRight w:val="0"/>
      <w:marTop w:val="0"/>
      <w:marBottom w:val="0"/>
      <w:divBdr>
        <w:top w:val="none" w:sz="0" w:space="0" w:color="auto"/>
        <w:left w:val="none" w:sz="0" w:space="0" w:color="auto"/>
        <w:bottom w:val="none" w:sz="0" w:space="0" w:color="auto"/>
        <w:right w:val="none" w:sz="0" w:space="0" w:color="auto"/>
      </w:divBdr>
    </w:div>
    <w:div w:id="1173569041">
      <w:bodyDiv w:val="1"/>
      <w:marLeft w:val="0"/>
      <w:marRight w:val="0"/>
      <w:marTop w:val="0"/>
      <w:marBottom w:val="0"/>
      <w:divBdr>
        <w:top w:val="none" w:sz="0" w:space="0" w:color="auto"/>
        <w:left w:val="none" w:sz="0" w:space="0" w:color="auto"/>
        <w:bottom w:val="none" w:sz="0" w:space="0" w:color="auto"/>
        <w:right w:val="none" w:sz="0" w:space="0" w:color="auto"/>
      </w:divBdr>
    </w:div>
    <w:div w:id="1230725936">
      <w:bodyDiv w:val="1"/>
      <w:marLeft w:val="0"/>
      <w:marRight w:val="0"/>
      <w:marTop w:val="0"/>
      <w:marBottom w:val="0"/>
      <w:divBdr>
        <w:top w:val="none" w:sz="0" w:space="0" w:color="auto"/>
        <w:left w:val="none" w:sz="0" w:space="0" w:color="auto"/>
        <w:bottom w:val="none" w:sz="0" w:space="0" w:color="auto"/>
        <w:right w:val="none" w:sz="0" w:space="0" w:color="auto"/>
      </w:divBdr>
    </w:div>
    <w:div w:id="1238324055">
      <w:bodyDiv w:val="1"/>
      <w:marLeft w:val="0"/>
      <w:marRight w:val="0"/>
      <w:marTop w:val="0"/>
      <w:marBottom w:val="0"/>
      <w:divBdr>
        <w:top w:val="none" w:sz="0" w:space="0" w:color="auto"/>
        <w:left w:val="none" w:sz="0" w:space="0" w:color="auto"/>
        <w:bottom w:val="none" w:sz="0" w:space="0" w:color="auto"/>
        <w:right w:val="none" w:sz="0" w:space="0" w:color="auto"/>
      </w:divBdr>
    </w:div>
    <w:div w:id="1241869184">
      <w:bodyDiv w:val="1"/>
      <w:marLeft w:val="0"/>
      <w:marRight w:val="0"/>
      <w:marTop w:val="0"/>
      <w:marBottom w:val="0"/>
      <w:divBdr>
        <w:top w:val="none" w:sz="0" w:space="0" w:color="auto"/>
        <w:left w:val="none" w:sz="0" w:space="0" w:color="auto"/>
        <w:bottom w:val="none" w:sz="0" w:space="0" w:color="auto"/>
        <w:right w:val="none" w:sz="0" w:space="0" w:color="auto"/>
      </w:divBdr>
    </w:div>
    <w:div w:id="1265841046">
      <w:bodyDiv w:val="1"/>
      <w:marLeft w:val="0"/>
      <w:marRight w:val="0"/>
      <w:marTop w:val="0"/>
      <w:marBottom w:val="0"/>
      <w:divBdr>
        <w:top w:val="none" w:sz="0" w:space="0" w:color="auto"/>
        <w:left w:val="none" w:sz="0" w:space="0" w:color="auto"/>
        <w:bottom w:val="none" w:sz="0" w:space="0" w:color="auto"/>
        <w:right w:val="none" w:sz="0" w:space="0" w:color="auto"/>
      </w:divBdr>
    </w:div>
    <w:div w:id="1284574802">
      <w:bodyDiv w:val="1"/>
      <w:marLeft w:val="0"/>
      <w:marRight w:val="0"/>
      <w:marTop w:val="0"/>
      <w:marBottom w:val="0"/>
      <w:divBdr>
        <w:top w:val="none" w:sz="0" w:space="0" w:color="auto"/>
        <w:left w:val="none" w:sz="0" w:space="0" w:color="auto"/>
        <w:bottom w:val="none" w:sz="0" w:space="0" w:color="auto"/>
        <w:right w:val="none" w:sz="0" w:space="0" w:color="auto"/>
      </w:divBdr>
    </w:div>
    <w:div w:id="1287814204">
      <w:bodyDiv w:val="1"/>
      <w:marLeft w:val="0"/>
      <w:marRight w:val="0"/>
      <w:marTop w:val="0"/>
      <w:marBottom w:val="0"/>
      <w:divBdr>
        <w:top w:val="none" w:sz="0" w:space="0" w:color="auto"/>
        <w:left w:val="none" w:sz="0" w:space="0" w:color="auto"/>
        <w:bottom w:val="none" w:sz="0" w:space="0" w:color="auto"/>
        <w:right w:val="none" w:sz="0" w:space="0" w:color="auto"/>
      </w:divBdr>
    </w:div>
    <w:div w:id="1300724991">
      <w:bodyDiv w:val="1"/>
      <w:marLeft w:val="0"/>
      <w:marRight w:val="0"/>
      <w:marTop w:val="0"/>
      <w:marBottom w:val="0"/>
      <w:divBdr>
        <w:top w:val="none" w:sz="0" w:space="0" w:color="auto"/>
        <w:left w:val="none" w:sz="0" w:space="0" w:color="auto"/>
        <w:bottom w:val="none" w:sz="0" w:space="0" w:color="auto"/>
        <w:right w:val="none" w:sz="0" w:space="0" w:color="auto"/>
      </w:divBdr>
    </w:div>
    <w:div w:id="1323894498">
      <w:bodyDiv w:val="1"/>
      <w:marLeft w:val="0"/>
      <w:marRight w:val="0"/>
      <w:marTop w:val="0"/>
      <w:marBottom w:val="0"/>
      <w:divBdr>
        <w:top w:val="none" w:sz="0" w:space="0" w:color="auto"/>
        <w:left w:val="none" w:sz="0" w:space="0" w:color="auto"/>
        <w:bottom w:val="none" w:sz="0" w:space="0" w:color="auto"/>
        <w:right w:val="none" w:sz="0" w:space="0" w:color="auto"/>
      </w:divBdr>
    </w:div>
    <w:div w:id="1344938441">
      <w:bodyDiv w:val="1"/>
      <w:marLeft w:val="0"/>
      <w:marRight w:val="0"/>
      <w:marTop w:val="0"/>
      <w:marBottom w:val="0"/>
      <w:divBdr>
        <w:top w:val="none" w:sz="0" w:space="0" w:color="auto"/>
        <w:left w:val="none" w:sz="0" w:space="0" w:color="auto"/>
        <w:bottom w:val="none" w:sz="0" w:space="0" w:color="auto"/>
        <w:right w:val="none" w:sz="0" w:space="0" w:color="auto"/>
      </w:divBdr>
    </w:div>
    <w:div w:id="1366713768">
      <w:bodyDiv w:val="1"/>
      <w:marLeft w:val="0"/>
      <w:marRight w:val="0"/>
      <w:marTop w:val="0"/>
      <w:marBottom w:val="0"/>
      <w:divBdr>
        <w:top w:val="none" w:sz="0" w:space="0" w:color="auto"/>
        <w:left w:val="none" w:sz="0" w:space="0" w:color="auto"/>
        <w:bottom w:val="none" w:sz="0" w:space="0" w:color="auto"/>
        <w:right w:val="none" w:sz="0" w:space="0" w:color="auto"/>
      </w:divBdr>
    </w:div>
    <w:div w:id="1438060226">
      <w:bodyDiv w:val="1"/>
      <w:marLeft w:val="0"/>
      <w:marRight w:val="0"/>
      <w:marTop w:val="0"/>
      <w:marBottom w:val="0"/>
      <w:divBdr>
        <w:top w:val="none" w:sz="0" w:space="0" w:color="auto"/>
        <w:left w:val="none" w:sz="0" w:space="0" w:color="auto"/>
        <w:bottom w:val="none" w:sz="0" w:space="0" w:color="auto"/>
        <w:right w:val="none" w:sz="0" w:space="0" w:color="auto"/>
      </w:divBdr>
    </w:div>
    <w:div w:id="1458833618">
      <w:bodyDiv w:val="1"/>
      <w:marLeft w:val="0"/>
      <w:marRight w:val="0"/>
      <w:marTop w:val="0"/>
      <w:marBottom w:val="0"/>
      <w:divBdr>
        <w:top w:val="none" w:sz="0" w:space="0" w:color="auto"/>
        <w:left w:val="none" w:sz="0" w:space="0" w:color="auto"/>
        <w:bottom w:val="none" w:sz="0" w:space="0" w:color="auto"/>
        <w:right w:val="none" w:sz="0" w:space="0" w:color="auto"/>
      </w:divBdr>
    </w:div>
    <w:div w:id="1494253352">
      <w:bodyDiv w:val="1"/>
      <w:marLeft w:val="0"/>
      <w:marRight w:val="0"/>
      <w:marTop w:val="0"/>
      <w:marBottom w:val="0"/>
      <w:divBdr>
        <w:top w:val="none" w:sz="0" w:space="0" w:color="auto"/>
        <w:left w:val="none" w:sz="0" w:space="0" w:color="auto"/>
        <w:bottom w:val="none" w:sz="0" w:space="0" w:color="auto"/>
        <w:right w:val="none" w:sz="0" w:space="0" w:color="auto"/>
      </w:divBdr>
    </w:div>
    <w:div w:id="1501701628">
      <w:bodyDiv w:val="1"/>
      <w:marLeft w:val="0"/>
      <w:marRight w:val="0"/>
      <w:marTop w:val="0"/>
      <w:marBottom w:val="0"/>
      <w:divBdr>
        <w:top w:val="none" w:sz="0" w:space="0" w:color="auto"/>
        <w:left w:val="none" w:sz="0" w:space="0" w:color="auto"/>
        <w:bottom w:val="none" w:sz="0" w:space="0" w:color="auto"/>
        <w:right w:val="none" w:sz="0" w:space="0" w:color="auto"/>
      </w:divBdr>
    </w:div>
    <w:div w:id="1515076195">
      <w:bodyDiv w:val="1"/>
      <w:marLeft w:val="0"/>
      <w:marRight w:val="0"/>
      <w:marTop w:val="0"/>
      <w:marBottom w:val="0"/>
      <w:divBdr>
        <w:top w:val="none" w:sz="0" w:space="0" w:color="auto"/>
        <w:left w:val="none" w:sz="0" w:space="0" w:color="auto"/>
        <w:bottom w:val="none" w:sz="0" w:space="0" w:color="auto"/>
        <w:right w:val="none" w:sz="0" w:space="0" w:color="auto"/>
      </w:divBdr>
    </w:div>
    <w:div w:id="1522937663">
      <w:bodyDiv w:val="1"/>
      <w:marLeft w:val="0"/>
      <w:marRight w:val="0"/>
      <w:marTop w:val="0"/>
      <w:marBottom w:val="0"/>
      <w:divBdr>
        <w:top w:val="none" w:sz="0" w:space="0" w:color="auto"/>
        <w:left w:val="none" w:sz="0" w:space="0" w:color="auto"/>
        <w:bottom w:val="none" w:sz="0" w:space="0" w:color="auto"/>
        <w:right w:val="none" w:sz="0" w:space="0" w:color="auto"/>
      </w:divBdr>
    </w:div>
    <w:div w:id="1524126132">
      <w:bodyDiv w:val="1"/>
      <w:marLeft w:val="0"/>
      <w:marRight w:val="0"/>
      <w:marTop w:val="0"/>
      <w:marBottom w:val="0"/>
      <w:divBdr>
        <w:top w:val="none" w:sz="0" w:space="0" w:color="auto"/>
        <w:left w:val="none" w:sz="0" w:space="0" w:color="auto"/>
        <w:bottom w:val="none" w:sz="0" w:space="0" w:color="auto"/>
        <w:right w:val="none" w:sz="0" w:space="0" w:color="auto"/>
      </w:divBdr>
    </w:div>
    <w:div w:id="1527251389">
      <w:bodyDiv w:val="1"/>
      <w:marLeft w:val="0"/>
      <w:marRight w:val="0"/>
      <w:marTop w:val="0"/>
      <w:marBottom w:val="0"/>
      <w:divBdr>
        <w:top w:val="none" w:sz="0" w:space="0" w:color="auto"/>
        <w:left w:val="none" w:sz="0" w:space="0" w:color="auto"/>
        <w:bottom w:val="none" w:sz="0" w:space="0" w:color="auto"/>
        <w:right w:val="none" w:sz="0" w:space="0" w:color="auto"/>
      </w:divBdr>
      <w:divsChild>
        <w:div w:id="999113446">
          <w:marLeft w:val="0"/>
          <w:marRight w:val="0"/>
          <w:marTop w:val="0"/>
          <w:marBottom w:val="0"/>
          <w:divBdr>
            <w:top w:val="none" w:sz="0" w:space="0" w:color="auto"/>
            <w:left w:val="none" w:sz="0" w:space="0" w:color="auto"/>
            <w:bottom w:val="none" w:sz="0" w:space="0" w:color="auto"/>
            <w:right w:val="none" w:sz="0" w:space="0" w:color="auto"/>
          </w:divBdr>
        </w:div>
        <w:div w:id="90250084">
          <w:marLeft w:val="0"/>
          <w:marRight w:val="0"/>
          <w:marTop w:val="0"/>
          <w:marBottom w:val="0"/>
          <w:divBdr>
            <w:top w:val="none" w:sz="0" w:space="0" w:color="auto"/>
            <w:left w:val="none" w:sz="0" w:space="0" w:color="auto"/>
            <w:bottom w:val="none" w:sz="0" w:space="0" w:color="auto"/>
            <w:right w:val="none" w:sz="0" w:space="0" w:color="auto"/>
          </w:divBdr>
        </w:div>
        <w:div w:id="1711177402">
          <w:marLeft w:val="0"/>
          <w:marRight w:val="0"/>
          <w:marTop w:val="0"/>
          <w:marBottom w:val="0"/>
          <w:divBdr>
            <w:top w:val="none" w:sz="0" w:space="0" w:color="auto"/>
            <w:left w:val="none" w:sz="0" w:space="0" w:color="auto"/>
            <w:bottom w:val="none" w:sz="0" w:space="0" w:color="auto"/>
            <w:right w:val="none" w:sz="0" w:space="0" w:color="auto"/>
          </w:divBdr>
        </w:div>
      </w:divsChild>
    </w:div>
    <w:div w:id="1540320836">
      <w:bodyDiv w:val="1"/>
      <w:marLeft w:val="0"/>
      <w:marRight w:val="0"/>
      <w:marTop w:val="0"/>
      <w:marBottom w:val="0"/>
      <w:divBdr>
        <w:top w:val="none" w:sz="0" w:space="0" w:color="auto"/>
        <w:left w:val="none" w:sz="0" w:space="0" w:color="auto"/>
        <w:bottom w:val="none" w:sz="0" w:space="0" w:color="auto"/>
        <w:right w:val="none" w:sz="0" w:space="0" w:color="auto"/>
      </w:divBdr>
    </w:div>
    <w:div w:id="1573273815">
      <w:bodyDiv w:val="1"/>
      <w:marLeft w:val="0"/>
      <w:marRight w:val="0"/>
      <w:marTop w:val="0"/>
      <w:marBottom w:val="0"/>
      <w:divBdr>
        <w:top w:val="none" w:sz="0" w:space="0" w:color="auto"/>
        <w:left w:val="none" w:sz="0" w:space="0" w:color="auto"/>
        <w:bottom w:val="none" w:sz="0" w:space="0" w:color="auto"/>
        <w:right w:val="none" w:sz="0" w:space="0" w:color="auto"/>
      </w:divBdr>
    </w:div>
    <w:div w:id="1574005941">
      <w:bodyDiv w:val="1"/>
      <w:marLeft w:val="0"/>
      <w:marRight w:val="0"/>
      <w:marTop w:val="0"/>
      <w:marBottom w:val="0"/>
      <w:divBdr>
        <w:top w:val="none" w:sz="0" w:space="0" w:color="auto"/>
        <w:left w:val="none" w:sz="0" w:space="0" w:color="auto"/>
        <w:bottom w:val="none" w:sz="0" w:space="0" w:color="auto"/>
        <w:right w:val="none" w:sz="0" w:space="0" w:color="auto"/>
      </w:divBdr>
    </w:div>
    <w:div w:id="1603804658">
      <w:bodyDiv w:val="1"/>
      <w:marLeft w:val="0"/>
      <w:marRight w:val="0"/>
      <w:marTop w:val="0"/>
      <w:marBottom w:val="0"/>
      <w:divBdr>
        <w:top w:val="none" w:sz="0" w:space="0" w:color="auto"/>
        <w:left w:val="none" w:sz="0" w:space="0" w:color="auto"/>
        <w:bottom w:val="none" w:sz="0" w:space="0" w:color="auto"/>
        <w:right w:val="none" w:sz="0" w:space="0" w:color="auto"/>
      </w:divBdr>
    </w:div>
    <w:div w:id="1606229356">
      <w:bodyDiv w:val="1"/>
      <w:marLeft w:val="0"/>
      <w:marRight w:val="0"/>
      <w:marTop w:val="0"/>
      <w:marBottom w:val="0"/>
      <w:divBdr>
        <w:top w:val="none" w:sz="0" w:space="0" w:color="auto"/>
        <w:left w:val="none" w:sz="0" w:space="0" w:color="auto"/>
        <w:bottom w:val="none" w:sz="0" w:space="0" w:color="auto"/>
        <w:right w:val="none" w:sz="0" w:space="0" w:color="auto"/>
      </w:divBdr>
    </w:div>
    <w:div w:id="1606229471">
      <w:bodyDiv w:val="1"/>
      <w:marLeft w:val="0"/>
      <w:marRight w:val="0"/>
      <w:marTop w:val="0"/>
      <w:marBottom w:val="0"/>
      <w:divBdr>
        <w:top w:val="none" w:sz="0" w:space="0" w:color="auto"/>
        <w:left w:val="none" w:sz="0" w:space="0" w:color="auto"/>
        <w:bottom w:val="none" w:sz="0" w:space="0" w:color="auto"/>
        <w:right w:val="none" w:sz="0" w:space="0" w:color="auto"/>
      </w:divBdr>
    </w:div>
    <w:div w:id="1647008865">
      <w:bodyDiv w:val="1"/>
      <w:marLeft w:val="0"/>
      <w:marRight w:val="0"/>
      <w:marTop w:val="0"/>
      <w:marBottom w:val="0"/>
      <w:divBdr>
        <w:top w:val="none" w:sz="0" w:space="0" w:color="auto"/>
        <w:left w:val="none" w:sz="0" w:space="0" w:color="auto"/>
        <w:bottom w:val="none" w:sz="0" w:space="0" w:color="auto"/>
        <w:right w:val="none" w:sz="0" w:space="0" w:color="auto"/>
      </w:divBdr>
    </w:div>
    <w:div w:id="1664509589">
      <w:bodyDiv w:val="1"/>
      <w:marLeft w:val="0"/>
      <w:marRight w:val="0"/>
      <w:marTop w:val="0"/>
      <w:marBottom w:val="0"/>
      <w:divBdr>
        <w:top w:val="none" w:sz="0" w:space="0" w:color="auto"/>
        <w:left w:val="none" w:sz="0" w:space="0" w:color="auto"/>
        <w:bottom w:val="none" w:sz="0" w:space="0" w:color="auto"/>
        <w:right w:val="none" w:sz="0" w:space="0" w:color="auto"/>
      </w:divBdr>
    </w:div>
    <w:div w:id="1704213466">
      <w:bodyDiv w:val="1"/>
      <w:marLeft w:val="0"/>
      <w:marRight w:val="0"/>
      <w:marTop w:val="0"/>
      <w:marBottom w:val="0"/>
      <w:divBdr>
        <w:top w:val="none" w:sz="0" w:space="0" w:color="auto"/>
        <w:left w:val="none" w:sz="0" w:space="0" w:color="auto"/>
        <w:bottom w:val="none" w:sz="0" w:space="0" w:color="auto"/>
        <w:right w:val="none" w:sz="0" w:space="0" w:color="auto"/>
      </w:divBdr>
    </w:div>
    <w:div w:id="1745375709">
      <w:bodyDiv w:val="1"/>
      <w:marLeft w:val="0"/>
      <w:marRight w:val="0"/>
      <w:marTop w:val="0"/>
      <w:marBottom w:val="0"/>
      <w:divBdr>
        <w:top w:val="none" w:sz="0" w:space="0" w:color="auto"/>
        <w:left w:val="none" w:sz="0" w:space="0" w:color="auto"/>
        <w:bottom w:val="none" w:sz="0" w:space="0" w:color="auto"/>
        <w:right w:val="none" w:sz="0" w:space="0" w:color="auto"/>
      </w:divBdr>
    </w:div>
    <w:div w:id="1786775895">
      <w:bodyDiv w:val="1"/>
      <w:marLeft w:val="0"/>
      <w:marRight w:val="0"/>
      <w:marTop w:val="0"/>
      <w:marBottom w:val="0"/>
      <w:divBdr>
        <w:top w:val="none" w:sz="0" w:space="0" w:color="auto"/>
        <w:left w:val="none" w:sz="0" w:space="0" w:color="auto"/>
        <w:bottom w:val="none" w:sz="0" w:space="0" w:color="auto"/>
        <w:right w:val="none" w:sz="0" w:space="0" w:color="auto"/>
      </w:divBdr>
      <w:divsChild>
        <w:div w:id="11614728">
          <w:marLeft w:val="0"/>
          <w:marRight w:val="0"/>
          <w:marTop w:val="0"/>
          <w:marBottom w:val="0"/>
          <w:divBdr>
            <w:top w:val="none" w:sz="0" w:space="0" w:color="auto"/>
            <w:left w:val="none" w:sz="0" w:space="0" w:color="auto"/>
            <w:bottom w:val="none" w:sz="0" w:space="0" w:color="auto"/>
            <w:right w:val="none" w:sz="0" w:space="0" w:color="auto"/>
          </w:divBdr>
        </w:div>
        <w:div w:id="1783454012">
          <w:marLeft w:val="0"/>
          <w:marRight w:val="0"/>
          <w:marTop w:val="0"/>
          <w:marBottom w:val="0"/>
          <w:divBdr>
            <w:top w:val="none" w:sz="0" w:space="0" w:color="auto"/>
            <w:left w:val="none" w:sz="0" w:space="0" w:color="auto"/>
            <w:bottom w:val="none" w:sz="0" w:space="0" w:color="auto"/>
            <w:right w:val="none" w:sz="0" w:space="0" w:color="auto"/>
          </w:divBdr>
        </w:div>
        <w:div w:id="73861423">
          <w:marLeft w:val="0"/>
          <w:marRight w:val="0"/>
          <w:marTop w:val="0"/>
          <w:marBottom w:val="0"/>
          <w:divBdr>
            <w:top w:val="none" w:sz="0" w:space="0" w:color="auto"/>
            <w:left w:val="none" w:sz="0" w:space="0" w:color="auto"/>
            <w:bottom w:val="none" w:sz="0" w:space="0" w:color="auto"/>
            <w:right w:val="none" w:sz="0" w:space="0" w:color="auto"/>
          </w:divBdr>
        </w:div>
      </w:divsChild>
    </w:div>
    <w:div w:id="1787313357">
      <w:bodyDiv w:val="1"/>
      <w:marLeft w:val="0"/>
      <w:marRight w:val="0"/>
      <w:marTop w:val="0"/>
      <w:marBottom w:val="0"/>
      <w:divBdr>
        <w:top w:val="none" w:sz="0" w:space="0" w:color="auto"/>
        <w:left w:val="none" w:sz="0" w:space="0" w:color="auto"/>
        <w:bottom w:val="none" w:sz="0" w:space="0" w:color="auto"/>
        <w:right w:val="none" w:sz="0" w:space="0" w:color="auto"/>
      </w:divBdr>
    </w:div>
    <w:div w:id="1790009866">
      <w:bodyDiv w:val="1"/>
      <w:marLeft w:val="0"/>
      <w:marRight w:val="0"/>
      <w:marTop w:val="0"/>
      <w:marBottom w:val="0"/>
      <w:divBdr>
        <w:top w:val="none" w:sz="0" w:space="0" w:color="auto"/>
        <w:left w:val="none" w:sz="0" w:space="0" w:color="auto"/>
        <w:bottom w:val="none" w:sz="0" w:space="0" w:color="auto"/>
        <w:right w:val="none" w:sz="0" w:space="0" w:color="auto"/>
      </w:divBdr>
    </w:div>
    <w:div w:id="1794061386">
      <w:bodyDiv w:val="1"/>
      <w:marLeft w:val="0"/>
      <w:marRight w:val="0"/>
      <w:marTop w:val="0"/>
      <w:marBottom w:val="0"/>
      <w:divBdr>
        <w:top w:val="none" w:sz="0" w:space="0" w:color="auto"/>
        <w:left w:val="none" w:sz="0" w:space="0" w:color="auto"/>
        <w:bottom w:val="none" w:sz="0" w:space="0" w:color="auto"/>
        <w:right w:val="none" w:sz="0" w:space="0" w:color="auto"/>
      </w:divBdr>
    </w:div>
    <w:div w:id="1885210039">
      <w:bodyDiv w:val="1"/>
      <w:marLeft w:val="0"/>
      <w:marRight w:val="0"/>
      <w:marTop w:val="0"/>
      <w:marBottom w:val="0"/>
      <w:divBdr>
        <w:top w:val="none" w:sz="0" w:space="0" w:color="auto"/>
        <w:left w:val="none" w:sz="0" w:space="0" w:color="auto"/>
        <w:bottom w:val="none" w:sz="0" w:space="0" w:color="auto"/>
        <w:right w:val="none" w:sz="0" w:space="0" w:color="auto"/>
      </w:divBdr>
    </w:div>
    <w:div w:id="1908176511">
      <w:bodyDiv w:val="1"/>
      <w:marLeft w:val="0"/>
      <w:marRight w:val="0"/>
      <w:marTop w:val="0"/>
      <w:marBottom w:val="0"/>
      <w:divBdr>
        <w:top w:val="none" w:sz="0" w:space="0" w:color="auto"/>
        <w:left w:val="none" w:sz="0" w:space="0" w:color="auto"/>
        <w:bottom w:val="none" w:sz="0" w:space="0" w:color="auto"/>
        <w:right w:val="none" w:sz="0" w:space="0" w:color="auto"/>
      </w:divBdr>
    </w:div>
    <w:div w:id="1914391712">
      <w:bodyDiv w:val="1"/>
      <w:marLeft w:val="0"/>
      <w:marRight w:val="0"/>
      <w:marTop w:val="0"/>
      <w:marBottom w:val="0"/>
      <w:divBdr>
        <w:top w:val="none" w:sz="0" w:space="0" w:color="auto"/>
        <w:left w:val="none" w:sz="0" w:space="0" w:color="auto"/>
        <w:bottom w:val="none" w:sz="0" w:space="0" w:color="auto"/>
        <w:right w:val="none" w:sz="0" w:space="0" w:color="auto"/>
      </w:divBdr>
    </w:div>
    <w:div w:id="1995136391">
      <w:bodyDiv w:val="1"/>
      <w:marLeft w:val="0"/>
      <w:marRight w:val="0"/>
      <w:marTop w:val="0"/>
      <w:marBottom w:val="0"/>
      <w:divBdr>
        <w:top w:val="none" w:sz="0" w:space="0" w:color="auto"/>
        <w:left w:val="none" w:sz="0" w:space="0" w:color="auto"/>
        <w:bottom w:val="none" w:sz="0" w:space="0" w:color="auto"/>
        <w:right w:val="none" w:sz="0" w:space="0" w:color="auto"/>
      </w:divBdr>
    </w:div>
    <w:div w:id="2023975078">
      <w:bodyDiv w:val="1"/>
      <w:marLeft w:val="0"/>
      <w:marRight w:val="0"/>
      <w:marTop w:val="0"/>
      <w:marBottom w:val="0"/>
      <w:divBdr>
        <w:top w:val="none" w:sz="0" w:space="0" w:color="auto"/>
        <w:left w:val="none" w:sz="0" w:space="0" w:color="auto"/>
        <w:bottom w:val="none" w:sz="0" w:space="0" w:color="auto"/>
        <w:right w:val="none" w:sz="0" w:space="0" w:color="auto"/>
      </w:divBdr>
    </w:div>
    <w:div w:id="2043901692">
      <w:bodyDiv w:val="1"/>
      <w:marLeft w:val="0"/>
      <w:marRight w:val="0"/>
      <w:marTop w:val="0"/>
      <w:marBottom w:val="0"/>
      <w:divBdr>
        <w:top w:val="none" w:sz="0" w:space="0" w:color="auto"/>
        <w:left w:val="none" w:sz="0" w:space="0" w:color="auto"/>
        <w:bottom w:val="none" w:sz="0" w:space="0" w:color="auto"/>
        <w:right w:val="none" w:sz="0" w:space="0" w:color="auto"/>
      </w:divBdr>
    </w:div>
    <w:div w:id="2058551317">
      <w:bodyDiv w:val="1"/>
      <w:marLeft w:val="0"/>
      <w:marRight w:val="0"/>
      <w:marTop w:val="0"/>
      <w:marBottom w:val="0"/>
      <w:divBdr>
        <w:top w:val="none" w:sz="0" w:space="0" w:color="auto"/>
        <w:left w:val="none" w:sz="0" w:space="0" w:color="auto"/>
        <w:bottom w:val="none" w:sz="0" w:space="0" w:color="auto"/>
        <w:right w:val="none" w:sz="0" w:space="0" w:color="auto"/>
      </w:divBdr>
    </w:div>
    <w:div w:id="2079326663">
      <w:bodyDiv w:val="1"/>
      <w:marLeft w:val="0"/>
      <w:marRight w:val="0"/>
      <w:marTop w:val="0"/>
      <w:marBottom w:val="0"/>
      <w:divBdr>
        <w:top w:val="none" w:sz="0" w:space="0" w:color="auto"/>
        <w:left w:val="none" w:sz="0" w:space="0" w:color="auto"/>
        <w:bottom w:val="none" w:sz="0" w:space="0" w:color="auto"/>
        <w:right w:val="none" w:sz="0" w:space="0" w:color="auto"/>
      </w:divBdr>
    </w:div>
    <w:div w:id="2103522086">
      <w:bodyDiv w:val="1"/>
      <w:marLeft w:val="0"/>
      <w:marRight w:val="0"/>
      <w:marTop w:val="0"/>
      <w:marBottom w:val="0"/>
      <w:divBdr>
        <w:top w:val="none" w:sz="0" w:space="0" w:color="auto"/>
        <w:left w:val="none" w:sz="0" w:space="0" w:color="auto"/>
        <w:bottom w:val="none" w:sz="0" w:space="0" w:color="auto"/>
        <w:right w:val="none" w:sz="0" w:space="0" w:color="auto"/>
      </w:divBdr>
    </w:div>
    <w:div w:id="2111507457">
      <w:bodyDiv w:val="1"/>
      <w:marLeft w:val="0"/>
      <w:marRight w:val="0"/>
      <w:marTop w:val="0"/>
      <w:marBottom w:val="0"/>
      <w:divBdr>
        <w:top w:val="none" w:sz="0" w:space="0" w:color="auto"/>
        <w:left w:val="none" w:sz="0" w:space="0" w:color="auto"/>
        <w:bottom w:val="none" w:sz="0" w:space="0" w:color="auto"/>
        <w:right w:val="none" w:sz="0" w:space="0" w:color="auto"/>
      </w:divBdr>
    </w:div>
    <w:div w:id="213740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view.officeapps.live.com/op/view.aspx?src=https%3A%2F%2Fwww.nwlondonicb.nhs.uk%2Fapplication%2Ffiles%2F7817%2F7211%2F7167%2F2026.01.28_NW_London_ICB__NC_London_Board_in_common_public_Questions_Answers_PUBLISH.docx&amp;wdOrigin=BROWSELIN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264371ABF1AD4CBDA1F81EA885DEF7" ma:contentTypeVersion="15" ma:contentTypeDescription="Create a new document." ma:contentTypeScope="" ma:versionID="4f64cf34f794b2e3292ec6ca3e3ad951">
  <xsd:schema xmlns:xsd="http://www.w3.org/2001/XMLSchema" xmlns:xs="http://www.w3.org/2001/XMLSchema" xmlns:p="http://schemas.microsoft.com/office/2006/metadata/properties" xmlns:ns1="http://schemas.microsoft.com/sharepoint/v3" xmlns:ns2="c0465fe9-8c4a-4743-aefb-9584860a58e6" xmlns:ns3="3a221cb6-e07f-4328-9116-637b7ef455bc" targetNamespace="http://schemas.microsoft.com/office/2006/metadata/properties" ma:root="true" ma:fieldsID="3e7cbd7c0c8e68f6ae9869fcc96e4d9f" ns1:_="" ns2:_="" ns3:_="">
    <xsd:import namespace="http://schemas.microsoft.com/sharepoint/v3"/>
    <xsd:import namespace="c0465fe9-8c4a-4743-aefb-9584860a58e6"/>
    <xsd:import namespace="3a221cb6-e07f-4328-9116-637b7ef455b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1:_ip_UnifiedCompliancePolicyProperties" minOccurs="0"/>
                <xsd:element ref="ns1:_ip_UnifiedCompliancePolicyUIAc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65fe9-8c4a-4743-aefb-9584860a58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221cb6-e07f-4328-9116-637b7ef455b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fdd2d0f-b5f7-4e1f-b7ca-970d35daec79}" ma:internalName="TaxCatchAll" ma:showField="CatchAllData" ma:web="3a221cb6-e07f-4328-9116-637b7ef455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c0465fe9-8c4a-4743-aefb-9584860a58e6">
      <Terms xmlns="http://schemas.microsoft.com/office/infopath/2007/PartnerControls"/>
    </lcf76f155ced4ddcb4097134ff3c332f>
    <TaxCatchAll xmlns="3a221cb6-e07f-4328-9116-637b7ef455bc" xsi:nil="true"/>
  </documentManagement>
</p:properties>
</file>

<file path=customXml/itemProps1.xml><?xml version="1.0" encoding="utf-8"?>
<ds:datastoreItem xmlns:ds="http://schemas.openxmlformats.org/officeDocument/2006/customXml" ds:itemID="{5CFF8885-DEDA-41B4-B1EF-197C5501CA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0465fe9-8c4a-4743-aefb-9584860a58e6"/>
    <ds:schemaRef ds:uri="3a221cb6-e07f-4328-9116-637b7ef455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CC962F-DF07-44DF-A25D-EA41D6C51C2A}">
  <ds:schemaRefs>
    <ds:schemaRef ds:uri="http://schemas.microsoft.com/sharepoint/v3/contenttype/forms"/>
  </ds:schemaRefs>
</ds:datastoreItem>
</file>

<file path=customXml/itemProps3.xml><?xml version="1.0" encoding="utf-8"?>
<ds:datastoreItem xmlns:ds="http://schemas.openxmlformats.org/officeDocument/2006/customXml" ds:itemID="{A02613A5-2D26-467C-9727-559198C2B6EE}">
  <ds:schemaRefs>
    <ds:schemaRef ds:uri="http://schemas.microsoft.com/office/2006/metadata/properties"/>
    <ds:schemaRef ds:uri="http://schemas.microsoft.com/office/infopath/2007/PartnerControls"/>
    <ds:schemaRef ds:uri="http://schemas.microsoft.com/sharepoint/v3"/>
    <ds:schemaRef ds:uri="c0465fe9-8c4a-4743-aefb-9584860a58e6"/>
    <ds:schemaRef ds:uri="3a221cb6-e07f-4328-9116-637b7ef455b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3572</Words>
  <Characters>20365</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NWLONDONCCGS</Company>
  <LinksUpToDate>false</LinksUpToDate>
  <CharactersWithSpaces>23890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Wall</dc:creator>
  <cp:keywords/>
  <dc:description/>
  <cp:lastModifiedBy>Andrew Pike</cp:lastModifiedBy>
  <cp:revision>3</cp:revision>
  <cp:lastPrinted>2023-10-16T15:06:00Z</cp:lastPrinted>
  <dcterms:created xsi:type="dcterms:W3CDTF">2026-03-24T14:03:00Z</dcterms:created>
  <dcterms:modified xsi:type="dcterms:W3CDTF">2026-03-24T16:33:00Z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0x010100F4264371ABF1AD4CBDA1F81EA885DEF7</vt:lpwstr>
  </property>
  <property fmtid="{D5CDD505-2E9C-101B-9397-08002B2CF9AE}" pid="3" name="MediaServiceImageTags">
    <vt:lpwstr/>
  </property>
</Properties>
</file>