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91238" w14:textId="77777777" w:rsidR="0033552D" w:rsidRDefault="00A66BEB" w:rsidP="00AD78BC">
      <w:pPr>
        <w:pStyle w:val="NCLBodyText"/>
        <w:spacing w:before="0"/>
        <w:jc w:val="right"/>
      </w:pPr>
      <w:r>
        <w:rPr>
          <w:noProof/>
          <w:lang w:eastAsia="en-GB"/>
        </w:rPr>
        <w:drawing>
          <wp:inline distT="0" distB="0" distL="0" distR="0" wp14:anchorId="63564FBB" wp14:editId="5CE1AA7B">
            <wp:extent cx="889200" cy="360000"/>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colou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9200" cy="360000"/>
                    </a:xfrm>
                    <a:prstGeom prst="rect">
                      <a:avLst/>
                    </a:prstGeom>
                  </pic:spPr>
                </pic:pic>
              </a:graphicData>
            </a:graphic>
          </wp:inline>
        </w:drawing>
      </w:r>
    </w:p>
    <w:p w14:paraId="426CAD95" w14:textId="77777777" w:rsidR="00FB29AA" w:rsidRDefault="00FB29AA" w:rsidP="00AD78BC">
      <w:pPr>
        <w:pStyle w:val="NCLBodyText"/>
        <w:spacing w:before="0"/>
        <w:jc w:val="right"/>
      </w:pPr>
    </w:p>
    <w:p w14:paraId="5E4C12A8" w14:textId="77777777" w:rsidR="0074256D" w:rsidRDefault="0074256D" w:rsidP="00AD78BC">
      <w:pPr>
        <w:pStyle w:val="NCLBodyText"/>
        <w:spacing w:before="0"/>
        <w:jc w:val="right"/>
      </w:pPr>
    </w:p>
    <w:p w14:paraId="2774AC98" w14:textId="77777777" w:rsidR="008A5E15" w:rsidRPr="001D3047" w:rsidRDefault="00A3435B" w:rsidP="00AD78BC">
      <w:pPr>
        <w:pStyle w:val="NCLBodyText"/>
        <w:spacing w:before="0"/>
        <w:jc w:val="right"/>
        <w:rPr>
          <w:rFonts w:ascii="Arial" w:hAnsi="Arial" w:cs="Arial"/>
          <w:b/>
          <w:color w:val="0072C6"/>
          <w:sz w:val="24"/>
        </w:rPr>
      </w:pPr>
      <w:r w:rsidRPr="001D3047">
        <w:rPr>
          <w:rFonts w:ascii="Arial" w:hAnsi="Arial" w:cs="Arial"/>
          <w:b/>
          <w:color w:val="0072C6"/>
          <w:sz w:val="24"/>
        </w:rPr>
        <w:t>N</w:t>
      </w:r>
      <w:r w:rsidR="00CF04B0" w:rsidRPr="001D3047">
        <w:rPr>
          <w:rFonts w:ascii="Arial" w:hAnsi="Arial" w:cs="Arial"/>
          <w:b/>
          <w:color w:val="0072C6"/>
          <w:sz w:val="24"/>
        </w:rPr>
        <w:t>orth Central London</w:t>
      </w:r>
    </w:p>
    <w:p w14:paraId="420E1CD5" w14:textId="77777777" w:rsidR="008A5E15" w:rsidRDefault="00CF04B0" w:rsidP="00AD78BC">
      <w:pPr>
        <w:pStyle w:val="NCLBodyText"/>
        <w:spacing w:before="0"/>
        <w:jc w:val="right"/>
        <w:rPr>
          <w:rFonts w:ascii="Arial" w:hAnsi="Arial" w:cs="Arial"/>
          <w:b/>
          <w:color w:val="0072C6"/>
          <w:sz w:val="24"/>
        </w:rPr>
      </w:pPr>
      <w:r w:rsidRPr="001D3047">
        <w:rPr>
          <w:rFonts w:ascii="Arial" w:hAnsi="Arial" w:cs="Arial"/>
          <w:b/>
          <w:color w:val="0072C6"/>
          <w:sz w:val="24"/>
        </w:rPr>
        <w:t>Joint Formulary Committee</w:t>
      </w:r>
    </w:p>
    <w:p w14:paraId="3274FA83" w14:textId="77777777" w:rsidR="00D46B50" w:rsidRPr="001D3047" w:rsidRDefault="00D46B50" w:rsidP="00AD78BC">
      <w:pPr>
        <w:pStyle w:val="NCLBodyText"/>
        <w:spacing w:before="0"/>
        <w:jc w:val="right"/>
        <w:rPr>
          <w:rFonts w:ascii="Arial" w:hAnsi="Arial" w:cs="Arial"/>
          <w:b/>
          <w:color w:val="0072C6"/>
          <w:sz w:val="24"/>
        </w:rPr>
      </w:pPr>
    </w:p>
    <w:p w14:paraId="4CBB32FB" w14:textId="77777777" w:rsidR="008A5E15" w:rsidRDefault="008A5E15" w:rsidP="008A5E15">
      <w:pPr>
        <w:pStyle w:val="Header"/>
      </w:pPr>
    </w:p>
    <w:tbl>
      <w:tblPr>
        <w:tblpPr w:leftFromText="180" w:rightFromText="180" w:vertAnchor="text" w:horzAnchor="margin" w:tblpYSpec="top"/>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548DD4" w:themeFill="text2" w:themeFillTint="99"/>
        <w:tblLook w:val="0000" w:firstRow="0" w:lastRow="0" w:firstColumn="0" w:lastColumn="0" w:noHBand="0" w:noVBand="0"/>
      </w:tblPr>
      <w:tblGrid>
        <w:gridCol w:w="9302"/>
      </w:tblGrid>
      <w:tr w:rsidR="004C79B4" w14:paraId="325CCE40" w14:textId="77777777" w:rsidTr="00D46B50">
        <w:tc>
          <w:tcPr>
            <w:tcW w:w="9446" w:type="dxa"/>
            <w:tcBorders>
              <w:top w:val="single" w:sz="12" w:space="0" w:color="C0C0C0"/>
              <w:left w:val="single" w:sz="12" w:space="0" w:color="C0C0C0"/>
              <w:bottom w:val="single" w:sz="12" w:space="0" w:color="C0C0C0"/>
              <w:right w:val="single" w:sz="12" w:space="0" w:color="C0C0C0"/>
            </w:tcBorders>
            <w:shd w:val="clear" w:color="auto" w:fill="548DD4" w:themeFill="text2" w:themeFillTint="99"/>
            <w:tcMar>
              <w:top w:w="57" w:type="dxa"/>
              <w:left w:w="57" w:type="dxa"/>
              <w:bottom w:w="57" w:type="dxa"/>
              <w:right w:w="57" w:type="dxa"/>
            </w:tcMar>
            <w:vAlign w:val="center"/>
          </w:tcPr>
          <w:p w14:paraId="449F9449" w14:textId="1AFBBA39" w:rsidR="00D46B50" w:rsidRPr="00D46B50" w:rsidRDefault="00D46B50" w:rsidP="00D46B50">
            <w:pPr>
              <w:spacing w:after="0"/>
              <w:jc w:val="center"/>
              <w:rPr>
                <w:rFonts w:cs="Arial"/>
                <w:b/>
                <w:color w:val="FFFFFF" w:themeColor="background1"/>
                <w:spacing w:val="30"/>
                <w:sz w:val="36"/>
                <w:szCs w:val="22"/>
              </w:rPr>
            </w:pPr>
            <w:r w:rsidRPr="00D46B50">
              <w:rPr>
                <w:rFonts w:cs="Arial"/>
                <w:b/>
                <w:color w:val="FFFFFF" w:themeColor="background1"/>
                <w:spacing w:val="30"/>
                <w:sz w:val="36"/>
                <w:szCs w:val="22"/>
              </w:rPr>
              <w:t>Shared Care Guideline</w:t>
            </w:r>
          </w:p>
          <w:p w14:paraId="7AC60D5E" w14:textId="77777777" w:rsidR="00433776" w:rsidRDefault="00433776" w:rsidP="00D46B50">
            <w:pPr>
              <w:spacing w:after="0"/>
              <w:jc w:val="center"/>
              <w:rPr>
                <w:rFonts w:cs="Arial"/>
                <w:b/>
                <w:color w:val="FFFFFF" w:themeColor="background1"/>
                <w:spacing w:val="30"/>
                <w:sz w:val="36"/>
                <w:szCs w:val="22"/>
              </w:rPr>
            </w:pPr>
            <w:r>
              <w:rPr>
                <w:rFonts w:cs="Arial"/>
                <w:b/>
                <w:color w:val="FFFFFF" w:themeColor="background1"/>
                <w:spacing w:val="30"/>
                <w:sz w:val="36"/>
                <w:szCs w:val="22"/>
              </w:rPr>
              <w:t>Riluzole</w:t>
            </w:r>
          </w:p>
          <w:p w14:paraId="17C3172D" w14:textId="55A78492" w:rsidR="004C79B4" w:rsidRPr="004C79B4" w:rsidRDefault="00D46B50" w:rsidP="00D46B50">
            <w:pPr>
              <w:spacing w:after="0"/>
              <w:jc w:val="center"/>
              <w:rPr>
                <w:rFonts w:cs="Arial"/>
                <w:b/>
                <w:color w:val="333333"/>
                <w:spacing w:val="30"/>
                <w:sz w:val="36"/>
                <w:szCs w:val="22"/>
              </w:rPr>
            </w:pPr>
            <w:r w:rsidRPr="00D46B50">
              <w:rPr>
                <w:rFonts w:cs="Arial"/>
                <w:b/>
                <w:color w:val="FFFFFF" w:themeColor="background1"/>
                <w:spacing w:val="30"/>
                <w:sz w:val="36"/>
                <w:szCs w:val="22"/>
              </w:rPr>
              <w:t>T</w:t>
            </w:r>
            <w:r w:rsidR="00433776">
              <w:rPr>
                <w:rFonts w:cs="Arial"/>
                <w:b/>
                <w:color w:val="FFFFFF" w:themeColor="background1"/>
                <w:spacing w:val="30"/>
                <w:sz w:val="36"/>
                <w:szCs w:val="22"/>
              </w:rPr>
              <w:t>reatment of Motor Neurone Disease</w:t>
            </w:r>
          </w:p>
        </w:tc>
      </w:tr>
    </w:tbl>
    <w:p w14:paraId="2D6129DE" w14:textId="77777777" w:rsidR="00367357" w:rsidRDefault="00367357" w:rsidP="00F6177F">
      <w:pPr>
        <w:pStyle w:val="NCLBodyText"/>
      </w:pPr>
    </w:p>
    <w:p w14:paraId="03900178" w14:textId="77777777" w:rsidR="00D46B50" w:rsidRDefault="00D46B50" w:rsidP="00D46B50">
      <w:pPr>
        <w:pStyle w:val="NCLBodyText"/>
      </w:pPr>
      <w:r>
        <w:t>Dear GP</w:t>
      </w:r>
    </w:p>
    <w:p w14:paraId="46950793" w14:textId="77777777" w:rsidR="00D46B50" w:rsidRDefault="00D46B50" w:rsidP="00D46B50">
      <w:pPr>
        <w:pStyle w:val="NCLBodyText"/>
      </w:pPr>
      <w:r>
        <w:t xml:space="preserve">The information in the shared care guideline has been developed in consultation with Primary Care and it has been agreed that it is suitable for shared care. </w:t>
      </w:r>
    </w:p>
    <w:p w14:paraId="5E5067F8" w14:textId="77777777" w:rsidR="00367357" w:rsidRDefault="00D46B50" w:rsidP="00D46B50">
      <w:pPr>
        <w:pStyle w:val="NCLBodyText"/>
      </w:pPr>
      <w:r>
        <w:t xml:space="preserve">Sharing of care assumes communication between the specialist, GP and patient. The intention to share care should be explained to the patient by the Consultant when treatment is initiated. It is important that patients are consulted about treatment and </w:t>
      </w:r>
      <w:proofErr w:type="gramStart"/>
      <w:r>
        <w:t>are in agreement</w:t>
      </w:r>
      <w:proofErr w:type="gramEnd"/>
      <w:r>
        <w:t xml:space="preserve"> with it.</w:t>
      </w:r>
    </w:p>
    <w:p w14:paraId="4DB17F91" w14:textId="77777777" w:rsidR="00D46B50" w:rsidRDefault="00D46B50" w:rsidP="009D2F4A">
      <w:pPr>
        <w:pStyle w:val="NCLBodyText"/>
        <w:spacing w:before="240" w:after="120"/>
        <w:rPr>
          <w:b/>
          <w:sz w:val="28"/>
        </w:rPr>
      </w:pPr>
    </w:p>
    <w:sdt>
      <w:sdtPr>
        <w:rPr>
          <w:rFonts w:eastAsiaTheme="minorHAnsi" w:cs="Calibri"/>
          <w:b w:val="0"/>
          <w:bCs w:val="0"/>
          <w:color w:val="auto"/>
          <w:sz w:val="22"/>
          <w:szCs w:val="22"/>
          <w:lang w:eastAsia="en-US"/>
        </w:rPr>
        <w:id w:val="479188048"/>
        <w:docPartObj>
          <w:docPartGallery w:val="Table of Contents"/>
          <w:docPartUnique/>
        </w:docPartObj>
      </w:sdtPr>
      <w:sdtContent>
        <w:p w14:paraId="2D77BBCA" w14:textId="77777777" w:rsidR="00ED5B2E" w:rsidRPr="00ED5B2E" w:rsidRDefault="00ED5B2E" w:rsidP="2AB8EA19">
          <w:pPr>
            <w:pStyle w:val="TOCHeading"/>
            <w:rPr>
              <w:color w:val="auto"/>
            </w:rPr>
          </w:pPr>
          <w:r w:rsidRPr="2AB8EA19">
            <w:rPr>
              <w:color w:val="auto"/>
            </w:rPr>
            <w:t>Contents</w:t>
          </w:r>
        </w:p>
        <w:p w14:paraId="656BED40" w14:textId="3E7F31BC" w:rsidR="008424FD" w:rsidRDefault="00000000" w:rsidP="2AB8EA19">
          <w:pPr>
            <w:pStyle w:val="TOC1"/>
            <w:tabs>
              <w:tab w:val="left" w:pos="435"/>
              <w:tab w:val="right" w:leader="dot" w:pos="9330"/>
            </w:tabs>
            <w:rPr>
              <w:rStyle w:val="Hyperlink"/>
              <w:noProof/>
              <w:lang w:eastAsia="en-GB"/>
            </w:rPr>
          </w:pPr>
          <w:r>
            <w:fldChar w:fldCharType="begin"/>
          </w:r>
          <w:r w:rsidR="00ED5B2E">
            <w:instrText>TOC \o "1-3" \h \z \u</w:instrText>
          </w:r>
          <w:r>
            <w:fldChar w:fldCharType="separate"/>
          </w:r>
          <w:hyperlink w:anchor="_Toc1103540995">
            <w:r w:rsidR="2AB8EA19" w:rsidRPr="2AB8EA19">
              <w:rPr>
                <w:rStyle w:val="Hyperlink"/>
              </w:rPr>
              <w:t>1.</w:t>
            </w:r>
            <w:r w:rsidR="00ED5B2E">
              <w:tab/>
            </w:r>
            <w:r w:rsidR="2AB8EA19" w:rsidRPr="2AB8EA19">
              <w:rPr>
                <w:rStyle w:val="Hyperlink"/>
              </w:rPr>
              <w:t>Introduction Target audience</w:t>
            </w:r>
            <w:r w:rsidR="00ED5B2E">
              <w:tab/>
            </w:r>
            <w:r w:rsidR="00ED5B2E">
              <w:fldChar w:fldCharType="begin"/>
            </w:r>
            <w:r w:rsidR="00ED5B2E">
              <w:instrText>PAGEREF _Toc1103540995 \h</w:instrText>
            </w:r>
            <w:r w:rsidR="00ED5B2E">
              <w:fldChar w:fldCharType="separate"/>
            </w:r>
            <w:r w:rsidR="00DE3C41">
              <w:rPr>
                <w:noProof/>
              </w:rPr>
              <w:t>2</w:t>
            </w:r>
            <w:r w:rsidR="00ED5B2E">
              <w:fldChar w:fldCharType="end"/>
            </w:r>
          </w:hyperlink>
        </w:p>
        <w:p w14:paraId="7879AB47" w14:textId="24EA9AD4" w:rsidR="008424FD" w:rsidRDefault="00000000" w:rsidP="2AB8EA19">
          <w:pPr>
            <w:pStyle w:val="TOC1"/>
            <w:tabs>
              <w:tab w:val="left" w:pos="435"/>
              <w:tab w:val="right" w:leader="dot" w:pos="9330"/>
            </w:tabs>
            <w:rPr>
              <w:rStyle w:val="Hyperlink"/>
              <w:noProof/>
              <w:lang w:eastAsia="en-GB"/>
            </w:rPr>
          </w:pPr>
          <w:hyperlink w:anchor="_Toc1387103871">
            <w:r w:rsidR="2AB8EA19" w:rsidRPr="2AB8EA19">
              <w:rPr>
                <w:rStyle w:val="Hyperlink"/>
              </w:rPr>
              <w:t>2.</w:t>
            </w:r>
            <w:r>
              <w:tab/>
            </w:r>
            <w:r w:rsidR="2AB8EA19" w:rsidRPr="2AB8EA19">
              <w:rPr>
                <w:rStyle w:val="Hyperlink"/>
              </w:rPr>
              <w:t>Shared Care criteria</w:t>
            </w:r>
            <w:r>
              <w:tab/>
            </w:r>
            <w:r>
              <w:fldChar w:fldCharType="begin"/>
            </w:r>
            <w:r>
              <w:instrText>PAGEREF _Toc1387103871 \h</w:instrText>
            </w:r>
            <w:r>
              <w:fldChar w:fldCharType="separate"/>
            </w:r>
            <w:r w:rsidR="00DE3C41">
              <w:rPr>
                <w:noProof/>
              </w:rPr>
              <w:t>2</w:t>
            </w:r>
            <w:r>
              <w:fldChar w:fldCharType="end"/>
            </w:r>
          </w:hyperlink>
        </w:p>
        <w:p w14:paraId="6EACCCBC" w14:textId="2E858133" w:rsidR="008424FD" w:rsidRDefault="00000000" w:rsidP="2AB8EA19">
          <w:pPr>
            <w:pStyle w:val="TOC1"/>
            <w:tabs>
              <w:tab w:val="left" w:pos="435"/>
              <w:tab w:val="right" w:leader="dot" w:pos="9330"/>
            </w:tabs>
            <w:rPr>
              <w:rStyle w:val="Hyperlink"/>
              <w:noProof/>
              <w:lang w:eastAsia="en-GB"/>
            </w:rPr>
          </w:pPr>
          <w:hyperlink w:anchor="_Toc1459961116">
            <w:r w:rsidR="2AB8EA19" w:rsidRPr="2AB8EA19">
              <w:rPr>
                <w:rStyle w:val="Hyperlink"/>
              </w:rPr>
              <w:t>3.</w:t>
            </w:r>
            <w:r>
              <w:tab/>
            </w:r>
            <w:r w:rsidR="2AB8EA19" w:rsidRPr="2AB8EA19">
              <w:rPr>
                <w:rStyle w:val="Hyperlink"/>
              </w:rPr>
              <w:t>Shared care responsibilities</w:t>
            </w:r>
            <w:r>
              <w:tab/>
            </w:r>
            <w:r>
              <w:fldChar w:fldCharType="begin"/>
            </w:r>
            <w:r>
              <w:instrText>PAGEREF _Toc1459961116 \h</w:instrText>
            </w:r>
            <w:r>
              <w:fldChar w:fldCharType="separate"/>
            </w:r>
            <w:r w:rsidR="00DE3C41">
              <w:rPr>
                <w:noProof/>
              </w:rPr>
              <w:t>3</w:t>
            </w:r>
            <w:r>
              <w:fldChar w:fldCharType="end"/>
            </w:r>
          </w:hyperlink>
        </w:p>
        <w:p w14:paraId="76373191" w14:textId="4FF451FA" w:rsidR="008424FD" w:rsidRDefault="00000000" w:rsidP="2AB8EA19">
          <w:pPr>
            <w:pStyle w:val="TOC2"/>
            <w:tabs>
              <w:tab w:val="left" w:pos="660"/>
              <w:tab w:val="right" w:leader="dot" w:pos="9330"/>
            </w:tabs>
            <w:rPr>
              <w:rStyle w:val="Hyperlink"/>
              <w:noProof/>
              <w:lang w:eastAsia="en-GB"/>
            </w:rPr>
          </w:pPr>
          <w:hyperlink w:anchor="_Toc1049125963">
            <w:r w:rsidR="2AB8EA19" w:rsidRPr="2AB8EA19">
              <w:rPr>
                <w:rStyle w:val="Hyperlink"/>
              </w:rPr>
              <w:t>3.1.</w:t>
            </w:r>
            <w:r>
              <w:tab/>
            </w:r>
            <w:r w:rsidR="2AB8EA19" w:rsidRPr="2AB8EA19">
              <w:rPr>
                <w:rStyle w:val="Hyperlink"/>
              </w:rPr>
              <w:t>Consultant and /or Specialist Nurse</w:t>
            </w:r>
            <w:r>
              <w:tab/>
            </w:r>
            <w:r>
              <w:fldChar w:fldCharType="begin"/>
            </w:r>
            <w:r>
              <w:instrText>PAGEREF _Toc1049125963 \h</w:instrText>
            </w:r>
            <w:r>
              <w:fldChar w:fldCharType="separate"/>
            </w:r>
            <w:r w:rsidR="00DE3C41">
              <w:rPr>
                <w:noProof/>
              </w:rPr>
              <w:t>3</w:t>
            </w:r>
            <w:r>
              <w:fldChar w:fldCharType="end"/>
            </w:r>
          </w:hyperlink>
        </w:p>
        <w:p w14:paraId="3E758FD2" w14:textId="0D12A9DC" w:rsidR="008424FD" w:rsidRDefault="00000000" w:rsidP="2AB8EA19">
          <w:pPr>
            <w:pStyle w:val="TOC2"/>
            <w:tabs>
              <w:tab w:val="left" w:pos="660"/>
              <w:tab w:val="right" w:leader="dot" w:pos="9330"/>
            </w:tabs>
            <w:rPr>
              <w:rStyle w:val="Hyperlink"/>
              <w:noProof/>
              <w:lang w:eastAsia="en-GB"/>
            </w:rPr>
          </w:pPr>
          <w:hyperlink w:anchor="_Toc767693770">
            <w:r w:rsidR="2AB8EA19" w:rsidRPr="2AB8EA19">
              <w:rPr>
                <w:rStyle w:val="Hyperlink"/>
              </w:rPr>
              <w:t>3.2.</w:t>
            </w:r>
            <w:r>
              <w:tab/>
            </w:r>
            <w:r w:rsidR="2AB8EA19" w:rsidRPr="2AB8EA19">
              <w:rPr>
                <w:rStyle w:val="Hyperlink"/>
              </w:rPr>
              <w:t>General Practitioner</w:t>
            </w:r>
            <w:r>
              <w:tab/>
            </w:r>
            <w:r>
              <w:fldChar w:fldCharType="begin"/>
            </w:r>
            <w:r>
              <w:instrText>PAGEREF _Toc767693770 \h</w:instrText>
            </w:r>
            <w:r>
              <w:fldChar w:fldCharType="separate"/>
            </w:r>
            <w:r w:rsidR="00DE3C41">
              <w:rPr>
                <w:noProof/>
              </w:rPr>
              <w:t>3</w:t>
            </w:r>
            <w:r>
              <w:fldChar w:fldCharType="end"/>
            </w:r>
          </w:hyperlink>
        </w:p>
        <w:p w14:paraId="3F1B46C7" w14:textId="6302706A" w:rsidR="008424FD" w:rsidRDefault="00000000" w:rsidP="2AB8EA19">
          <w:pPr>
            <w:pStyle w:val="TOC2"/>
            <w:tabs>
              <w:tab w:val="left" w:pos="660"/>
              <w:tab w:val="right" w:leader="dot" w:pos="9330"/>
            </w:tabs>
            <w:rPr>
              <w:rStyle w:val="Hyperlink"/>
              <w:noProof/>
              <w:lang w:eastAsia="en-GB"/>
            </w:rPr>
          </w:pPr>
          <w:hyperlink w:anchor="_Toc2089562152">
            <w:r w:rsidR="2AB8EA19" w:rsidRPr="2AB8EA19">
              <w:rPr>
                <w:rStyle w:val="Hyperlink"/>
              </w:rPr>
              <w:t>3.3.</w:t>
            </w:r>
            <w:r>
              <w:tab/>
            </w:r>
            <w:r w:rsidR="2AB8EA19" w:rsidRPr="2AB8EA19">
              <w:rPr>
                <w:rStyle w:val="Hyperlink"/>
              </w:rPr>
              <w:t>Patient responsibility</w:t>
            </w:r>
            <w:r>
              <w:tab/>
            </w:r>
            <w:r>
              <w:fldChar w:fldCharType="begin"/>
            </w:r>
            <w:r>
              <w:instrText>PAGEREF _Toc2089562152 \h</w:instrText>
            </w:r>
            <w:r>
              <w:fldChar w:fldCharType="separate"/>
            </w:r>
            <w:r w:rsidR="00DE3C41">
              <w:rPr>
                <w:noProof/>
              </w:rPr>
              <w:t>4</w:t>
            </w:r>
            <w:r>
              <w:fldChar w:fldCharType="end"/>
            </w:r>
          </w:hyperlink>
        </w:p>
        <w:p w14:paraId="147711D1" w14:textId="562874AB" w:rsidR="008424FD" w:rsidRDefault="00000000" w:rsidP="2AB8EA19">
          <w:pPr>
            <w:pStyle w:val="TOC2"/>
            <w:tabs>
              <w:tab w:val="left" w:pos="660"/>
              <w:tab w:val="right" w:leader="dot" w:pos="9330"/>
            </w:tabs>
            <w:rPr>
              <w:rStyle w:val="Hyperlink"/>
              <w:noProof/>
              <w:lang w:eastAsia="en-GB"/>
            </w:rPr>
          </w:pPr>
          <w:hyperlink w:anchor="_Toc881374600">
            <w:r w:rsidR="2AB8EA19" w:rsidRPr="2AB8EA19">
              <w:rPr>
                <w:rStyle w:val="Hyperlink"/>
              </w:rPr>
              <w:t>3.4.</w:t>
            </w:r>
            <w:r>
              <w:tab/>
            </w:r>
            <w:r w:rsidR="2AB8EA19" w:rsidRPr="2AB8EA19">
              <w:rPr>
                <w:rStyle w:val="Hyperlink"/>
              </w:rPr>
              <w:t>Clinical Commissioning Group</w:t>
            </w:r>
            <w:r>
              <w:tab/>
            </w:r>
            <w:r>
              <w:fldChar w:fldCharType="begin"/>
            </w:r>
            <w:r>
              <w:instrText>PAGEREF _Toc881374600 \h</w:instrText>
            </w:r>
            <w:r>
              <w:fldChar w:fldCharType="separate"/>
            </w:r>
            <w:r w:rsidR="00DE3C41">
              <w:rPr>
                <w:noProof/>
              </w:rPr>
              <w:t>4</w:t>
            </w:r>
            <w:r>
              <w:fldChar w:fldCharType="end"/>
            </w:r>
          </w:hyperlink>
        </w:p>
        <w:p w14:paraId="36F34A61" w14:textId="41658B8D" w:rsidR="008424FD" w:rsidRDefault="00000000" w:rsidP="2AB8EA19">
          <w:pPr>
            <w:pStyle w:val="TOC1"/>
            <w:tabs>
              <w:tab w:val="left" w:pos="435"/>
              <w:tab w:val="right" w:leader="dot" w:pos="9330"/>
            </w:tabs>
            <w:rPr>
              <w:rStyle w:val="Hyperlink"/>
              <w:noProof/>
              <w:lang w:eastAsia="en-GB"/>
            </w:rPr>
          </w:pPr>
          <w:hyperlink w:anchor="_Toc555450346">
            <w:r w:rsidR="2AB8EA19" w:rsidRPr="2AB8EA19">
              <w:rPr>
                <w:rStyle w:val="Hyperlink"/>
              </w:rPr>
              <w:t>4.</w:t>
            </w:r>
            <w:r>
              <w:tab/>
            </w:r>
            <w:r w:rsidR="2AB8EA19" w:rsidRPr="2AB8EA19">
              <w:rPr>
                <w:rStyle w:val="Hyperlink"/>
              </w:rPr>
              <w:t>Indications</w:t>
            </w:r>
            <w:r>
              <w:tab/>
            </w:r>
            <w:r>
              <w:fldChar w:fldCharType="begin"/>
            </w:r>
            <w:r>
              <w:instrText>PAGEREF _Toc555450346 \h</w:instrText>
            </w:r>
            <w:r>
              <w:fldChar w:fldCharType="separate"/>
            </w:r>
            <w:r w:rsidR="00DE3C41">
              <w:rPr>
                <w:noProof/>
              </w:rPr>
              <w:t>4</w:t>
            </w:r>
            <w:r>
              <w:fldChar w:fldCharType="end"/>
            </w:r>
          </w:hyperlink>
        </w:p>
        <w:p w14:paraId="2E7941B5" w14:textId="07364729" w:rsidR="008424FD" w:rsidRDefault="00000000" w:rsidP="2AB8EA19">
          <w:pPr>
            <w:pStyle w:val="TOC1"/>
            <w:tabs>
              <w:tab w:val="left" w:pos="435"/>
              <w:tab w:val="right" w:leader="dot" w:pos="9330"/>
            </w:tabs>
            <w:rPr>
              <w:rStyle w:val="Hyperlink"/>
              <w:noProof/>
              <w:lang w:eastAsia="en-GB"/>
            </w:rPr>
          </w:pPr>
          <w:hyperlink w:anchor="_Toc770275333">
            <w:r w:rsidR="2AB8EA19" w:rsidRPr="2AB8EA19">
              <w:rPr>
                <w:rStyle w:val="Hyperlink"/>
              </w:rPr>
              <w:t>5.</w:t>
            </w:r>
            <w:r>
              <w:tab/>
            </w:r>
            <w:r w:rsidR="2AB8EA19" w:rsidRPr="2AB8EA19">
              <w:rPr>
                <w:rStyle w:val="Hyperlink"/>
              </w:rPr>
              <w:t>Dose and Administration</w:t>
            </w:r>
            <w:r>
              <w:tab/>
            </w:r>
            <w:r>
              <w:fldChar w:fldCharType="begin"/>
            </w:r>
            <w:r>
              <w:instrText>PAGEREF _Toc770275333 \h</w:instrText>
            </w:r>
            <w:r>
              <w:fldChar w:fldCharType="separate"/>
            </w:r>
            <w:r w:rsidR="00DE3C41">
              <w:rPr>
                <w:noProof/>
              </w:rPr>
              <w:t>4</w:t>
            </w:r>
            <w:r>
              <w:fldChar w:fldCharType="end"/>
            </w:r>
          </w:hyperlink>
        </w:p>
        <w:p w14:paraId="7CDA87C1" w14:textId="725CC18F" w:rsidR="008424FD" w:rsidRDefault="00000000" w:rsidP="2AB8EA19">
          <w:pPr>
            <w:pStyle w:val="TOC1"/>
            <w:tabs>
              <w:tab w:val="left" w:pos="435"/>
              <w:tab w:val="right" w:leader="dot" w:pos="9330"/>
            </w:tabs>
            <w:rPr>
              <w:rStyle w:val="Hyperlink"/>
              <w:noProof/>
              <w:lang w:eastAsia="en-GB"/>
            </w:rPr>
          </w:pPr>
          <w:hyperlink w:anchor="_Toc204279424">
            <w:r w:rsidR="2AB8EA19" w:rsidRPr="2AB8EA19">
              <w:rPr>
                <w:rStyle w:val="Hyperlink"/>
              </w:rPr>
              <w:t>6.</w:t>
            </w:r>
            <w:r>
              <w:tab/>
            </w:r>
            <w:r w:rsidR="2AB8EA19" w:rsidRPr="2AB8EA19">
              <w:rPr>
                <w:rStyle w:val="Hyperlink"/>
              </w:rPr>
              <w:t>Adverse effects</w:t>
            </w:r>
            <w:r>
              <w:tab/>
            </w:r>
            <w:r>
              <w:fldChar w:fldCharType="begin"/>
            </w:r>
            <w:r>
              <w:instrText>PAGEREF _Toc204279424 \h</w:instrText>
            </w:r>
            <w:r>
              <w:fldChar w:fldCharType="separate"/>
            </w:r>
            <w:r w:rsidR="00DE3C41">
              <w:rPr>
                <w:noProof/>
              </w:rPr>
              <w:t>4</w:t>
            </w:r>
            <w:r>
              <w:fldChar w:fldCharType="end"/>
            </w:r>
          </w:hyperlink>
        </w:p>
        <w:p w14:paraId="6696F07F" w14:textId="571C6A35" w:rsidR="008424FD" w:rsidRDefault="00000000" w:rsidP="2AB8EA19">
          <w:pPr>
            <w:pStyle w:val="TOC1"/>
            <w:tabs>
              <w:tab w:val="left" w:pos="435"/>
              <w:tab w:val="right" w:leader="dot" w:pos="9330"/>
            </w:tabs>
            <w:rPr>
              <w:rStyle w:val="Hyperlink"/>
              <w:noProof/>
              <w:lang w:eastAsia="en-GB"/>
            </w:rPr>
          </w:pPr>
          <w:hyperlink w:anchor="_Toc512217853">
            <w:r w:rsidR="2AB8EA19" w:rsidRPr="2AB8EA19">
              <w:rPr>
                <w:rStyle w:val="Hyperlink"/>
              </w:rPr>
              <w:t>7.</w:t>
            </w:r>
            <w:r>
              <w:tab/>
            </w:r>
            <w:r w:rsidR="2AB8EA19" w:rsidRPr="2AB8EA19">
              <w:rPr>
                <w:rStyle w:val="Hyperlink"/>
              </w:rPr>
              <w:t>Cautions</w:t>
            </w:r>
            <w:r>
              <w:tab/>
            </w:r>
            <w:r>
              <w:fldChar w:fldCharType="begin"/>
            </w:r>
            <w:r>
              <w:instrText>PAGEREF _Toc512217853 \h</w:instrText>
            </w:r>
            <w:r>
              <w:fldChar w:fldCharType="separate"/>
            </w:r>
            <w:r w:rsidR="00DE3C41">
              <w:rPr>
                <w:noProof/>
              </w:rPr>
              <w:t>5</w:t>
            </w:r>
            <w:r>
              <w:fldChar w:fldCharType="end"/>
            </w:r>
          </w:hyperlink>
        </w:p>
        <w:p w14:paraId="47951BDE" w14:textId="7EBB9318" w:rsidR="008424FD" w:rsidRDefault="00000000" w:rsidP="2AB8EA19">
          <w:pPr>
            <w:pStyle w:val="TOC1"/>
            <w:tabs>
              <w:tab w:val="left" w:pos="435"/>
              <w:tab w:val="right" w:leader="dot" w:pos="9330"/>
            </w:tabs>
            <w:rPr>
              <w:rStyle w:val="Hyperlink"/>
              <w:noProof/>
              <w:lang w:eastAsia="en-GB"/>
            </w:rPr>
          </w:pPr>
          <w:hyperlink w:anchor="_Toc736491903">
            <w:r w:rsidR="2AB8EA19" w:rsidRPr="2AB8EA19">
              <w:rPr>
                <w:rStyle w:val="Hyperlink"/>
              </w:rPr>
              <w:t>8.</w:t>
            </w:r>
            <w:r>
              <w:tab/>
            </w:r>
            <w:r w:rsidR="2AB8EA19" w:rsidRPr="2AB8EA19">
              <w:rPr>
                <w:rStyle w:val="Hyperlink"/>
              </w:rPr>
              <w:t>Clinical Monitoring</w:t>
            </w:r>
            <w:r>
              <w:tab/>
            </w:r>
            <w:r>
              <w:fldChar w:fldCharType="begin"/>
            </w:r>
            <w:r>
              <w:instrText>PAGEREF _Toc736491903 \h</w:instrText>
            </w:r>
            <w:r>
              <w:fldChar w:fldCharType="separate"/>
            </w:r>
            <w:r w:rsidR="00DE3C41">
              <w:rPr>
                <w:noProof/>
              </w:rPr>
              <w:t>6</w:t>
            </w:r>
            <w:r>
              <w:fldChar w:fldCharType="end"/>
            </w:r>
          </w:hyperlink>
        </w:p>
        <w:p w14:paraId="3E5AE46C" w14:textId="0D6FF6B2" w:rsidR="008424FD" w:rsidRDefault="00000000" w:rsidP="2AB8EA19">
          <w:pPr>
            <w:pStyle w:val="TOC1"/>
            <w:tabs>
              <w:tab w:val="left" w:pos="435"/>
              <w:tab w:val="right" w:leader="dot" w:pos="9330"/>
            </w:tabs>
            <w:rPr>
              <w:rStyle w:val="Hyperlink"/>
              <w:noProof/>
              <w:lang w:eastAsia="en-GB"/>
            </w:rPr>
          </w:pPr>
          <w:hyperlink w:anchor="_Toc1910016689">
            <w:r w:rsidR="2AB8EA19" w:rsidRPr="2AB8EA19">
              <w:rPr>
                <w:rStyle w:val="Hyperlink"/>
              </w:rPr>
              <w:t>9.</w:t>
            </w:r>
            <w:r>
              <w:tab/>
            </w:r>
            <w:r w:rsidR="2AB8EA19" w:rsidRPr="2AB8EA19">
              <w:rPr>
                <w:rStyle w:val="Hyperlink"/>
              </w:rPr>
              <w:t>Contraindications</w:t>
            </w:r>
            <w:r>
              <w:tab/>
            </w:r>
            <w:r>
              <w:fldChar w:fldCharType="begin"/>
            </w:r>
            <w:r>
              <w:instrText>PAGEREF _Toc1910016689 \h</w:instrText>
            </w:r>
            <w:r>
              <w:fldChar w:fldCharType="separate"/>
            </w:r>
            <w:r w:rsidR="00DE3C41">
              <w:rPr>
                <w:noProof/>
              </w:rPr>
              <w:t>6</w:t>
            </w:r>
            <w:r>
              <w:fldChar w:fldCharType="end"/>
            </w:r>
          </w:hyperlink>
        </w:p>
        <w:p w14:paraId="3FF9D5BB" w14:textId="11962C33" w:rsidR="008424FD" w:rsidRDefault="00000000" w:rsidP="2AB8EA19">
          <w:pPr>
            <w:pStyle w:val="TOC1"/>
            <w:tabs>
              <w:tab w:val="left" w:pos="435"/>
              <w:tab w:val="right" w:leader="dot" w:pos="9330"/>
            </w:tabs>
            <w:rPr>
              <w:rStyle w:val="Hyperlink"/>
              <w:noProof/>
              <w:lang w:eastAsia="en-GB"/>
            </w:rPr>
          </w:pPr>
          <w:hyperlink w:anchor="_Toc578444189">
            <w:r w:rsidR="2AB8EA19" w:rsidRPr="2AB8EA19">
              <w:rPr>
                <w:rStyle w:val="Hyperlink"/>
              </w:rPr>
              <w:t>10.</w:t>
            </w:r>
            <w:r>
              <w:tab/>
            </w:r>
            <w:r w:rsidR="2AB8EA19" w:rsidRPr="2AB8EA19">
              <w:rPr>
                <w:rStyle w:val="Hyperlink"/>
              </w:rPr>
              <w:t>Drug Interactions</w:t>
            </w:r>
            <w:r>
              <w:tab/>
            </w:r>
            <w:r>
              <w:fldChar w:fldCharType="begin"/>
            </w:r>
            <w:r>
              <w:instrText>PAGEREF _Toc578444189 \h</w:instrText>
            </w:r>
            <w:r>
              <w:fldChar w:fldCharType="separate"/>
            </w:r>
            <w:r w:rsidR="00DE3C41">
              <w:rPr>
                <w:noProof/>
              </w:rPr>
              <w:t>6</w:t>
            </w:r>
            <w:r>
              <w:fldChar w:fldCharType="end"/>
            </w:r>
          </w:hyperlink>
        </w:p>
        <w:p w14:paraId="6E89403F" w14:textId="79442C41" w:rsidR="008424FD" w:rsidRDefault="00000000" w:rsidP="2AB8EA19">
          <w:pPr>
            <w:pStyle w:val="TOC1"/>
            <w:tabs>
              <w:tab w:val="left" w:pos="435"/>
              <w:tab w:val="right" w:leader="dot" w:pos="9330"/>
            </w:tabs>
            <w:rPr>
              <w:rStyle w:val="Hyperlink"/>
              <w:noProof/>
              <w:lang w:eastAsia="en-GB"/>
            </w:rPr>
          </w:pPr>
          <w:hyperlink w:anchor="_Toc1335672808">
            <w:r w:rsidR="2AB8EA19" w:rsidRPr="2AB8EA19">
              <w:rPr>
                <w:rStyle w:val="Hyperlink"/>
              </w:rPr>
              <w:t>11.</w:t>
            </w:r>
            <w:r>
              <w:tab/>
            </w:r>
            <w:r w:rsidR="2AB8EA19" w:rsidRPr="2AB8EA19">
              <w:rPr>
                <w:rStyle w:val="Hyperlink"/>
              </w:rPr>
              <w:t>References</w:t>
            </w:r>
            <w:r>
              <w:tab/>
            </w:r>
            <w:r>
              <w:fldChar w:fldCharType="begin"/>
            </w:r>
            <w:r>
              <w:instrText>PAGEREF _Toc1335672808 \h</w:instrText>
            </w:r>
            <w:r>
              <w:fldChar w:fldCharType="separate"/>
            </w:r>
            <w:r w:rsidR="00DE3C41">
              <w:rPr>
                <w:noProof/>
              </w:rPr>
              <w:t>7</w:t>
            </w:r>
            <w:r>
              <w:fldChar w:fldCharType="end"/>
            </w:r>
          </w:hyperlink>
        </w:p>
        <w:p w14:paraId="22729E82" w14:textId="30D2E06F" w:rsidR="008424FD" w:rsidRDefault="00000000" w:rsidP="2AB8EA19">
          <w:pPr>
            <w:pStyle w:val="TOC1"/>
            <w:tabs>
              <w:tab w:val="left" w:pos="435"/>
              <w:tab w:val="right" w:leader="dot" w:pos="9330"/>
            </w:tabs>
            <w:rPr>
              <w:rStyle w:val="Hyperlink"/>
              <w:noProof/>
              <w:lang w:eastAsia="en-GB"/>
            </w:rPr>
          </w:pPr>
          <w:hyperlink w:anchor="_Toc2013987899">
            <w:r w:rsidR="2AB8EA19" w:rsidRPr="2AB8EA19">
              <w:rPr>
                <w:rStyle w:val="Hyperlink"/>
              </w:rPr>
              <w:t>12.</w:t>
            </w:r>
            <w:r>
              <w:tab/>
            </w:r>
            <w:r w:rsidR="2AB8EA19" w:rsidRPr="2AB8EA19">
              <w:rPr>
                <w:rStyle w:val="Hyperlink"/>
              </w:rPr>
              <w:t>Contact Details</w:t>
            </w:r>
            <w:r>
              <w:tab/>
            </w:r>
            <w:r>
              <w:fldChar w:fldCharType="begin"/>
            </w:r>
            <w:r>
              <w:instrText>PAGEREF _Toc2013987899 \h</w:instrText>
            </w:r>
            <w:r>
              <w:fldChar w:fldCharType="separate"/>
            </w:r>
            <w:r w:rsidR="00DE3C41">
              <w:rPr>
                <w:noProof/>
              </w:rPr>
              <w:t>7</w:t>
            </w:r>
            <w:r>
              <w:fldChar w:fldCharType="end"/>
            </w:r>
          </w:hyperlink>
        </w:p>
        <w:p w14:paraId="2237B12D" w14:textId="3FBBC32B" w:rsidR="008424FD" w:rsidRDefault="00000000" w:rsidP="2AB8EA19">
          <w:pPr>
            <w:pStyle w:val="TOC1"/>
            <w:tabs>
              <w:tab w:val="right" w:leader="dot" w:pos="9330"/>
            </w:tabs>
            <w:rPr>
              <w:rStyle w:val="Hyperlink"/>
              <w:noProof/>
              <w:lang w:eastAsia="en-GB"/>
            </w:rPr>
          </w:pPr>
          <w:hyperlink w:anchor="_Toc1920860360">
            <w:r w:rsidR="2AB8EA19" w:rsidRPr="2AB8EA19">
              <w:rPr>
                <w:rStyle w:val="Hyperlink"/>
              </w:rPr>
              <w:t xml:space="preserve">Appendix 1: </w:t>
            </w:r>
            <w:r w:rsidR="004B5DD3">
              <w:rPr>
                <w:rStyle w:val="Hyperlink"/>
              </w:rPr>
              <w:t>Riluzole</w:t>
            </w:r>
            <w:r w:rsidR="2AB8EA19" w:rsidRPr="2AB8EA19">
              <w:rPr>
                <w:rStyle w:val="Hyperlink"/>
              </w:rPr>
              <w:t xml:space="preserve"> transfer form: from [Trust] to GP practice</w:t>
            </w:r>
            <w:r>
              <w:tab/>
            </w:r>
            <w:r>
              <w:fldChar w:fldCharType="begin"/>
            </w:r>
            <w:r>
              <w:instrText>PAGEREF _Toc1920860360 \h</w:instrText>
            </w:r>
            <w:r>
              <w:fldChar w:fldCharType="separate"/>
            </w:r>
            <w:r w:rsidR="00DE3C41">
              <w:rPr>
                <w:noProof/>
              </w:rPr>
              <w:t>9</w:t>
            </w:r>
            <w:r>
              <w:fldChar w:fldCharType="end"/>
            </w:r>
          </w:hyperlink>
          <w:r>
            <w:fldChar w:fldCharType="end"/>
          </w:r>
        </w:p>
      </w:sdtContent>
    </w:sdt>
    <w:p w14:paraId="631260A7" w14:textId="77777777" w:rsidR="00ED5B2E" w:rsidRDefault="00ED5B2E"/>
    <w:p w14:paraId="5312D02B" w14:textId="77777777" w:rsidR="008A5E15" w:rsidRPr="00ED5B2E" w:rsidRDefault="008A5E15" w:rsidP="00ED5B2E">
      <w:pPr>
        <w:pStyle w:val="NCLBodyText"/>
      </w:pPr>
    </w:p>
    <w:p w14:paraId="13C8D1DF" w14:textId="77777777" w:rsidR="00367357" w:rsidRDefault="00D46B50" w:rsidP="00D46B50">
      <w:pPr>
        <w:pStyle w:val="NCLHeading1"/>
      </w:pPr>
      <w:bookmarkStart w:id="0" w:name="_Toc1103540995"/>
      <w:r>
        <w:lastRenderedPageBreak/>
        <w:t xml:space="preserve">Introduction </w:t>
      </w:r>
      <w:r w:rsidR="00EE13FE">
        <w:t>Target audience</w:t>
      </w:r>
      <w:bookmarkEnd w:id="0"/>
    </w:p>
    <w:p w14:paraId="1A282018" w14:textId="77777777" w:rsidR="00D46B50" w:rsidRDefault="00D46B50" w:rsidP="001C3C6F">
      <w:pPr>
        <w:pStyle w:val="NCLBodyText"/>
      </w:pPr>
      <w:r w:rsidRPr="0027048E">
        <w:t>This document should provide sufficient information to enable you to make an informed decision regarding the clinical and legal responsibility for prescribing this drug.</w:t>
      </w:r>
    </w:p>
    <w:p w14:paraId="1922F57F" w14:textId="77777777" w:rsidR="00433776" w:rsidRPr="0027048E" w:rsidRDefault="00433776" w:rsidP="00D46B50">
      <w:pPr>
        <w:pStyle w:val="NCLBodyText"/>
      </w:pPr>
    </w:p>
    <w:p w14:paraId="69D2EE47" w14:textId="034D52DD" w:rsidR="00433776" w:rsidRPr="00433776" w:rsidRDefault="00433776" w:rsidP="00433776">
      <w:pPr>
        <w:tabs>
          <w:tab w:val="left" w:pos="-180"/>
        </w:tabs>
        <w:spacing w:after="0"/>
        <w:ind w:right="-514"/>
        <w:jc w:val="both"/>
        <w:rPr>
          <w:rFonts w:asciiTheme="minorHAnsi" w:hAnsiTheme="minorHAnsi" w:cs="Arial"/>
          <w:sz w:val="22"/>
          <w:szCs w:val="22"/>
        </w:rPr>
      </w:pPr>
      <w:r w:rsidRPr="00433776">
        <w:rPr>
          <w:rFonts w:asciiTheme="minorHAnsi" w:hAnsiTheme="minorHAnsi" w:cs="Arial"/>
          <w:sz w:val="22"/>
          <w:szCs w:val="22"/>
        </w:rPr>
        <w:t>Motor neurone disease (MND) is characterised by progressive degeneration of the motor neurones of the brain, brain stem or spinal cord. Depending on the site of the lesions, characteristic signs may include spasticity, muscle stiffness, brisk or diminished reflexes, muscle wasting and fasciculation, and both flaccid and/or spastic weakness.</w:t>
      </w:r>
    </w:p>
    <w:p w14:paraId="5C0C0A42" w14:textId="77777777" w:rsidR="00433776" w:rsidRPr="00433776" w:rsidRDefault="00433776" w:rsidP="00433776">
      <w:pPr>
        <w:tabs>
          <w:tab w:val="left" w:pos="-180"/>
        </w:tabs>
        <w:spacing w:after="0"/>
        <w:ind w:left="-426" w:right="-514"/>
        <w:jc w:val="both"/>
        <w:rPr>
          <w:rFonts w:asciiTheme="minorHAnsi" w:hAnsiTheme="minorHAnsi" w:cs="Arial"/>
          <w:sz w:val="22"/>
          <w:szCs w:val="22"/>
        </w:rPr>
      </w:pPr>
    </w:p>
    <w:p w14:paraId="54F27877" w14:textId="584667BD" w:rsidR="00433776" w:rsidRPr="00433776" w:rsidRDefault="00433776" w:rsidP="00433776">
      <w:pPr>
        <w:tabs>
          <w:tab w:val="left" w:pos="-180"/>
        </w:tabs>
        <w:spacing w:after="0"/>
        <w:ind w:right="-514"/>
        <w:jc w:val="both"/>
        <w:rPr>
          <w:rFonts w:asciiTheme="minorHAnsi" w:hAnsiTheme="minorHAnsi" w:cs="Arial"/>
          <w:sz w:val="22"/>
          <w:szCs w:val="22"/>
        </w:rPr>
      </w:pPr>
      <w:r w:rsidRPr="3C39E1A8">
        <w:rPr>
          <w:rFonts w:asciiTheme="minorHAnsi" w:hAnsiTheme="minorHAnsi" w:cs="Arial"/>
          <w:sz w:val="22"/>
          <w:szCs w:val="22"/>
        </w:rPr>
        <w:t>It is hypothesised that excessive stimulation of glutamate receptors on neurones may cause or play an important role in the destruction of motor neurones in MND. Glutamate is a neurotransmitter that tends to excite motor neurone cells. In vitro, riluzole inhibits the release of glutamate which decreases firing of motor neurones induced by glutamate receptor agonists protecting cells from glutamate-mediated damage. Riluzole is indicated to extend life or the time to mechanical ventilation for patients with amyotrophic lateral sclerosis (ALS).</w:t>
      </w:r>
    </w:p>
    <w:p w14:paraId="75045C0C" w14:textId="77777777" w:rsidR="00433776" w:rsidRPr="00433776" w:rsidRDefault="00433776" w:rsidP="00433776">
      <w:pPr>
        <w:tabs>
          <w:tab w:val="left" w:pos="-180"/>
        </w:tabs>
        <w:spacing w:after="0"/>
        <w:ind w:left="-426" w:right="-514"/>
        <w:jc w:val="both"/>
        <w:rPr>
          <w:rFonts w:asciiTheme="minorHAnsi" w:hAnsiTheme="minorHAnsi" w:cs="Arial"/>
          <w:sz w:val="22"/>
          <w:szCs w:val="22"/>
        </w:rPr>
      </w:pPr>
    </w:p>
    <w:p w14:paraId="434C2B00" w14:textId="1B851B39" w:rsidR="00433776" w:rsidRPr="00433776" w:rsidRDefault="00433776" w:rsidP="00433776">
      <w:pPr>
        <w:tabs>
          <w:tab w:val="left" w:pos="-180"/>
        </w:tabs>
        <w:spacing w:after="0"/>
        <w:ind w:right="-514"/>
        <w:jc w:val="both"/>
        <w:rPr>
          <w:rFonts w:asciiTheme="minorHAnsi" w:hAnsiTheme="minorHAnsi" w:cs="Arial"/>
          <w:sz w:val="22"/>
          <w:szCs w:val="22"/>
        </w:rPr>
      </w:pPr>
      <w:r w:rsidRPr="00433776">
        <w:rPr>
          <w:rFonts w:asciiTheme="minorHAnsi" w:hAnsiTheme="minorHAnsi" w:cs="Arial"/>
          <w:sz w:val="22"/>
          <w:szCs w:val="22"/>
        </w:rPr>
        <w:t>Other pharmacological interventions are aimed at providing symptomatic relief for people with MND. Surgical interventions may be necessary and include percutaneous gastrostomy to enable feeding and tracheostomy with or without ventilatory support to aid breathing. A wide range of multidisciplinary health and social services are required for people with MND, particularly in the late stages of the disease. These need to be tailored to suit individual needs.</w:t>
      </w:r>
    </w:p>
    <w:p w14:paraId="5C1A758A" w14:textId="77777777" w:rsidR="00433776" w:rsidRPr="00433776" w:rsidRDefault="00433776" w:rsidP="00433776">
      <w:pPr>
        <w:tabs>
          <w:tab w:val="left" w:pos="-180"/>
        </w:tabs>
        <w:spacing w:after="0"/>
        <w:ind w:left="-426" w:right="-514"/>
        <w:jc w:val="both"/>
        <w:rPr>
          <w:rFonts w:asciiTheme="minorHAnsi" w:hAnsiTheme="minorHAnsi" w:cs="Arial"/>
          <w:sz w:val="22"/>
          <w:szCs w:val="22"/>
        </w:rPr>
      </w:pPr>
    </w:p>
    <w:p w14:paraId="7E1C2777" w14:textId="49D8E910" w:rsidR="00433776" w:rsidRPr="00433776" w:rsidRDefault="00000000" w:rsidP="00433776">
      <w:pPr>
        <w:tabs>
          <w:tab w:val="left" w:pos="-180"/>
        </w:tabs>
        <w:spacing w:after="0"/>
        <w:ind w:right="-514"/>
        <w:jc w:val="both"/>
        <w:rPr>
          <w:rFonts w:asciiTheme="minorHAnsi" w:hAnsiTheme="minorHAnsi" w:cs="Arial"/>
          <w:sz w:val="22"/>
          <w:szCs w:val="22"/>
        </w:rPr>
      </w:pPr>
      <w:hyperlink r:id="rId12" w:history="1">
        <w:r w:rsidR="00433776" w:rsidRPr="00261D36">
          <w:rPr>
            <w:rStyle w:val="Hyperlink"/>
            <w:rFonts w:asciiTheme="minorHAnsi" w:hAnsiTheme="minorHAnsi" w:cs="Arial"/>
            <w:sz w:val="22"/>
            <w:szCs w:val="22"/>
          </w:rPr>
          <w:t xml:space="preserve">NICE technology </w:t>
        </w:r>
        <w:r w:rsidR="00D65D67" w:rsidRPr="00261D36">
          <w:rPr>
            <w:rStyle w:val="Hyperlink"/>
            <w:rFonts w:asciiTheme="minorHAnsi" w:hAnsiTheme="minorHAnsi" w:cs="Arial"/>
            <w:sz w:val="22"/>
            <w:szCs w:val="22"/>
          </w:rPr>
          <w:t>a</w:t>
        </w:r>
        <w:r w:rsidR="00433776" w:rsidRPr="00261D36">
          <w:rPr>
            <w:rStyle w:val="Hyperlink"/>
            <w:rFonts w:asciiTheme="minorHAnsi" w:hAnsiTheme="minorHAnsi" w:cs="Arial"/>
            <w:sz w:val="22"/>
            <w:szCs w:val="22"/>
          </w:rPr>
          <w:t>ppraisal 20</w:t>
        </w:r>
      </w:hyperlink>
      <w:r w:rsidR="00433776" w:rsidRPr="00433776">
        <w:rPr>
          <w:rFonts w:asciiTheme="minorHAnsi" w:hAnsiTheme="minorHAnsi" w:cs="Arial"/>
          <w:sz w:val="22"/>
          <w:szCs w:val="22"/>
        </w:rPr>
        <w:t xml:space="preserve"> recommends riluzole for the treatment of patients with the ALS form of MND</w:t>
      </w:r>
      <w:r w:rsidR="00261D36">
        <w:rPr>
          <w:rFonts w:asciiTheme="minorHAnsi" w:hAnsiTheme="minorHAnsi" w:cs="Arial"/>
          <w:sz w:val="22"/>
          <w:szCs w:val="22"/>
        </w:rPr>
        <w:t xml:space="preserve">. Prescribing within NCL is in line with NICE TA20 in that it is initiated by a neurological specialist with expertise in the management of </w:t>
      </w:r>
      <w:proofErr w:type="gramStart"/>
      <w:r w:rsidR="00261D36">
        <w:rPr>
          <w:rFonts w:asciiTheme="minorHAnsi" w:hAnsiTheme="minorHAnsi" w:cs="Arial"/>
          <w:sz w:val="22"/>
          <w:szCs w:val="22"/>
        </w:rPr>
        <w:t>MND.</w:t>
      </w:r>
      <w:r w:rsidR="00433776" w:rsidRPr="00433776">
        <w:rPr>
          <w:rFonts w:asciiTheme="minorHAnsi" w:hAnsiTheme="minorHAnsi" w:cs="Arial"/>
          <w:sz w:val="22"/>
          <w:szCs w:val="22"/>
        </w:rPr>
        <w:t>.</w:t>
      </w:r>
      <w:proofErr w:type="gramEnd"/>
    </w:p>
    <w:p w14:paraId="348FAD7B" w14:textId="77777777" w:rsidR="00433776" w:rsidRDefault="00433776" w:rsidP="00D46B50">
      <w:pPr>
        <w:pStyle w:val="NCLBodyText"/>
      </w:pPr>
    </w:p>
    <w:p w14:paraId="68A79AF3" w14:textId="77777777" w:rsidR="00D46B50" w:rsidRPr="00604B2F" w:rsidRDefault="00D46B50" w:rsidP="00D46B50">
      <w:pPr>
        <w:pStyle w:val="NCLBodyText"/>
        <w:rPr>
          <w:b/>
          <w:bCs/>
          <w:u w:val="single"/>
        </w:rPr>
      </w:pPr>
      <w:r w:rsidRPr="00604B2F">
        <w:rPr>
          <w:b/>
          <w:bCs/>
          <w:u w:val="single"/>
        </w:rPr>
        <w:t>Indication</w:t>
      </w:r>
    </w:p>
    <w:p w14:paraId="00F044CE" w14:textId="104B0F35" w:rsidR="00D46B50" w:rsidRPr="0027048E" w:rsidRDefault="00433776" w:rsidP="4B774724">
      <w:pPr>
        <w:pStyle w:val="NCLBodyText"/>
      </w:pPr>
      <w:r>
        <w:t xml:space="preserve">To extend life or time to mechanical ventilation for patients with amyotrophic lateral sclerosis (ALS). </w:t>
      </w:r>
    </w:p>
    <w:p w14:paraId="17F79449" w14:textId="5032F340" w:rsidR="00433776" w:rsidRDefault="00433776" w:rsidP="4B774724">
      <w:pPr>
        <w:pStyle w:val="NCLBodyText"/>
        <w:rPr>
          <w:rFonts w:cs="Arial"/>
        </w:rPr>
      </w:pPr>
      <w:r w:rsidRPr="4B774724">
        <w:rPr>
          <w:rFonts w:cs="Arial"/>
        </w:rPr>
        <w:t>The licensed dose of riluzole is 50mg twice daily (no titration is required).  Once a patient has been stabilised on treatment (</w:t>
      </w:r>
      <w:r w:rsidR="0DEA80D3" w:rsidRPr="4B774724">
        <w:rPr>
          <w:rFonts w:cs="Arial"/>
        </w:rPr>
        <w:t>3</w:t>
      </w:r>
      <w:r w:rsidRPr="4B774724">
        <w:rPr>
          <w:rFonts w:cs="Arial"/>
        </w:rPr>
        <w:t xml:space="preserve"> months), a shared care arrangement with you will be requested. </w:t>
      </w:r>
    </w:p>
    <w:p w14:paraId="63EF9D1F" w14:textId="77777777" w:rsidR="00433776" w:rsidRPr="00433776" w:rsidRDefault="00433776" w:rsidP="4B774724">
      <w:pPr>
        <w:pStyle w:val="NCLBodyText"/>
        <w:rPr>
          <w:rFonts w:cs="Arial"/>
        </w:rPr>
      </w:pPr>
    </w:p>
    <w:p w14:paraId="1C8C553A" w14:textId="5B7AFAE2" w:rsidR="00D46B50" w:rsidRPr="00D46B50" w:rsidRDefault="00D46B50" w:rsidP="4B774724">
      <w:pPr>
        <w:pStyle w:val="NCLBodyText"/>
        <w:rPr>
          <w:rFonts w:cs="Arial"/>
        </w:rPr>
      </w:pPr>
      <w:r w:rsidRPr="4B774724">
        <w:rPr>
          <w:rFonts w:cs="Arial"/>
        </w:rPr>
        <w:t>It will clarify responsibilities between the specialist and general practitioner (GP) for managing the p</w:t>
      </w:r>
      <w:r w:rsidR="00433776" w:rsidRPr="4B774724">
        <w:rPr>
          <w:rFonts w:cs="Arial"/>
        </w:rPr>
        <w:t>rescribing of riluzole</w:t>
      </w:r>
      <w:r w:rsidRPr="4B774724">
        <w:rPr>
          <w:rFonts w:cs="Arial"/>
        </w:rPr>
        <w:t xml:space="preserve"> such as:</w:t>
      </w:r>
    </w:p>
    <w:p w14:paraId="4EAE4300" w14:textId="77777777" w:rsidR="00D46B50" w:rsidRPr="00F6699A" w:rsidRDefault="00D46B50" w:rsidP="4B774724">
      <w:pPr>
        <w:pStyle w:val="ListBullet"/>
      </w:pPr>
      <w:r>
        <w:t xml:space="preserve">Who will </w:t>
      </w:r>
      <w:proofErr w:type="gramStart"/>
      <w:r>
        <w:t>prescribe;</w:t>
      </w:r>
      <w:proofErr w:type="gramEnd"/>
    </w:p>
    <w:p w14:paraId="0E4D2D6F" w14:textId="77777777" w:rsidR="00D46B50" w:rsidRPr="00F6699A" w:rsidRDefault="00D46B50" w:rsidP="4B774724">
      <w:pPr>
        <w:pStyle w:val="ListBullet"/>
      </w:pPr>
      <w:r>
        <w:t xml:space="preserve">Who will </w:t>
      </w:r>
      <w:proofErr w:type="gramStart"/>
      <w:r>
        <w:t>monitor;</w:t>
      </w:r>
      <w:proofErr w:type="gramEnd"/>
    </w:p>
    <w:p w14:paraId="41D4AFA0" w14:textId="52B18D11" w:rsidR="00D46B50" w:rsidRPr="00F6699A" w:rsidRDefault="00D46B50" w:rsidP="4B774724">
      <w:pPr>
        <w:pStyle w:val="ListBullet"/>
      </w:pPr>
      <w:r>
        <w:t>Any tests required (</w:t>
      </w:r>
      <w:proofErr w:type="gramStart"/>
      <w:r>
        <w:t>e.g.</w:t>
      </w:r>
      <w:proofErr w:type="gramEnd"/>
      <w:r>
        <w:t xml:space="preserve"> blood tests), the exact names/nature of the tests, why they are needed, the frequency of testing, the location in which these will be carried out and action to be taken for any abnormal results</w:t>
      </w:r>
      <w:r w:rsidR="009D1DF8">
        <w:t>;</w:t>
      </w:r>
      <w:r>
        <w:t xml:space="preserve"> </w:t>
      </w:r>
    </w:p>
    <w:p w14:paraId="17625EBA" w14:textId="77777777" w:rsidR="00D46B50" w:rsidRPr="00F6699A" w:rsidRDefault="00D46B50" w:rsidP="4B774724">
      <w:pPr>
        <w:pStyle w:val="ListBullet"/>
      </w:pPr>
      <w:r>
        <w:t xml:space="preserve">Which clinician will be responsible for receipt and review of the </w:t>
      </w:r>
      <w:proofErr w:type="gramStart"/>
      <w:r>
        <w:t>results;</w:t>
      </w:r>
      <w:proofErr w:type="gramEnd"/>
    </w:p>
    <w:p w14:paraId="33D8B1A1" w14:textId="77777777" w:rsidR="00D46B50" w:rsidRPr="00D46B50" w:rsidRDefault="00D46B50" w:rsidP="4B774724">
      <w:pPr>
        <w:pStyle w:val="ListBullet"/>
      </w:pPr>
      <w:r>
        <w:t xml:space="preserve">Who will communicate any necessary changes in dose to the patient and the </w:t>
      </w:r>
      <w:proofErr w:type="gramStart"/>
      <w:r>
        <w:t>GP;</w:t>
      </w:r>
      <w:proofErr w:type="gramEnd"/>
    </w:p>
    <w:p w14:paraId="3254C01F" w14:textId="77777777" w:rsidR="00592DE9" w:rsidRDefault="00D46B50" w:rsidP="4B774724">
      <w:pPr>
        <w:pStyle w:val="NCLHeading1"/>
        <w:jc w:val="both"/>
      </w:pPr>
      <w:bookmarkStart w:id="1" w:name="_Toc1387103871"/>
      <w:r>
        <w:t>Shared Care criteria</w:t>
      </w:r>
      <w:bookmarkEnd w:id="1"/>
    </w:p>
    <w:p w14:paraId="785B34C2" w14:textId="1EC40733" w:rsidR="00592DE9" w:rsidRDefault="00D46B50" w:rsidP="4B774724">
      <w:pPr>
        <w:pStyle w:val="NCLBodyText"/>
      </w:pPr>
      <w:r>
        <w:t>Patie</w:t>
      </w:r>
      <w:r w:rsidR="00433776">
        <w:t>nts who are stabilised on riluzole</w:t>
      </w:r>
      <w:r w:rsidR="000D30FB">
        <w:t xml:space="preserve"> (after </w:t>
      </w:r>
      <w:r w:rsidR="00D76124">
        <w:t>3</w:t>
      </w:r>
      <w:r w:rsidR="000D30FB">
        <w:t xml:space="preserve"> months)</w:t>
      </w:r>
      <w:r>
        <w:t xml:space="preserve"> and have been monitored appropriately </w:t>
      </w:r>
      <w:r w:rsidR="00B71BFC">
        <w:t xml:space="preserve">(as per section 8 – clinical monitoring) </w:t>
      </w:r>
      <w:r>
        <w:t xml:space="preserve">at baseline and after initiation of treatment with no problems identified during this period. </w:t>
      </w:r>
    </w:p>
    <w:p w14:paraId="5E03EBF6" w14:textId="77777777" w:rsidR="00592DE9" w:rsidRDefault="00D46B50" w:rsidP="4B774724">
      <w:pPr>
        <w:pStyle w:val="NCLHeading1"/>
        <w:jc w:val="both"/>
      </w:pPr>
      <w:bookmarkStart w:id="2" w:name="_Toc1459961116"/>
      <w:r>
        <w:lastRenderedPageBreak/>
        <w:t>Shared care responsibilities</w:t>
      </w:r>
      <w:bookmarkEnd w:id="2"/>
    </w:p>
    <w:p w14:paraId="57803560" w14:textId="77777777" w:rsidR="00D46B50" w:rsidRPr="0027048E" w:rsidRDefault="00D46B50" w:rsidP="4B774724">
      <w:pPr>
        <w:pStyle w:val="NCLHeading2"/>
      </w:pPr>
      <w:bookmarkStart w:id="3" w:name="_Toc1049125963"/>
      <w:r>
        <w:t>Consultant and /or Specialist Nurse</w:t>
      </w:r>
      <w:bookmarkEnd w:id="3"/>
    </w:p>
    <w:p w14:paraId="6C8C8B20" w14:textId="05B284FD" w:rsidR="00D46B50" w:rsidRPr="0027048E" w:rsidRDefault="00D46B50" w:rsidP="4B774724">
      <w:pPr>
        <w:pStyle w:val="NCLBodyText"/>
      </w:pPr>
      <w:r>
        <w:t xml:space="preserve">Send a letter to the GP along with shared care criteria and transfer form requesting shared care for this patient.   </w:t>
      </w:r>
    </w:p>
    <w:p w14:paraId="66C23000" w14:textId="44B8352D" w:rsidR="00D46B50" w:rsidRPr="0027048E" w:rsidRDefault="00D46B50" w:rsidP="4B774724">
      <w:pPr>
        <w:pStyle w:val="ListNumber"/>
        <w:jc w:val="both"/>
      </w:pPr>
      <w:r>
        <w:t>Before initiating treatment, perform</w:t>
      </w:r>
      <w:r w:rsidR="00433776">
        <w:t xml:space="preserve"> baseline </w:t>
      </w:r>
      <w:r w:rsidR="00D65D67">
        <w:t xml:space="preserve">liver function </w:t>
      </w:r>
      <w:r w:rsidR="00433776">
        <w:t>test</w:t>
      </w:r>
      <w:r w:rsidR="00D65D67">
        <w:t>s</w:t>
      </w:r>
      <w:r w:rsidR="0033133B">
        <w:t xml:space="preserve"> and ensure riluzole is compatible with the </w:t>
      </w:r>
      <w:proofErr w:type="gramStart"/>
      <w:r w:rsidR="0033133B">
        <w:t>patients</w:t>
      </w:r>
      <w:proofErr w:type="gramEnd"/>
      <w:r w:rsidR="0033133B">
        <w:t xml:space="preserve"> current medication</w:t>
      </w:r>
      <w:r w:rsidR="000427AC">
        <w:t xml:space="preserve"> at baseline</w:t>
      </w:r>
      <w:r w:rsidR="00F123CC">
        <w:t xml:space="preserve"> Liver function tests will be measured for at least </w:t>
      </w:r>
      <w:r w:rsidR="7DC9F01B">
        <w:t>3</w:t>
      </w:r>
      <w:r w:rsidR="00F123CC">
        <w:t xml:space="preserve"> months in secondary care, before transfer to primary care for ongoing monitoring.</w:t>
      </w:r>
      <w:r w:rsidR="00433776">
        <w:t xml:space="preserve"> </w:t>
      </w:r>
    </w:p>
    <w:p w14:paraId="42B86710" w14:textId="043DEEA5" w:rsidR="00D46B50" w:rsidRPr="00604B2F" w:rsidRDefault="00D46B50" w:rsidP="4B774724">
      <w:pPr>
        <w:pStyle w:val="ListNumber"/>
        <w:jc w:val="both"/>
        <w:rPr>
          <w:sz w:val="24"/>
          <w:szCs w:val="24"/>
        </w:rPr>
      </w:pPr>
      <w:r w:rsidRPr="0027048E">
        <w:rPr>
          <w:snapToGrid w:val="0"/>
        </w:rPr>
        <w:t>Discuss the benefits and side effects of treatment with the patient</w:t>
      </w:r>
      <w:r w:rsidR="004D4FB7">
        <w:rPr>
          <w:snapToGrid w:val="0"/>
        </w:rPr>
        <w:t xml:space="preserve"> </w:t>
      </w:r>
      <w:r w:rsidRPr="0027048E">
        <w:t xml:space="preserve">Provide the patient with a </w:t>
      </w:r>
      <w:r w:rsidR="00D65D67">
        <w:t>p</w:t>
      </w:r>
      <w:r w:rsidRPr="0027048E">
        <w:t xml:space="preserve">atient </w:t>
      </w:r>
      <w:r w:rsidR="00D65D67">
        <w:t>i</w:t>
      </w:r>
      <w:r w:rsidRPr="0027048E">
        <w:t xml:space="preserve">nformation </w:t>
      </w:r>
      <w:r w:rsidR="00D65D67">
        <w:t>l</w:t>
      </w:r>
      <w:r w:rsidRPr="0027048E">
        <w:t>eaflet, explain it and e</w:t>
      </w:r>
      <w:r w:rsidRPr="0027048E">
        <w:rPr>
          <w:snapToGrid w:val="0"/>
        </w:rPr>
        <w:t xml:space="preserve">nsure that the patient understands the reason for the treatment, </w:t>
      </w:r>
      <w:r>
        <w:rPr>
          <w:snapToGrid w:val="0"/>
        </w:rPr>
        <w:t xml:space="preserve">and dosing </w:t>
      </w:r>
      <w:proofErr w:type="gramStart"/>
      <w:r>
        <w:rPr>
          <w:snapToGrid w:val="0"/>
        </w:rPr>
        <w:t>regimen</w:t>
      </w:r>
      <w:proofErr w:type="gramEnd"/>
    </w:p>
    <w:p w14:paraId="10715465" w14:textId="27BFC637" w:rsidR="009D794B" w:rsidRPr="00604B2F" w:rsidRDefault="009D794B" w:rsidP="4B774724">
      <w:pPr>
        <w:pStyle w:val="ListNumber"/>
        <w:jc w:val="both"/>
      </w:pPr>
      <w:r w:rsidRPr="0027048E">
        <w:t>Ensure the patient understands that he/she must report the warning symptoms as listed under “adverse effects”</w:t>
      </w:r>
      <w:r w:rsidR="0080385B">
        <w:t xml:space="preserve"> </w:t>
      </w:r>
      <w:r w:rsidR="0080385B">
        <w:rPr>
          <w:snapToGrid w:val="0"/>
        </w:rPr>
        <w:t>(e.g neutropenia and signs/symptoms to look out for).</w:t>
      </w:r>
    </w:p>
    <w:p w14:paraId="37569C57" w14:textId="25D76A6F" w:rsidR="00D46B50" w:rsidRPr="0027048E" w:rsidRDefault="00D46B50" w:rsidP="4B774724">
      <w:pPr>
        <w:pStyle w:val="ListNumber"/>
        <w:jc w:val="both"/>
      </w:pPr>
      <w:r>
        <w:t xml:space="preserve">Initiate treatment and prescribe until the GP formally agrees to share care (until patient is stabilised).  Patients will be seen in clinic prior to consideration of shared </w:t>
      </w:r>
      <w:proofErr w:type="gramStart"/>
      <w:r>
        <w:t>care</w:t>
      </w:r>
      <w:proofErr w:type="gramEnd"/>
    </w:p>
    <w:p w14:paraId="10B8930B" w14:textId="77777777" w:rsidR="00D46B50" w:rsidRPr="0027048E" w:rsidRDefault="00D46B50" w:rsidP="4B774724">
      <w:pPr>
        <w:pStyle w:val="ListNumber"/>
        <w:jc w:val="both"/>
        <w:rPr>
          <w:sz w:val="24"/>
          <w:szCs w:val="24"/>
        </w:rPr>
      </w:pPr>
      <w:r w:rsidRPr="0027048E">
        <w:rPr>
          <w:snapToGrid w:val="0"/>
        </w:rPr>
        <w:t xml:space="preserve">Discuss the shared care arrangement with the </w:t>
      </w:r>
      <w:proofErr w:type="gramStart"/>
      <w:r w:rsidRPr="0027048E">
        <w:rPr>
          <w:snapToGrid w:val="0"/>
        </w:rPr>
        <w:t>patient</w:t>
      </w:r>
      <w:proofErr w:type="gramEnd"/>
    </w:p>
    <w:p w14:paraId="13EDD3E2" w14:textId="3D762FB6" w:rsidR="00D46B50" w:rsidRPr="0027048E" w:rsidRDefault="00D46B50" w:rsidP="4B774724">
      <w:pPr>
        <w:pStyle w:val="ListNumber"/>
        <w:jc w:val="both"/>
        <w:rPr>
          <w:sz w:val="24"/>
          <w:szCs w:val="24"/>
        </w:rPr>
      </w:pPr>
      <w:r w:rsidRPr="0027048E">
        <w:rPr>
          <w:snapToGrid w:val="0"/>
        </w:rPr>
        <w:t xml:space="preserve">Provide results of baseline tests and recommend frequency of monitoring to </w:t>
      </w:r>
      <w:r w:rsidR="009D1DF8">
        <w:t xml:space="preserve">patient and </w:t>
      </w:r>
      <w:r w:rsidRPr="0027048E">
        <w:rPr>
          <w:snapToGrid w:val="0"/>
        </w:rPr>
        <w:t xml:space="preserve">GP. The consultant must also explain what the recommended tests are, why they are needed and the location in which these tests will be carried </w:t>
      </w:r>
      <w:proofErr w:type="gramStart"/>
      <w:r w:rsidRPr="0027048E">
        <w:rPr>
          <w:snapToGrid w:val="0"/>
        </w:rPr>
        <w:t>out</w:t>
      </w:r>
      <w:proofErr w:type="gramEnd"/>
    </w:p>
    <w:p w14:paraId="25E63223" w14:textId="77777777" w:rsidR="00D46B50" w:rsidRPr="0027048E" w:rsidRDefault="00D46B50" w:rsidP="4B774724">
      <w:pPr>
        <w:pStyle w:val="ListNumber"/>
        <w:jc w:val="both"/>
      </w:pPr>
      <w:r>
        <w:t xml:space="preserve">Send a letter to the GP after each clinic attendance ensuring current dose, weight, most recent blood results and frequency of monitoring are </w:t>
      </w:r>
      <w:proofErr w:type="gramStart"/>
      <w:r>
        <w:t>stated</w:t>
      </w:r>
      <w:proofErr w:type="gramEnd"/>
    </w:p>
    <w:p w14:paraId="0B1E2290" w14:textId="77777777" w:rsidR="00D46B50" w:rsidRPr="0027048E" w:rsidRDefault="00D46B50" w:rsidP="4B774724">
      <w:pPr>
        <w:pStyle w:val="ListNumber"/>
        <w:jc w:val="both"/>
        <w:rPr>
          <w:sz w:val="24"/>
          <w:szCs w:val="24"/>
        </w:rPr>
      </w:pPr>
      <w:r w:rsidRPr="0027048E">
        <w:rPr>
          <w:snapToGrid w:val="0"/>
        </w:rPr>
        <w:t>In</w:t>
      </w:r>
      <w:r w:rsidRPr="0027048E">
        <w:t xml:space="preserve">form GP of blood test results, actions to take in case of abnormal results, and advise the GP on when to adjust the dose, stop treatment, or consult with </w:t>
      </w:r>
      <w:proofErr w:type="gramStart"/>
      <w:r w:rsidRPr="0027048E">
        <w:t>specialist</w:t>
      </w:r>
      <w:proofErr w:type="gramEnd"/>
    </w:p>
    <w:p w14:paraId="1E20AA7B" w14:textId="5C744B59" w:rsidR="00D46B50" w:rsidRPr="0027048E" w:rsidRDefault="00D46B50" w:rsidP="4B774724">
      <w:pPr>
        <w:pStyle w:val="ListNumber"/>
        <w:jc w:val="both"/>
        <w:rPr>
          <w:sz w:val="24"/>
          <w:szCs w:val="24"/>
        </w:rPr>
      </w:pPr>
      <w:r w:rsidRPr="0027048E">
        <w:rPr>
          <w:snapToGrid w:val="0"/>
        </w:rPr>
        <w:t>Periodically review the patient’s condition and communicate promptly with the GP when treatment is changed.</w:t>
      </w:r>
      <w:r w:rsidRPr="0027048E">
        <w:t xml:space="preserve">  </w:t>
      </w:r>
    </w:p>
    <w:p w14:paraId="6639050D" w14:textId="77777777" w:rsidR="00D46B50" w:rsidRPr="0027048E" w:rsidRDefault="00D46B50" w:rsidP="4B774724">
      <w:pPr>
        <w:pStyle w:val="ListNumber"/>
        <w:jc w:val="both"/>
        <w:rPr>
          <w:sz w:val="24"/>
          <w:szCs w:val="24"/>
        </w:rPr>
      </w:pPr>
      <w:r>
        <w:t xml:space="preserve">Evaluate adverse effects reported by GP or </w:t>
      </w:r>
      <w:proofErr w:type="gramStart"/>
      <w:r>
        <w:t>patient</w:t>
      </w:r>
      <w:proofErr w:type="gramEnd"/>
    </w:p>
    <w:p w14:paraId="3483B1CB" w14:textId="77777777" w:rsidR="00D46B50" w:rsidRPr="0027048E" w:rsidRDefault="00D46B50" w:rsidP="4B774724">
      <w:pPr>
        <w:pStyle w:val="ListNumber"/>
        <w:jc w:val="both"/>
      </w:pPr>
      <w:r>
        <w:t xml:space="preserve">Report adverse events to the MHRA (via yellow card scheme) and </w:t>
      </w:r>
      <w:proofErr w:type="gramStart"/>
      <w:r>
        <w:t>GP</w:t>
      </w:r>
      <w:proofErr w:type="gramEnd"/>
    </w:p>
    <w:p w14:paraId="3B488C11" w14:textId="77777777" w:rsidR="00D46B50" w:rsidRPr="0027048E" w:rsidRDefault="00D46B50" w:rsidP="4B774724">
      <w:pPr>
        <w:pStyle w:val="ListNumber"/>
        <w:jc w:val="both"/>
      </w:pPr>
      <w:r>
        <w:t xml:space="preserve">Inform GP of patients who do not attend clinic </w:t>
      </w:r>
      <w:proofErr w:type="gramStart"/>
      <w:r>
        <w:t>appointments</w:t>
      </w:r>
      <w:proofErr w:type="gramEnd"/>
    </w:p>
    <w:p w14:paraId="6932416A" w14:textId="775FA478" w:rsidR="00D46B50" w:rsidRPr="0027048E" w:rsidRDefault="00D46B50" w:rsidP="4B774724">
      <w:pPr>
        <w:pStyle w:val="ListNumber"/>
        <w:jc w:val="both"/>
      </w:pPr>
      <w:r>
        <w:t>Ensure that clear backup arrangements exist for GPs to obtain advice and support</w:t>
      </w:r>
      <w:r w:rsidR="00267D74">
        <w:t xml:space="preserve"> (see contact details section)</w:t>
      </w:r>
    </w:p>
    <w:p w14:paraId="48046629" w14:textId="77777777" w:rsidR="00D46B50" w:rsidRPr="0027048E" w:rsidRDefault="00D46B50" w:rsidP="4B774724">
      <w:pPr>
        <w:pStyle w:val="NCLHeading2"/>
      </w:pPr>
      <w:bookmarkStart w:id="4" w:name="_Toc767693770"/>
      <w:r>
        <w:t>General Practitioner</w:t>
      </w:r>
      <w:bookmarkEnd w:id="4"/>
    </w:p>
    <w:p w14:paraId="6BD006E3" w14:textId="455E8C76" w:rsidR="00D46B50" w:rsidRPr="005D095E" w:rsidRDefault="00D46B50" w:rsidP="4B774724">
      <w:pPr>
        <w:pStyle w:val="NCLBodyText"/>
      </w:pPr>
      <w:r>
        <w:t>Complete transfer form and send back to h</w:t>
      </w:r>
      <w:r w:rsidRPr="4B774724">
        <w:rPr>
          <w:i/>
          <w:iCs/>
        </w:rPr>
        <w:t xml:space="preserve">ospital </w:t>
      </w:r>
      <w:r>
        <w:t xml:space="preserve">confirming acceptance/ rejection of shared care for patient.  If GP unable to agree to shared care, inform the Hospital team stating reasons within </w:t>
      </w:r>
      <w:r w:rsidRPr="4B774724">
        <w:rPr>
          <w:b/>
          <w:bCs/>
          <w:i/>
          <w:iCs/>
        </w:rPr>
        <w:t>14 days</w:t>
      </w:r>
      <w:r>
        <w:t xml:space="preserve"> of receipt of request.  If no response is received with</w:t>
      </w:r>
      <w:r w:rsidR="009D1DF8">
        <w:t>in</w:t>
      </w:r>
      <w:r>
        <w:t xml:space="preserve"> 14 days, the Consultant will assume the GP has accepted shared care.</w:t>
      </w:r>
    </w:p>
    <w:p w14:paraId="26A5240F" w14:textId="77777777" w:rsidR="00D46B50" w:rsidRPr="0027048E" w:rsidRDefault="00D46B50" w:rsidP="4B774724">
      <w:pPr>
        <w:pStyle w:val="ListNumber"/>
        <w:numPr>
          <w:ilvl w:val="0"/>
          <w:numId w:val="13"/>
        </w:numPr>
        <w:jc w:val="both"/>
      </w:pPr>
      <w:r>
        <w:t xml:space="preserve">Monitor patient’s overall health and </w:t>
      </w:r>
      <w:proofErr w:type="gramStart"/>
      <w:r>
        <w:t>well-being</w:t>
      </w:r>
      <w:proofErr w:type="gramEnd"/>
    </w:p>
    <w:p w14:paraId="28651503" w14:textId="77777777" w:rsidR="00D46B50" w:rsidRPr="0027048E" w:rsidRDefault="00D46B50" w:rsidP="4B774724">
      <w:pPr>
        <w:pStyle w:val="ListNumber"/>
        <w:jc w:val="both"/>
      </w:pPr>
      <w:r w:rsidRPr="0027048E">
        <w:t>Prescribe the drug treatment as described (but not to alter the dose unless advised to do so by</w:t>
      </w:r>
      <w:r>
        <w:t xml:space="preserve"> the specialist</w:t>
      </w:r>
      <w:r w:rsidRPr="0027048E">
        <w:t>).</w:t>
      </w:r>
      <w:r w:rsidRPr="0027048E">
        <w:rPr>
          <w:snapToGrid w:val="0"/>
        </w:rPr>
        <w:t xml:space="preserve"> The term “as directed” </w:t>
      </w:r>
      <w:r w:rsidRPr="4B774724">
        <w:rPr>
          <w:b/>
          <w:bCs/>
          <w:snapToGrid w:val="0"/>
        </w:rPr>
        <w:t>SHOULD NOT</w:t>
      </w:r>
      <w:r w:rsidRPr="0027048E">
        <w:rPr>
          <w:snapToGrid w:val="0"/>
        </w:rPr>
        <w:t xml:space="preserve"> be </w:t>
      </w:r>
      <w:proofErr w:type="gramStart"/>
      <w:r w:rsidRPr="0027048E">
        <w:rPr>
          <w:snapToGrid w:val="0"/>
        </w:rPr>
        <w:t>used</w:t>
      </w:r>
      <w:proofErr w:type="gramEnd"/>
    </w:p>
    <w:p w14:paraId="48E3EB75" w14:textId="77777777" w:rsidR="00D46B50" w:rsidRPr="0027048E" w:rsidRDefault="00D46B50" w:rsidP="4B774724">
      <w:pPr>
        <w:pStyle w:val="ListNumber"/>
        <w:jc w:val="both"/>
      </w:pPr>
      <w:r>
        <w:t xml:space="preserve">Ensure that the patient understands the </w:t>
      </w:r>
      <w:proofErr w:type="gramStart"/>
      <w:r>
        <w:t>dosing</w:t>
      </w:r>
      <w:proofErr w:type="gramEnd"/>
    </w:p>
    <w:p w14:paraId="6ACCB966" w14:textId="77777777" w:rsidR="00D46B50" w:rsidRPr="0027048E" w:rsidRDefault="00D46B50" w:rsidP="4B774724">
      <w:pPr>
        <w:pStyle w:val="ListNumber"/>
        <w:jc w:val="both"/>
      </w:pPr>
      <w:r>
        <w:t xml:space="preserve">Ensure the patient understands that he/she must report the warning symptoms as listed under “adverse </w:t>
      </w:r>
      <w:proofErr w:type="gramStart"/>
      <w:r>
        <w:t>effects”</w:t>
      </w:r>
      <w:proofErr w:type="gramEnd"/>
    </w:p>
    <w:p w14:paraId="4AF16C59" w14:textId="2B5DEABC" w:rsidR="00D46B50" w:rsidRPr="0027048E" w:rsidRDefault="00D46B50" w:rsidP="4B774724">
      <w:pPr>
        <w:pStyle w:val="ListNumber"/>
        <w:jc w:val="both"/>
      </w:pPr>
      <w:r>
        <w:t xml:space="preserve">Ensure compatibility with concomitant </w:t>
      </w:r>
      <w:proofErr w:type="gramStart"/>
      <w:r>
        <w:t>medication</w:t>
      </w:r>
      <w:proofErr w:type="gramEnd"/>
      <w:r w:rsidR="000427AC">
        <w:t xml:space="preserve"> </w:t>
      </w:r>
    </w:p>
    <w:p w14:paraId="2AD67A8F" w14:textId="0FD1AB91" w:rsidR="00D46B50" w:rsidRPr="0027048E" w:rsidRDefault="00D46B50" w:rsidP="4B774724">
      <w:pPr>
        <w:pStyle w:val="ListNumber"/>
        <w:jc w:val="both"/>
      </w:pPr>
      <w:r>
        <w:t>Monitor results at recommended frequencies as described under “clinical monitoring” and inform the Consultant if abnormal</w:t>
      </w:r>
      <w:r w:rsidR="005376BB">
        <w:t xml:space="preserve"> (as per Section 8 – clinical monitoring)</w:t>
      </w:r>
      <w:r w:rsidR="005A08D2">
        <w:t>.</w:t>
      </w:r>
    </w:p>
    <w:p w14:paraId="01288CD4" w14:textId="77777777" w:rsidR="00D46B50" w:rsidRPr="0027048E" w:rsidRDefault="00D46B50" w:rsidP="4B774724">
      <w:pPr>
        <w:pStyle w:val="ListNumber"/>
        <w:jc w:val="both"/>
        <w:rPr>
          <w:sz w:val="24"/>
          <w:szCs w:val="24"/>
        </w:rPr>
      </w:pPr>
      <w:r w:rsidRPr="0027048E">
        <w:rPr>
          <w:snapToGrid w:val="0"/>
        </w:rPr>
        <w:t xml:space="preserve">Adjust the dose as advised by the specialist (where applicable) and counsel patient on any dose </w:t>
      </w:r>
      <w:proofErr w:type="gramStart"/>
      <w:r w:rsidRPr="0027048E">
        <w:rPr>
          <w:snapToGrid w:val="0"/>
        </w:rPr>
        <w:t>changes</w:t>
      </w:r>
      <w:proofErr w:type="gramEnd"/>
    </w:p>
    <w:p w14:paraId="0BAF626E" w14:textId="04F9012D" w:rsidR="00D46B50" w:rsidRPr="0027048E" w:rsidRDefault="00D46B50" w:rsidP="4B774724">
      <w:pPr>
        <w:pStyle w:val="ListNumber"/>
        <w:jc w:val="both"/>
      </w:pPr>
      <w:r>
        <w:lastRenderedPageBreak/>
        <w:t>Report any adverse events and non-compliance to the hospital specialist</w:t>
      </w:r>
      <w:r w:rsidR="00A139A6">
        <w:t xml:space="preserve"> and the MHRA (via </w:t>
      </w:r>
      <w:r w:rsidR="00895E04">
        <w:t>Y</w:t>
      </w:r>
      <w:r w:rsidR="00A139A6">
        <w:t>ellow</w:t>
      </w:r>
      <w:r w:rsidR="00895E04">
        <w:t>C</w:t>
      </w:r>
      <w:r w:rsidR="00A139A6">
        <w:t>ard</w:t>
      </w:r>
      <w:r w:rsidR="00895E04">
        <w:t>)</w:t>
      </w:r>
      <w:r>
        <w:t>, where appropriate</w:t>
      </w:r>
    </w:p>
    <w:p w14:paraId="625FDF64" w14:textId="77777777" w:rsidR="00D46B50" w:rsidRPr="0027048E" w:rsidRDefault="00D46B50" w:rsidP="4B774724">
      <w:pPr>
        <w:pStyle w:val="ListNumber"/>
        <w:jc w:val="both"/>
        <w:rPr>
          <w:color w:val="000000" w:themeColor="text1"/>
        </w:rPr>
      </w:pPr>
      <w:r w:rsidRPr="4B774724">
        <w:rPr>
          <w:color w:val="000000" w:themeColor="text1"/>
        </w:rPr>
        <w:t xml:space="preserve">Stop treatment on advice of specialist or immediately if urgent need </w:t>
      </w:r>
      <w:proofErr w:type="gramStart"/>
      <w:r w:rsidRPr="4B774724">
        <w:rPr>
          <w:color w:val="000000" w:themeColor="text1"/>
        </w:rPr>
        <w:t>arises</w:t>
      </w:r>
      <w:proofErr w:type="gramEnd"/>
    </w:p>
    <w:p w14:paraId="1309E4F9" w14:textId="77777777" w:rsidR="00D46B50" w:rsidRPr="0027048E" w:rsidRDefault="00D46B50" w:rsidP="4B774724">
      <w:pPr>
        <w:pStyle w:val="ListNumber"/>
        <w:jc w:val="both"/>
      </w:pPr>
      <w:r>
        <w:t xml:space="preserve">Help in monitoring the progression of disease and inform the hospital team of any changes to </w:t>
      </w:r>
      <w:proofErr w:type="gramStart"/>
      <w:r>
        <w:t>medication</w:t>
      </w:r>
      <w:proofErr w:type="gramEnd"/>
    </w:p>
    <w:p w14:paraId="444D645A" w14:textId="77777777" w:rsidR="00D46B50" w:rsidRDefault="00D46B50" w:rsidP="4B774724">
      <w:pPr>
        <w:pStyle w:val="ListNumber"/>
        <w:jc w:val="both"/>
      </w:pPr>
      <w:r>
        <w:t xml:space="preserve">All requests for </w:t>
      </w:r>
      <w:r w:rsidRPr="4B774724">
        <w:rPr>
          <w:color w:val="000000" w:themeColor="text1"/>
        </w:rPr>
        <w:t>repeat</w:t>
      </w:r>
      <w:r>
        <w:t xml:space="preserve"> prescriptions should be reviewed individually prior to </w:t>
      </w:r>
      <w:proofErr w:type="gramStart"/>
      <w:r>
        <w:t>issuing</w:t>
      </w:r>
      <w:proofErr w:type="gramEnd"/>
    </w:p>
    <w:p w14:paraId="680F9E65" w14:textId="77777777" w:rsidR="00D46B50" w:rsidRPr="005D095E" w:rsidRDefault="00D46B50" w:rsidP="4B774724">
      <w:pPr>
        <w:pStyle w:val="NCLHeading2"/>
      </w:pPr>
      <w:bookmarkStart w:id="5" w:name="_Toc2089562152"/>
      <w:r>
        <w:t>Patient responsibility</w:t>
      </w:r>
      <w:bookmarkEnd w:id="5"/>
    </w:p>
    <w:p w14:paraId="3A3C7065" w14:textId="77777777" w:rsidR="00D46B50" w:rsidRPr="0027048E" w:rsidRDefault="00D46B50" w:rsidP="4B774724">
      <w:pPr>
        <w:pStyle w:val="ListNumber"/>
        <w:numPr>
          <w:ilvl w:val="0"/>
          <w:numId w:val="14"/>
        </w:numPr>
        <w:jc w:val="both"/>
      </w:pPr>
      <w:r>
        <w:t xml:space="preserve">Attend all hospital and GP </w:t>
      </w:r>
      <w:proofErr w:type="gramStart"/>
      <w:r>
        <w:t>appointments</w:t>
      </w:r>
      <w:proofErr w:type="gramEnd"/>
    </w:p>
    <w:p w14:paraId="3BB09527" w14:textId="77777777" w:rsidR="00D46B50" w:rsidRPr="0027048E" w:rsidRDefault="00D46B50" w:rsidP="4B774724">
      <w:pPr>
        <w:pStyle w:val="ListNumber"/>
        <w:jc w:val="both"/>
      </w:pPr>
      <w:r>
        <w:t xml:space="preserve">Take medicines as </w:t>
      </w:r>
      <w:proofErr w:type="gramStart"/>
      <w:r>
        <w:t>agreed</w:t>
      </w:r>
      <w:proofErr w:type="gramEnd"/>
    </w:p>
    <w:p w14:paraId="0056D76F" w14:textId="77777777" w:rsidR="00D46B50" w:rsidRPr="0027048E" w:rsidRDefault="00D46B50" w:rsidP="4B774724">
      <w:pPr>
        <w:pStyle w:val="ListNumber"/>
        <w:jc w:val="both"/>
      </w:pPr>
      <w:r>
        <w:t xml:space="preserve">Report to the specialist or GP if he/she does not have a clear understanding of the </w:t>
      </w:r>
      <w:proofErr w:type="gramStart"/>
      <w:r>
        <w:t>treatment</w:t>
      </w:r>
      <w:proofErr w:type="gramEnd"/>
    </w:p>
    <w:p w14:paraId="1E935DC5" w14:textId="77777777" w:rsidR="00D46B50" w:rsidRPr="0027048E" w:rsidRDefault="00D46B50" w:rsidP="4B774724">
      <w:pPr>
        <w:pStyle w:val="ListNumber"/>
        <w:jc w:val="both"/>
      </w:pPr>
      <w:r>
        <w:t xml:space="preserve">Inform specialist or GP of any other medication being taken, including </w:t>
      </w:r>
      <w:proofErr w:type="gramStart"/>
      <w:r>
        <w:t>over-the-counter</w:t>
      </w:r>
      <w:proofErr w:type="gramEnd"/>
      <w:r>
        <w:t xml:space="preserve"> products</w:t>
      </w:r>
    </w:p>
    <w:p w14:paraId="16811AFF" w14:textId="77777777" w:rsidR="00D46B50" w:rsidRPr="0027048E" w:rsidRDefault="00D46B50" w:rsidP="4B774724">
      <w:pPr>
        <w:pStyle w:val="ListNumber"/>
        <w:jc w:val="both"/>
      </w:pPr>
      <w:r>
        <w:t xml:space="preserve">Report any adverse effects or warning symptoms to GP or </w:t>
      </w:r>
      <w:proofErr w:type="gramStart"/>
      <w:r>
        <w:t>specialist</w:t>
      </w:r>
      <w:proofErr w:type="gramEnd"/>
    </w:p>
    <w:p w14:paraId="71F574FC" w14:textId="77777777" w:rsidR="00D46B50" w:rsidRPr="0027048E" w:rsidRDefault="00D46B50" w:rsidP="4B774724">
      <w:pPr>
        <w:pStyle w:val="ListNumber"/>
        <w:jc w:val="both"/>
      </w:pPr>
      <w:r>
        <w:t xml:space="preserve">Inform hospital and GP of any changes in address or telephone </w:t>
      </w:r>
      <w:proofErr w:type="gramStart"/>
      <w:r>
        <w:t>numbers</w:t>
      </w:r>
      <w:proofErr w:type="gramEnd"/>
    </w:p>
    <w:p w14:paraId="7095EB45" w14:textId="77777777" w:rsidR="00D46B50" w:rsidRPr="0027048E" w:rsidRDefault="00D46B50" w:rsidP="4B774724">
      <w:pPr>
        <w:pStyle w:val="NCLHeading2"/>
      </w:pPr>
      <w:bookmarkStart w:id="6" w:name="_Toc881374600"/>
      <w:r>
        <w:t>Clinical Commissioning Group</w:t>
      </w:r>
      <w:bookmarkEnd w:id="6"/>
    </w:p>
    <w:p w14:paraId="426F9C7E" w14:textId="77777777" w:rsidR="00D46B50" w:rsidRPr="0027048E" w:rsidRDefault="00D46B50" w:rsidP="4B774724">
      <w:pPr>
        <w:pStyle w:val="ListNumber"/>
        <w:numPr>
          <w:ilvl w:val="0"/>
          <w:numId w:val="15"/>
        </w:numPr>
        <w:jc w:val="both"/>
      </w:pPr>
      <w:r>
        <w:t>To provide feedback to Trusts from the standard letter, via the shared care forum.</w:t>
      </w:r>
    </w:p>
    <w:p w14:paraId="4ED3734D" w14:textId="77777777" w:rsidR="00D46B50" w:rsidRDefault="00D46B50" w:rsidP="4B774724">
      <w:pPr>
        <w:pStyle w:val="ListNumber"/>
        <w:jc w:val="both"/>
      </w:pPr>
      <w:r>
        <w:t xml:space="preserve">To support GPs to make the decision </w:t>
      </w:r>
      <w:proofErr w:type="gramStart"/>
      <w:r>
        <w:t>whether or not</w:t>
      </w:r>
      <w:proofErr w:type="gramEnd"/>
      <w:r>
        <w:t xml:space="preserve"> to accept clinical responsibility for prescribing. </w:t>
      </w:r>
    </w:p>
    <w:p w14:paraId="20FB2F89" w14:textId="77777777" w:rsidR="00D46B50" w:rsidRPr="00F6699A" w:rsidRDefault="00D46B50" w:rsidP="4B774724">
      <w:pPr>
        <w:pStyle w:val="ListNumber"/>
        <w:jc w:val="both"/>
      </w:pPr>
      <w:r>
        <w:t xml:space="preserve">To support Trusts in the resolving issues that may arise as a result of shared care. </w:t>
      </w:r>
    </w:p>
    <w:p w14:paraId="5F5B5716" w14:textId="77777777" w:rsidR="00D46B50" w:rsidRDefault="00D46B50" w:rsidP="00D46B50">
      <w:pPr>
        <w:pStyle w:val="NCLBodyText"/>
      </w:pPr>
    </w:p>
    <w:p w14:paraId="4E28C94C" w14:textId="77777777" w:rsidR="00D46B50" w:rsidRDefault="00D46B50" w:rsidP="00D46B50">
      <w:pPr>
        <w:pStyle w:val="NCLHeading1"/>
      </w:pPr>
      <w:bookmarkStart w:id="7" w:name="_Toc555450346"/>
      <w:r>
        <w:t>Indications</w:t>
      </w:r>
      <w:bookmarkEnd w:id="7"/>
    </w:p>
    <w:p w14:paraId="0DBF4E71" w14:textId="0FE3B6F9" w:rsidR="00D46B50" w:rsidRDefault="00433776" w:rsidP="00D46B50">
      <w:pPr>
        <w:pStyle w:val="NCLBodyText"/>
      </w:pPr>
      <w:r>
        <w:t>Riluzole</w:t>
      </w:r>
      <w:r w:rsidR="00D46B50">
        <w:t xml:space="preserve"> is for the treatment of adults with </w:t>
      </w:r>
      <w:r>
        <w:t xml:space="preserve">amyotrophic lateral sclerosis (ALS) form of motor neurone </w:t>
      </w:r>
      <w:proofErr w:type="gramStart"/>
      <w:r>
        <w:t>disease</w:t>
      </w:r>
      <w:proofErr w:type="gramEnd"/>
    </w:p>
    <w:p w14:paraId="7F30F2C1" w14:textId="77777777" w:rsidR="00D46B50" w:rsidRDefault="00D46B50" w:rsidP="00CC34C1">
      <w:pPr>
        <w:pStyle w:val="NCLHeading1"/>
      </w:pPr>
      <w:bookmarkStart w:id="8" w:name="_Toc770275333"/>
      <w:r>
        <w:t>Dose and Administration</w:t>
      </w:r>
      <w:bookmarkEnd w:id="8"/>
    </w:p>
    <w:p w14:paraId="4ED213D3" w14:textId="0C16A1A9" w:rsidR="00226FBE" w:rsidRPr="0043451D" w:rsidRDefault="00433776" w:rsidP="00226FBE">
      <w:pPr>
        <w:pStyle w:val="CM13"/>
        <w:jc w:val="both"/>
        <w:rPr>
          <w:rFonts w:asciiTheme="minorHAnsi" w:hAnsiTheme="minorHAnsi" w:cs="Helvetica"/>
          <w:color w:val="000000"/>
          <w:sz w:val="22"/>
          <w:szCs w:val="22"/>
        </w:rPr>
      </w:pPr>
      <w:r>
        <w:rPr>
          <w:rFonts w:asciiTheme="minorHAnsi" w:hAnsiTheme="minorHAnsi" w:cs="Helvetica"/>
          <w:color w:val="000000"/>
          <w:sz w:val="22"/>
          <w:szCs w:val="22"/>
        </w:rPr>
        <w:t xml:space="preserve">The licensed dose is 50 mg twice a </w:t>
      </w:r>
      <w:proofErr w:type="gramStart"/>
      <w:r w:rsidR="00226FBE" w:rsidRPr="0043451D">
        <w:rPr>
          <w:rFonts w:asciiTheme="minorHAnsi" w:hAnsiTheme="minorHAnsi" w:cs="Helvetica"/>
          <w:color w:val="000000"/>
          <w:sz w:val="22"/>
          <w:szCs w:val="22"/>
        </w:rPr>
        <w:t>day</w:t>
      </w:r>
      <w:proofErr w:type="gramEnd"/>
      <w:r w:rsidR="00226FBE" w:rsidRPr="0043451D">
        <w:rPr>
          <w:rFonts w:asciiTheme="minorHAnsi" w:hAnsiTheme="minorHAnsi" w:cs="Helvetica"/>
          <w:color w:val="000000"/>
          <w:sz w:val="22"/>
          <w:szCs w:val="22"/>
        </w:rPr>
        <w:t xml:space="preserve"> </w:t>
      </w:r>
    </w:p>
    <w:p w14:paraId="7044EB7A" w14:textId="436700F4" w:rsidR="00433776" w:rsidRDefault="00433776" w:rsidP="2AB8EA19">
      <w:pPr>
        <w:ind w:right="-514"/>
        <w:jc w:val="both"/>
        <w:rPr>
          <w:rFonts w:asciiTheme="minorHAnsi" w:hAnsiTheme="minorHAnsi"/>
          <w:sz w:val="22"/>
          <w:szCs w:val="22"/>
        </w:rPr>
      </w:pPr>
      <w:r w:rsidRPr="2AB8EA19">
        <w:rPr>
          <w:rFonts w:asciiTheme="minorHAnsi" w:hAnsiTheme="minorHAnsi"/>
          <w:sz w:val="22"/>
          <w:szCs w:val="22"/>
        </w:rPr>
        <w:t xml:space="preserve">The oral suspension is licensed for administration via an enteral feeding tube.  </w:t>
      </w:r>
    </w:p>
    <w:p w14:paraId="707C3853" w14:textId="024E9890" w:rsidR="00433776" w:rsidRPr="00AD55BB" w:rsidRDefault="00433776" w:rsidP="4B774724">
      <w:pPr>
        <w:ind w:right="-514"/>
        <w:jc w:val="both"/>
        <w:rPr>
          <w:rFonts w:asciiTheme="minorHAnsi" w:hAnsiTheme="minorHAnsi" w:cs="Arial"/>
          <w:color w:val="000000"/>
          <w:sz w:val="22"/>
          <w:szCs w:val="22"/>
        </w:rPr>
      </w:pPr>
      <w:r w:rsidRPr="4B774724">
        <w:rPr>
          <w:rFonts w:asciiTheme="minorHAnsi" w:hAnsiTheme="minorHAnsi"/>
          <w:sz w:val="22"/>
          <w:szCs w:val="22"/>
        </w:rPr>
        <w:t xml:space="preserve">The film-coated tablets have been crushed </w:t>
      </w:r>
      <w:r w:rsidRPr="4B774724">
        <w:rPr>
          <w:rFonts w:asciiTheme="minorHAnsi" w:hAnsiTheme="minorHAnsi" w:cs="Arial"/>
          <w:color w:val="000000" w:themeColor="text1"/>
          <w:sz w:val="22"/>
          <w:szCs w:val="22"/>
        </w:rPr>
        <w:t xml:space="preserve">and dispersed in water </w:t>
      </w:r>
      <w:r w:rsidR="00576A13" w:rsidRPr="4B774724">
        <w:rPr>
          <w:rFonts w:asciiTheme="minorHAnsi" w:hAnsiTheme="minorHAnsi" w:cs="Arial"/>
          <w:color w:val="000000" w:themeColor="text1"/>
          <w:sz w:val="22"/>
          <w:szCs w:val="22"/>
        </w:rPr>
        <w:t xml:space="preserve">(off-label use) </w:t>
      </w:r>
      <w:r w:rsidRPr="4B774724">
        <w:rPr>
          <w:rFonts w:asciiTheme="minorHAnsi" w:hAnsiTheme="minorHAnsi" w:cs="Arial"/>
          <w:color w:val="000000" w:themeColor="text1"/>
          <w:sz w:val="22"/>
          <w:szCs w:val="22"/>
        </w:rPr>
        <w:t xml:space="preserve">for enteral tube administration however there have been reports of crushed riluzole tablets blocking enteral feeding tubes, therefore if used the tube should be flushed well after use. </w:t>
      </w:r>
      <w:r w:rsidR="00576A13" w:rsidRPr="4B774724">
        <w:rPr>
          <w:rFonts w:asciiTheme="minorHAnsi" w:hAnsiTheme="minorHAnsi" w:cs="Arial"/>
          <w:color w:val="000000" w:themeColor="text1"/>
          <w:sz w:val="22"/>
          <w:szCs w:val="22"/>
        </w:rPr>
        <w:t xml:space="preserve"> </w:t>
      </w:r>
    </w:p>
    <w:p w14:paraId="3A548A5D" w14:textId="0F4FF07A" w:rsidR="00226FBE" w:rsidRPr="0043451D" w:rsidRDefault="00226FBE" w:rsidP="00226FBE">
      <w:pPr>
        <w:pStyle w:val="CM13"/>
        <w:spacing w:line="253" w:lineRule="atLeast"/>
        <w:jc w:val="both"/>
        <w:rPr>
          <w:rFonts w:asciiTheme="minorHAnsi" w:hAnsiTheme="minorHAnsi" w:cs="Helvetica"/>
          <w:color w:val="000000"/>
          <w:sz w:val="22"/>
          <w:szCs w:val="22"/>
        </w:rPr>
      </w:pPr>
      <w:r w:rsidRPr="0043451D">
        <w:rPr>
          <w:rFonts w:asciiTheme="minorHAnsi" w:hAnsiTheme="minorHAnsi" w:cs="Helvetica"/>
          <w:b/>
          <w:i/>
          <w:iCs/>
          <w:color w:val="000000"/>
          <w:sz w:val="22"/>
          <w:szCs w:val="22"/>
        </w:rPr>
        <w:t>Renal impairment</w:t>
      </w:r>
      <w:r w:rsidRPr="0043451D">
        <w:rPr>
          <w:rFonts w:asciiTheme="minorHAnsi" w:hAnsiTheme="minorHAnsi" w:cs="Helvetica"/>
          <w:i/>
          <w:iCs/>
          <w:color w:val="000000"/>
          <w:sz w:val="22"/>
          <w:szCs w:val="22"/>
        </w:rPr>
        <w:t xml:space="preserve">: </w:t>
      </w:r>
      <w:r w:rsidR="00433776">
        <w:rPr>
          <w:rFonts w:asciiTheme="minorHAnsi" w:hAnsiTheme="minorHAnsi" w:cs="Helvetica"/>
          <w:color w:val="000000"/>
          <w:sz w:val="22"/>
          <w:szCs w:val="22"/>
        </w:rPr>
        <w:t xml:space="preserve">Riluzole is not recommended for use in patients with renal </w:t>
      </w:r>
      <w:proofErr w:type="gramStart"/>
      <w:r w:rsidR="00433776">
        <w:rPr>
          <w:rFonts w:asciiTheme="minorHAnsi" w:hAnsiTheme="minorHAnsi" w:cs="Helvetica"/>
          <w:color w:val="000000"/>
          <w:sz w:val="22"/>
          <w:szCs w:val="22"/>
        </w:rPr>
        <w:t>impairment</w:t>
      </w:r>
      <w:proofErr w:type="gramEnd"/>
    </w:p>
    <w:p w14:paraId="743FCEDE" w14:textId="3E6EF15F" w:rsidR="00433776" w:rsidRDefault="00226FBE" w:rsidP="00433776">
      <w:pPr>
        <w:pStyle w:val="CM13"/>
        <w:spacing w:line="253" w:lineRule="atLeast"/>
        <w:jc w:val="both"/>
        <w:rPr>
          <w:rFonts w:asciiTheme="minorHAnsi" w:hAnsiTheme="minorHAnsi" w:cs="Helvetica"/>
          <w:color w:val="000000"/>
          <w:sz w:val="22"/>
          <w:szCs w:val="22"/>
        </w:rPr>
      </w:pPr>
      <w:r w:rsidRPr="0043451D">
        <w:rPr>
          <w:rFonts w:asciiTheme="minorHAnsi" w:hAnsiTheme="minorHAnsi" w:cs="Helvetica"/>
          <w:b/>
          <w:i/>
          <w:iCs/>
          <w:color w:val="000000"/>
          <w:sz w:val="22"/>
          <w:szCs w:val="22"/>
        </w:rPr>
        <w:t>Hepatic impairment</w:t>
      </w:r>
      <w:r w:rsidRPr="0043451D">
        <w:rPr>
          <w:rFonts w:asciiTheme="minorHAnsi" w:hAnsiTheme="minorHAnsi" w:cs="Helvetica"/>
          <w:i/>
          <w:iCs/>
          <w:color w:val="000000"/>
          <w:sz w:val="22"/>
          <w:szCs w:val="22"/>
        </w:rPr>
        <w:t xml:space="preserve">: </w:t>
      </w:r>
      <w:r w:rsidR="00433776" w:rsidRPr="00433776">
        <w:rPr>
          <w:rFonts w:asciiTheme="minorHAnsi" w:hAnsiTheme="minorHAnsi" w:cs="Helvetica"/>
          <w:iCs/>
          <w:color w:val="000000"/>
          <w:sz w:val="22"/>
          <w:szCs w:val="22"/>
        </w:rPr>
        <w:t xml:space="preserve">There is </w:t>
      </w:r>
      <w:r w:rsidR="00433776">
        <w:rPr>
          <w:rFonts w:asciiTheme="minorHAnsi" w:hAnsiTheme="minorHAnsi" w:cs="Helvetica"/>
          <w:iCs/>
          <w:color w:val="000000"/>
          <w:sz w:val="22"/>
          <w:szCs w:val="22"/>
        </w:rPr>
        <w:t xml:space="preserve">no information available on dose </w:t>
      </w:r>
      <w:r w:rsidRPr="00433776">
        <w:rPr>
          <w:rFonts w:asciiTheme="minorHAnsi" w:hAnsiTheme="minorHAnsi" w:cs="Helvetica"/>
          <w:color w:val="000000"/>
          <w:sz w:val="22"/>
          <w:szCs w:val="22"/>
        </w:rPr>
        <w:t>adjustment</w:t>
      </w:r>
      <w:r w:rsidR="00433776">
        <w:rPr>
          <w:rFonts w:asciiTheme="minorHAnsi" w:hAnsiTheme="minorHAnsi" w:cs="Helvetica"/>
          <w:color w:val="000000"/>
          <w:sz w:val="22"/>
          <w:szCs w:val="22"/>
        </w:rPr>
        <w:t xml:space="preserve"> in patients with hepatic impairment</w:t>
      </w:r>
      <w:r w:rsidR="00833857">
        <w:rPr>
          <w:rFonts w:asciiTheme="minorHAnsi" w:hAnsiTheme="minorHAnsi" w:cs="Helvetica"/>
          <w:color w:val="000000"/>
          <w:sz w:val="22"/>
          <w:szCs w:val="22"/>
        </w:rPr>
        <w:t>. Caution is advised when prescribing in patients with slightly elevated liver function tests (see “Section 7 – cautions” for more information)</w:t>
      </w:r>
    </w:p>
    <w:p w14:paraId="3F4E805D" w14:textId="77777777" w:rsidR="00D46B50" w:rsidRDefault="00D46B50" w:rsidP="00CC34C1">
      <w:pPr>
        <w:pStyle w:val="NCLSubsection"/>
      </w:pPr>
      <w:r>
        <w:t>Preparations available</w:t>
      </w:r>
    </w:p>
    <w:p w14:paraId="419F4E7F" w14:textId="32A2611A" w:rsidR="00D46B50" w:rsidRDefault="00433776" w:rsidP="00D46B50">
      <w:pPr>
        <w:pStyle w:val="NCLBodyText"/>
      </w:pPr>
      <w:r>
        <w:t xml:space="preserve">Riluzole 50mg </w:t>
      </w:r>
      <w:r w:rsidR="00561447">
        <w:t>film-coated</w:t>
      </w:r>
      <w:r>
        <w:t xml:space="preserve"> tablets</w:t>
      </w:r>
    </w:p>
    <w:p w14:paraId="157F71D7" w14:textId="701B4C3B" w:rsidR="00433776" w:rsidRDefault="00433776" w:rsidP="00D46B50">
      <w:pPr>
        <w:pStyle w:val="NCLBodyText"/>
      </w:pPr>
      <w:r>
        <w:t>Riluzole 5mg/1ml oral suspension</w:t>
      </w:r>
    </w:p>
    <w:p w14:paraId="03AA5B06" w14:textId="0BB1F319" w:rsidR="00441640" w:rsidRDefault="005F7098" w:rsidP="00D46B50">
      <w:pPr>
        <w:pStyle w:val="NCLBodyText"/>
      </w:pPr>
      <w:r>
        <w:t>Riluzole (Emylif) 50mg orodispersible tablets</w:t>
      </w:r>
    </w:p>
    <w:p w14:paraId="17932865" w14:textId="77777777" w:rsidR="00CC34C1" w:rsidRDefault="00CC34C1" w:rsidP="00CC34C1">
      <w:pPr>
        <w:pStyle w:val="NCLHeading1"/>
      </w:pPr>
      <w:bookmarkStart w:id="9" w:name="_Toc204279424"/>
      <w:r>
        <w:t>Adverse effects</w:t>
      </w:r>
      <w:bookmarkEnd w:id="9"/>
    </w:p>
    <w:tbl>
      <w:tblPr>
        <w:tblStyle w:val="TableGrid"/>
        <w:tblW w:w="0" w:type="auto"/>
        <w:tblLook w:val="04A0" w:firstRow="1" w:lastRow="0" w:firstColumn="1" w:lastColumn="0" w:noHBand="0" w:noVBand="1"/>
      </w:tblPr>
      <w:tblGrid>
        <w:gridCol w:w="2487"/>
        <w:gridCol w:w="1542"/>
        <w:gridCol w:w="5293"/>
      </w:tblGrid>
      <w:tr w:rsidR="00226FBE" w:rsidRPr="00B01A7A" w14:paraId="08506843" w14:textId="77777777" w:rsidTr="2AB8EA19">
        <w:tc>
          <w:tcPr>
            <w:tcW w:w="2487" w:type="dxa"/>
            <w:shd w:val="clear" w:color="auto" w:fill="D9D9D9" w:themeFill="background1" w:themeFillShade="D9"/>
          </w:tcPr>
          <w:p w14:paraId="6DB5BFFA" w14:textId="77777777" w:rsidR="00226FBE" w:rsidRPr="00226FBE" w:rsidRDefault="00226FBE" w:rsidP="00226FBE">
            <w:pPr>
              <w:pStyle w:val="NCLBodyText"/>
              <w:rPr>
                <w:rFonts w:asciiTheme="minorHAnsi" w:hAnsiTheme="minorHAnsi" w:cstheme="minorHAnsi"/>
                <w:b/>
                <w:bCs/>
              </w:rPr>
            </w:pPr>
            <w:r w:rsidRPr="00226FBE">
              <w:rPr>
                <w:rFonts w:asciiTheme="minorHAnsi" w:hAnsiTheme="minorHAnsi" w:cstheme="minorHAnsi"/>
                <w:b/>
                <w:bCs/>
              </w:rPr>
              <w:t>Adverse effect</w:t>
            </w:r>
          </w:p>
        </w:tc>
        <w:tc>
          <w:tcPr>
            <w:tcW w:w="1542" w:type="dxa"/>
            <w:shd w:val="clear" w:color="auto" w:fill="D9D9D9" w:themeFill="background1" w:themeFillShade="D9"/>
          </w:tcPr>
          <w:p w14:paraId="7092D3F3" w14:textId="77777777" w:rsidR="00226FBE" w:rsidRPr="00B01A7A" w:rsidRDefault="00226FBE" w:rsidP="00B1573E">
            <w:pPr>
              <w:pStyle w:val="NCLBodyText"/>
              <w:rPr>
                <w:rFonts w:asciiTheme="minorHAnsi" w:hAnsiTheme="minorHAnsi" w:cstheme="minorHAnsi"/>
                <w:b/>
                <w:bCs/>
              </w:rPr>
            </w:pPr>
            <w:r w:rsidRPr="00B01A7A">
              <w:rPr>
                <w:rFonts w:asciiTheme="minorHAnsi" w:hAnsiTheme="minorHAnsi" w:cstheme="minorHAnsi"/>
                <w:b/>
                <w:bCs/>
              </w:rPr>
              <w:t>Frequency</w:t>
            </w:r>
          </w:p>
        </w:tc>
        <w:tc>
          <w:tcPr>
            <w:tcW w:w="5293" w:type="dxa"/>
            <w:shd w:val="clear" w:color="auto" w:fill="D9D9D9" w:themeFill="background1" w:themeFillShade="D9"/>
          </w:tcPr>
          <w:p w14:paraId="4BDA147A" w14:textId="77777777" w:rsidR="00226FBE" w:rsidRPr="00B01A7A" w:rsidRDefault="00226FBE" w:rsidP="00B1573E">
            <w:pPr>
              <w:pStyle w:val="NCLBodyText"/>
              <w:rPr>
                <w:rFonts w:asciiTheme="minorHAnsi" w:hAnsiTheme="minorHAnsi" w:cstheme="minorHAnsi"/>
                <w:b/>
                <w:bCs/>
              </w:rPr>
            </w:pPr>
            <w:r w:rsidRPr="00B01A7A">
              <w:rPr>
                <w:rFonts w:asciiTheme="minorHAnsi" w:hAnsiTheme="minorHAnsi" w:cstheme="minorHAnsi"/>
                <w:b/>
                <w:bCs/>
              </w:rPr>
              <w:t>Suggested management by GP</w:t>
            </w:r>
          </w:p>
        </w:tc>
      </w:tr>
      <w:tr w:rsidR="00226FBE" w:rsidRPr="00B01A7A" w14:paraId="2E49C381" w14:textId="77777777" w:rsidTr="2AB8EA19">
        <w:tc>
          <w:tcPr>
            <w:tcW w:w="2487" w:type="dxa"/>
          </w:tcPr>
          <w:p w14:paraId="0FBC80F3" w14:textId="74B68E8F" w:rsidR="00226FBE" w:rsidRPr="00B01A7A" w:rsidRDefault="00433776" w:rsidP="2AB8EA19">
            <w:pPr>
              <w:pStyle w:val="NCLBodyText"/>
              <w:rPr>
                <w:rFonts w:asciiTheme="minorHAnsi" w:hAnsiTheme="minorHAnsi" w:cstheme="minorBidi"/>
              </w:rPr>
            </w:pPr>
            <w:r w:rsidRPr="2AB8EA19">
              <w:rPr>
                <w:rFonts w:asciiTheme="minorHAnsi" w:hAnsiTheme="minorHAnsi" w:cstheme="minorBidi"/>
              </w:rPr>
              <w:t>Nausea,</w:t>
            </w:r>
            <w:r w:rsidR="11819FE0" w:rsidRPr="2AB8EA19">
              <w:rPr>
                <w:rFonts w:asciiTheme="minorHAnsi" w:hAnsiTheme="minorHAnsi" w:cstheme="minorBidi"/>
              </w:rPr>
              <w:t xml:space="preserve"> </w:t>
            </w:r>
            <w:r w:rsidR="001A4E75" w:rsidRPr="2AB8EA19">
              <w:rPr>
                <w:rFonts w:asciiTheme="minorHAnsi" w:hAnsiTheme="minorHAnsi" w:cstheme="minorBidi"/>
              </w:rPr>
              <w:t>a</w:t>
            </w:r>
            <w:r w:rsidRPr="2AB8EA19">
              <w:rPr>
                <w:rFonts w:asciiTheme="minorHAnsi" w:hAnsiTheme="minorHAnsi" w:cstheme="minorBidi"/>
              </w:rPr>
              <w:t xml:space="preserve">bnormal liver function tests, asthenia </w:t>
            </w:r>
          </w:p>
        </w:tc>
        <w:tc>
          <w:tcPr>
            <w:tcW w:w="1542" w:type="dxa"/>
          </w:tcPr>
          <w:p w14:paraId="4DAB9D01" w14:textId="5999AF72" w:rsidR="00226FBE" w:rsidRPr="00B01A7A" w:rsidRDefault="00433776" w:rsidP="00B1573E">
            <w:pPr>
              <w:pStyle w:val="NCLBodyText"/>
              <w:rPr>
                <w:rFonts w:asciiTheme="minorHAnsi" w:hAnsiTheme="minorHAnsi" w:cstheme="minorHAnsi"/>
              </w:rPr>
            </w:pPr>
            <w:r>
              <w:rPr>
                <w:rFonts w:asciiTheme="minorHAnsi" w:hAnsiTheme="minorHAnsi" w:cstheme="minorHAnsi"/>
              </w:rPr>
              <w:t>Very common (≥1/10)</w:t>
            </w:r>
          </w:p>
        </w:tc>
        <w:tc>
          <w:tcPr>
            <w:tcW w:w="5293" w:type="dxa"/>
          </w:tcPr>
          <w:p w14:paraId="4BB30814" w14:textId="39274210" w:rsidR="00226FBE" w:rsidRPr="00B01A7A" w:rsidRDefault="00F660DE" w:rsidP="00B1573E">
            <w:pPr>
              <w:pStyle w:val="NCLBodyText"/>
              <w:rPr>
                <w:rFonts w:asciiTheme="minorHAnsi" w:hAnsiTheme="minorHAnsi" w:cstheme="minorHAnsi"/>
              </w:rPr>
            </w:pPr>
            <w:r w:rsidRPr="00F660DE">
              <w:rPr>
                <w:rFonts w:asciiTheme="minorHAnsi" w:hAnsiTheme="minorHAnsi" w:cstheme="minorHAnsi"/>
              </w:rPr>
              <w:t>ALT increases seen in first 3 months are usually transient and return to normal with continued treatment</w:t>
            </w:r>
            <w:r>
              <w:rPr>
                <w:rFonts w:asciiTheme="minorHAnsi" w:hAnsiTheme="minorHAnsi" w:cstheme="minorHAnsi"/>
              </w:rPr>
              <w:t>.</w:t>
            </w:r>
            <w:r w:rsidR="00E245B8">
              <w:rPr>
                <w:rFonts w:asciiTheme="minorHAnsi" w:hAnsiTheme="minorHAnsi" w:cstheme="minorHAnsi"/>
              </w:rPr>
              <w:t xml:space="preserve"> </w:t>
            </w:r>
            <w:r w:rsidR="00433776">
              <w:rPr>
                <w:rFonts w:asciiTheme="minorHAnsi" w:hAnsiTheme="minorHAnsi" w:cstheme="minorHAnsi"/>
              </w:rPr>
              <w:t>If ongoing, discuss with specialist</w:t>
            </w:r>
            <w:r w:rsidR="00D44566">
              <w:rPr>
                <w:rFonts w:asciiTheme="minorHAnsi" w:hAnsiTheme="minorHAnsi" w:cstheme="minorHAnsi"/>
              </w:rPr>
              <w:t xml:space="preserve">; Discontinue treatment </w:t>
            </w:r>
            <w:r w:rsidR="00D44566">
              <w:rPr>
                <w:rFonts w:asciiTheme="minorHAnsi" w:hAnsiTheme="minorHAnsi" w:cstheme="minorHAnsi"/>
              </w:rPr>
              <w:lastRenderedPageBreak/>
              <w:t xml:space="preserve">and </w:t>
            </w:r>
            <w:proofErr w:type="gramStart"/>
            <w:r w:rsidR="00D44566">
              <w:rPr>
                <w:rFonts w:asciiTheme="minorHAnsi" w:hAnsiTheme="minorHAnsi" w:cstheme="minorHAnsi"/>
              </w:rPr>
              <w:t>refer back</w:t>
            </w:r>
            <w:proofErr w:type="gramEnd"/>
            <w:r w:rsidR="00D44566">
              <w:rPr>
                <w:rFonts w:asciiTheme="minorHAnsi" w:hAnsiTheme="minorHAnsi" w:cstheme="minorHAnsi"/>
              </w:rPr>
              <w:t xml:space="preserve"> if ALT increases are 5 times the upper limit of normal or higher</w:t>
            </w:r>
            <w:r w:rsidR="0008657C">
              <w:rPr>
                <w:rFonts w:asciiTheme="minorHAnsi" w:hAnsiTheme="minorHAnsi" w:cstheme="minorHAnsi"/>
              </w:rPr>
              <w:t xml:space="preserve"> (as per Section 8 – clinical monitoring)</w:t>
            </w:r>
            <w:r w:rsidR="00433776">
              <w:rPr>
                <w:rFonts w:asciiTheme="minorHAnsi" w:hAnsiTheme="minorHAnsi" w:cstheme="minorHAnsi"/>
              </w:rPr>
              <w:t xml:space="preserve"> </w:t>
            </w:r>
          </w:p>
        </w:tc>
      </w:tr>
      <w:tr w:rsidR="00226FBE" w:rsidRPr="00B01A7A" w14:paraId="2437BE8D" w14:textId="77777777" w:rsidTr="2AB8EA19">
        <w:tc>
          <w:tcPr>
            <w:tcW w:w="2487" w:type="dxa"/>
          </w:tcPr>
          <w:p w14:paraId="5EDDF657" w14:textId="47FD2165" w:rsidR="00226FBE" w:rsidRPr="00B01A7A" w:rsidRDefault="00433776" w:rsidP="00B1573E">
            <w:pPr>
              <w:pStyle w:val="NCLBodyText"/>
              <w:rPr>
                <w:rFonts w:asciiTheme="minorHAnsi" w:hAnsiTheme="minorHAnsi" w:cstheme="minorHAnsi"/>
              </w:rPr>
            </w:pPr>
            <w:r>
              <w:rPr>
                <w:rFonts w:asciiTheme="minorHAnsi" w:hAnsiTheme="minorHAnsi" w:cstheme="minorHAnsi"/>
              </w:rPr>
              <w:lastRenderedPageBreak/>
              <w:t xml:space="preserve">Headache, dizziness, oral paraesthesia, somnolence, tachycardia, diarrhoea, abdominal pain, vomiting </w:t>
            </w:r>
          </w:p>
        </w:tc>
        <w:tc>
          <w:tcPr>
            <w:tcW w:w="1542" w:type="dxa"/>
          </w:tcPr>
          <w:p w14:paraId="04405694" w14:textId="650EA799" w:rsidR="00226FBE" w:rsidRPr="00B01A7A" w:rsidRDefault="00433776" w:rsidP="00B1573E">
            <w:pPr>
              <w:pStyle w:val="NCLBodyText"/>
              <w:rPr>
                <w:rFonts w:asciiTheme="minorHAnsi" w:hAnsiTheme="minorHAnsi" w:cstheme="minorHAnsi"/>
              </w:rPr>
            </w:pPr>
            <w:r>
              <w:rPr>
                <w:rFonts w:asciiTheme="minorHAnsi" w:hAnsiTheme="minorHAnsi" w:cstheme="minorHAnsi"/>
              </w:rPr>
              <w:t>Common (≥1/100 to &lt;1/10)</w:t>
            </w:r>
          </w:p>
        </w:tc>
        <w:tc>
          <w:tcPr>
            <w:tcW w:w="5293" w:type="dxa"/>
          </w:tcPr>
          <w:p w14:paraId="33461F9E" w14:textId="7AE4F1D5" w:rsidR="00226FBE" w:rsidRPr="00B01A7A" w:rsidRDefault="00433776" w:rsidP="00B1573E">
            <w:pPr>
              <w:pStyle w:val="NCLBodyText"/>
              <w:rPr>
                <w:rFonts w:asciiTheme="minorHAnsi" w:hAnsiTheme="minorHAnsi" w:cstheme="minorHAnsi"/>
              </w:rPr>
            </w:pPr>
            <w:r>
              <w:rPr>
                <w:rFonts w:asciiTheme="minorHAnsi" w:hAnsiTheme="minorHAnsi" w:cstheme="minorHAnsi"/>
              </w:rPr>
              <w:t>As per routine management.  If ongoing, discuss with specialist</w:t>
            </w:r>
          </w:p>
        </w:tc>
      </w:tr>
      <w:tr w:rsidR="001558F8" w:rsidRPr="00B01A7A" w14:paraId="337FEE95" w14:textId="77777777" w:rsidTr="2AB8EA19">
        <w:tc>
          <w:tcPr>
            <w:tcW w:w="2487" w:type="dxa"/>
          </w:tcPr>
          <w:p w14:paraId="41EF5B0D" w14:textId="405B4A12" w:rsidR="00D44566" w:rsidRDefault="00D44566" w:rsidP="00B1573E">
            <w:pPr>
              <w:pStyle w:val="NCLBodyText"/>
              <w:rPr>
                <w:rFonts w:asciiTheme="minorHAnsi" w:hAnsiTheme="minorHAnsi" w:cstheme="minorHAnsi"/>
              </w:rPr>
            </w:pPr>
            <w:r>
              <w:rPr>
                <w:rFonts w:asciiTheme="minorHAnsi" w:hAnsiTheme="minorHAnsi" w:cstheme="minorHAnsi"/>
              </w:rPr>
              <w:t>Interstitial lung disease</w:t>
            </w:r>
          </w:p>
        </w:tc>
        <w:tc>
          <w:tcPr>
            <w:tcW w:w="1542" w:type="dxa"/>
          </w:tcPr>
          <w:p w14:paraId="1684D0DA" w14:textId="5785FBF3" w:rsidR="00D44566" w:rsidRDefault="00D44566" w:rsidP="00B1573E">
            <w:pPr>
              <w:pStyle w:val="NCLBodyText"/>
              <w:rPr>
                <w:rFonts w:asciiTheme="minorHAnsi" w:hAnsiTheme="minorHAnsi" w:cstheme="minorHAnsi"/>
              </w:rPr>
            </w:pPr>
            <w:r>
              <w:rPr>
                <w:rFonts w:asciiTheme="minorHAnsi" w:hAnsiTheme="minorHAnsi" w:cstheme="minorHAnsi"/>
              </w:rPr>
              <w:t>Uncommon (≥1/1000 to &lt;1/100)</w:t>
            </w:r>
          </w:p>
        </w:tc>
        <w:tc>
          <w:tcPr>
            <w:tcW w:w="5293" w:type="dxa"/>
          </w:tcPr>
          <w:p w14:paraId="004CE77B" w14:textId="5C2A6F45" w:rsidR="00D44566" w:rsidRDefault="00D44566" w:rsidP="00B1573E">
            <w:pPr>
              <w:pStyle w:val="NCLBodyText"/>
              <w:rPr>
                <w:rFonts w:asciiTheme="minorHAnsi" w:hAnsiTheme="minorHAnsi" w:cstheme="minorHAnsi"/>
              </w:rPr>
            </w:pPr>
            <w:r>
              <w:rPr>
                <w:rFonts w:asciiTheme="minorHAnsi" w:eastAsia="Times New Roman" w:hAnsiTheme="minorHAnsi" w:cs="Arial"/>
                <w:color w:val="000000"/>
                <w:lang w:eastAsia="en-GB"/>
              </w:rPr>
              <w:t>If respiratory symptoms develop such as dry cough and/or dyspnoea, chest radiography should be performed</w:t>
            </w:r>
            <w:r>
              <w:rPr>
                <w:rFonts w:asciiTheme="minorHAnsi" w:hAnsiTheme="minorHAnsi" w:cstheme="minorHAnsi"/>
              </w:rPr>
              <w:t xml:space="preserve"> (see section 7 – Cautions for more information)</w:t>
            </w:r>
          </w:p>
        </w:tc>
      </w:tr>
      <w:tr w:rsidR="00226FBE" w:rsidRPr="00B01A7A" w14:paraId="385BB7F0" w14:textId="77777777" w:rsidTr="2AB8EA19">
        <w:tc>
          <w:tcPr>
            <w:tcW w:w="2487" w:type="dxa"/>
          </w:tcPr>
          <w:p w14:paraId="0995EC03" w14:textId="321E2B44" w:rsidR="00226FBE" w:rsidRPr="00B01A7A" w:rsidRDefault="00433776" w:rsidP="00B1573E">
            <w:pPr>
              <w:pStyle w:val="NCLBodyText"/>
              <w:rPr>
                <w:rFonts w:asciiTheme="minorHAnsi" w:hAnsiTheme="minorHAnsi" w:cstheme="minorHAnsi"/>
              </w:rPr>
            </w:pPr>
            <w:r>
              <w:rPr>
                <w:rFonts w:asciiTheme="minorHAnsi" w:hAnsiTheme="minorHAnsi" w:cstheme="minorHAnsi"/>
              </w:rPr>
              <w:t xml:space="preserve">Anaemia, anaphylactoid reaction, angioedema, pancreatitis </w:t>
            </w:r>
          </w:p>
        </w:tc>
        <w:tc>
          <w:tcPr>
            <w:tcW w:w="1542" w:type="dxa"/>
          </w:tcPr>
          <w:p w14:paraId="578BD8D3" w14:textId="4A1F6F12" w:rsidR="00226FBE" w:rsidRPr="00B01A7A" w:rsidRDefault="00433776" w:rsidP="00B1573E">
            <w:pPr>
              <w:pStyle w:val="NCLBodyText"/>
              <w:rPr>
                <w:rFonts w:asciiTheme="minorHAnsi" w:hAnsiTheme="minorHAnsi" w:cstheme="minorHAnsi"/>
              </w:rPr>
            </w:pPr>
            <w:r>
              <w:rPr>
                <w:rFonts w:asciiTheme="minorHAnsi" w:hAnsiTheme="minorHAnsi" w:cstheme="minorHAnsi"/>
              </w:rPr>
              <w:t>Uncommon (≥1/1000 to &lt;1/100)</w:t>
            </w:r>
          </w:p>
        </w:tc>
        <w:tc>
          <w:tcPr>
            <w:tcW w:w="5293" w:type="dxa"/>
          </w:tcPr>
          <w:p w14:paraId="2B09F729" w14:textId="4A6EA62C" w:rsidR="00226FBE" w:rsidRPr="00B01A7A" w:rsidRDefault="00433776" w:rsidP="00B1573E">
            <w:pPr>
              <w:pStyle w:val="NCLBodyText"/>
              <w:rPr>
                <w:rFonts w:asciiTheme="minorHAnsi" w:hAnsiTheme="minorHAnsi" w:cstheme="minorHAnsi"/>
              </w:rPr>
            </w:pPr>
            <w:r>
              <w:rPr>
                <w:rFonts w:asciiTheme="minorHAnsi" w:hAnsiTheme="minorHAnsi" w:cstheme="minorHAnsi"/>
              </w:rPr>
              <w:t xml:space="preserve">As per routine management.  If ongoing, discuss with specialist </w:t>
            </w:r>
          </w:p>
        </w:tc>
      </w:tr>
      <w:tr w:rsidR="00226FBE" w:rsidRPr="00B01A7A" w14:paraId="215D6454" w14:textId="77777777" w:rsidTr="2AB8EA19">
        <w:tc>
          <w:tcPr>
            <w:tcW w:w="2487" w:type="dxa"/>
          </w:tcPr>
          <w:p w14:paraId="31AC3613" w14:textId="4D37ACEE" w:rsidR="00226FBE" w:rsidRPr="00B01A7A" w:rsidRDefault="006308B5" w:rsidP="00B1573E">
            <w:pPr>
              <w:pStyle w:val="NCLBodyText"/>
              <w:rPr>
                <w:rFonts w:asciiTheme="minorHAnsi" w:hAnsiTheme="minorHAnsi" w:cstheme="minorHAnsi"/>
              </w:rPr>
            </w:pPr>
            <w:r>
              <w:rPr>
                <w:rFonts w:asciiTheme="minorHAnsi" w:hAnsiTheme="minorHAnsi" w:cstheme="minorHAnsi"/>
              </w:rPr>
              <w:t>Febrile illness and/or s</w:t>
            </w:r>
            <w:r w:rsidR="00433776">
              <w:rPr>
                <w:rFonts w:asciiTheme="minorHAnsi" w:hAnsiTheme="minorHAnsi" w:cstheme="minorHAnsi"/>
              </w:rPr>
              <w:t>evere neutropenia</w:t>
            </w:r>
          </w:p>
        </w:tc>
        <w:tc>
          <w:tcPr>
            <w:tcW w:w="1542" w:type="dxa"/>
          </w:tcPr>
          <w:p w14:paraId="36A3401C" w14:textId="768D3A0E" w:rsidR="00226FBE" w:rsidRPr="00B01A7A" w:rsidRDefault="00433776" w:rsidP="00B1573E">
            <w:pPr>
              <w:pStyle w:val="NCLBodyText"/>
              <w:rPr>
                <w:rFonts w:asciiTheme="minorHAnsi" w:hAnsiTheme="minorHAnsi" w:cstheme="minorHAnsi"/>
              </w:rPr>
            </w:pPr>
            <w:r>
              <w:rPr>
                <w:rFonts w:asciiTheme="minorHAnsi" w:hAnsiTheme="minorHAnsi" w:cstheme="minorHAnsi"/>
              </w:rPr>
              <w:t xml:space="preserve">Not known </w:t>
            </w:r>
          </w:p>
        </w:tc>
        <w:tc>
          <w:tcPr>
            <w:tcW w:w="5293" w:type="dxa"/>
          </w:tcPr>
          <w:p w14:paraId="0C925DD5" w14:textId="77777777" w:rsidR="006308B5" w:rsidRDefault="006308B5" w:rsidP="00B1573E">
            <w:pPr>
              <w:pStyle w:val="NCLBodyText"/>
              <w:rPr>
                <w:rFonts w:asciiTheme="minorHAnsi" w:hAnsiTheme="minorHAnsi" w:cstheme="minorHAnsi"/>
              </w:rPr>
            </w:pPr>
            <w:r>
              <w:rPr>
                <w:rFonts w:asciiTheme="minorHAnsi" w:hAnsiTheme="minorHAnsi" w:cstheme="minorHAnsi"/>
              </w:rPr>
              <w:t xml:space="preserve">Early symptoms of severe neutropenia can present as febrile illness. The report of febrile illness should prompt a blood test for FBC to check for neutropenia or decreased white cell count. </w:t>
            </w:r>
          </w:p>
          <w:p w14:paraId="0D83BFB4" w14:textId="77777777" w:rsidR="006308B5" w:rsidRDefault="006308B5" w:rsidP="00B1573E">
            <w:pPr>
              <w:pStyle w:val="NCLBodyText"/>
              <w:rPr>
                <w:rFonts w:asciiTheme="minorHAnsi" w:hAnsiTheme="minorHAnsi" w:cstheme="minorHAnsi"/>
              </w:rPr>
            </w:pPr>
          </w:p>
          <w:p w14:paraId="2FDF3768" w14:textId="4EA1690D" w:rsidR="00226FBE" w:rsidRPr="00B01A7A" w:rsidRDefault="006308B5" w:rsidP="00B1573E">
            <w:pPr>
              <w:pStyle w:val="NCLBodyText"/>
              <w:rPr>
                <w:rFonts w:asciiTheme="minorHAnsi" w:hAnsiTheme="minorHAnsi" w:cstheme="minorHAnsi"/>
              </w:rPr>
            </w:pPr>
            <w:r>
              <w:rPr>
                <w:rFonts w:asciiTheme="minorHAnsi" w:hAnsiTheme="minorHAnsi" w:cstheme="minorHAnsi"/>
              </w:rPr>
              <w:t>Severe neutropenia is usually treated in secondary care. Refer to the hospital and d</w:t>
            </w:r>
            <w:r w:rsidR="00433776">
              <w:rPr>
                <w:rFonts w:asciiTheme="minorHAnsi" w:hAnsiTheme="minorHAnsi" w:cstheme="minorHAnsi"/>
              </w:rPr>
              <w:t xml:space="preserve">iscuss with specialist if necessary. </w:t>
            </w:r>
          </w:p>
        </w:tc>
      </w:tr>
      <w:tr w:rsidR="006308B5" w:rsidRPr="00B01A7A" w14:paraId="158B033E" w14:textId="77777777" w:rsidTr="2AB8EA19">
        <w:tc>
          <w:tcPr>
            <w:tcW w:w="2487" w:type="dxa"/>
          </w:tcPr>
          <w:p w14:paraId="75B1FD3F" w14:textId="688FFFBC" w:rsidR="006308B5" w:rsidRDefault="006308B5" w:rsidP="00B1573E">
            <w:pPr>
              <w:pStyle w:val="NCLBodyText"/>
              <w:rPr>
                <w:rFonts w:asciiTheme="minorHAnsi" w:hAnsiTheme="minorHAnsi" w:cstheme="minorHAnsi"/>
              </w:rPr>
            </w:pPr>
            <w:r>
              <w:rPr>
                <w:rFonts w:asciiTheme="minorHAnsi" w:hAnsiTheme="minorHAnsi" w:cstheme="minorHAnsi"/>
              </w:rPr>
              <w:t>Hepatitis</w:t>
            </w:r>
          </w:p>
        </w:tc>
        <w:tc>
          <w:tcPr>
            <w:tcW w:w="1542" w:type="dxa"/>
          </w:tcPr>
          <w:p w14:paraId="484D54FE" w14:textId="43CE1146" w:rsidR="006308B5" w:rsidRDefault="006308B5" w:rsidP="00B1573E">
            <w:pPr>
              <w:pStyle w:val="NCLBodyText"/>
              <w:rPr>
                <w:rFonts w:asciiTheme="minorHAnsi" w:hAnsiTheme="minorHAnsi" w:cstheme="minorHAnsi"/>
              </w:rPr>
            </w:pPr>
            <w:r>
              <w:rPr>
                <w:rFonts w:asciiTheme="minorHAnsi" w:hAnsiTheme="minorHAnsi" w:cstheme="minorHAnsi"/>
              </w:rPr>
              <w:t>Not known</w:t>
            </w:r>
          </w:p>
        </w:tc>
        <w:tc>
          <w:tcPr>
            <w:tcW w:w="5293" w:type="dxa"/>
          </w:tcPr>
          <w:p w14:paraId="59C27EE5" w14:textId="23521911" w:rsidR="006308B5" w:rsidRDefault="006308B5" w:rsidP="00B1573E">
            <w:pPr>
              <w:pStyle w:val="NCLBodyText"/>
              <w:rPr>
                <w:rFonts w:asciiTheme="minorHAnsi" w:hAnsiTheme="minorHAnsi" w:cstheme="minorHAnsi"/>
              </w:rPr>
            </w:pPr>
            <w:r>
              <w:rPr>
                <w:rFonts w:asciiTheme="minorHAnsi" w:hAnsiTheme="minorHAnsi" w:cstheme="minorHAnsi"/>
              </w:rPr>
              <w:t>As per liver function monitoring (Section 8 – “Clinical Monitoring”)</w:t>
            </w:r>
          </w:p>
        </w:tc>
      </w:tr>
    </w:tbl>
    <w:p w14:paraId="16DEB24D" w14:textId="77777777" w:rsidR="00226FBE" w:rsidRDefault="00226FBE" w:rsidP="00226FBE">
      <w:pPr>
        <w:pStyle w:val="CM13"/>
        <w:spacing w:line="253" w:lineRule="atLeast"/>
        <w:jc w:val="both"/>
        <w:rPr>
          <w:rFonts w:asciiTheme="minorHAnsi" w:hAnsiTheme="minorHAnsi" w:cs="Helvetica"/>
          <w:color w:val="000000"/>
          <w:sz w:val="22"/>
          <w:szCs w:val="22"/>
        </w:rPr>
      </w:pPr>
    </w:p>
    <w:p w14:paraId="2FD3D4CD" w14:textId="77777777" w:rsidR="00CC34C1" w:rsidRDefault="00CC34C1" w:rsidP="00CC34C1">
      <w:pPr>
        <w:pStyle w:val="NCLHeading1"/>
      </w:pPr>
      <w:bookmarkStart w:id="10" w:name="_Toc512217853"/>
      <w:r>
        <w:t>Cautions</w:t>
      </w:r>
      <w:bookmarkEnd w:id="10"/>
    </w:p>
    <w:p w14:paraId="6C978E5E" w14:textId="040BA917" w:rsidR="00CC34C1" w:rsidRDefault="00433776" w:rsidP="00433776">
      <w:pPr>
        <w:pStyle w:val="ListBullet"/>
        <w:numPr>
          <w:ilvl w:val="0"/>
          <w:numId w:val="0"/>
        </w:numPr>
        <w:rPr>
          <w:u w:val="single"/>
        </w:rPr>
      </w:pPr>
      <w:r w:rsidRPr="00433776">
        <w:rPr>
          <w:u w:val="single"/>
        </w:rPr>
        <w:t xml:space="preserve">Hepatic impairment </w:t>
      </w:r>
    </w:p>
    <w:p w14:paraId="2A460798" w14:textId="77777777" w:rsidR="00433776" w:rsidRPr="00433776" w:rsidRDefault="00433776" w:rsidP="00433776">
      <w:pPr>
        <w:spacing w:after="143"/>
        <w:jc w:val="both"/>
        <w:rPr>
          <w:rFonts w:asciiTheme="minorHAnsi" w:hAnsiTheme="minorHAnsi" w:cs="Arial"/>
          <w:color w:val="000000"/>
          <w:sz w:val="22"/>
          <w:szCs w:val="22"/>
          <w:lang w:eastAsia="en-GB"/>
        </w:rPr>
      </w:pPr>
      <w:r w:rsidRPr="00433776">
        <w:rPr>
          <w:rFonts w:asciiTheme="minorHAnsi" w:hAnsiTheme="minorHAnsi" w:cs="Arial"/>
          <w:color w:val="000000"/>
          <w:sz w:val="22"/>
          <w:szCs w:val="22"/>
          <w:lang w:eastAsia="en-GB"/>
        </w:rPr>
        <w:t xml:space="preserve">Riluzole should be prescribed with care in patients with a history of abnormal liver function, or in patients with slightly elevated serum transaminases (ALT/SGPT; AST/SGOT up to 3 times the upper limit of the normal range (ULN)), bilirubin and/or gamma-glutamyl transferase (GGT) levels. Baseline elevations of several LFTs (especially elevated bilirubin) should preclude the use of riluzole.  </w:t>
      </w:r>
    </w:p>
    <w:p w14:paraId="5B9E08B1" w14:textId="77777777" w:rsidR="00433776" w:rsidRPr="00433776" w:rsidRDefault="00433776" w:rsidP="00433776">
      <w:pPr>
        <w:spacing w:after="143"/>
        <w:jc w:val="both"/>
        <w:rPr>
          <w:rFonts w:asciiTheme="minorHAnsi" w:hAnsiTheme="minorHAnsi" w:cs="Arial"/>
          <w:color w:val="000000"/>
          <w:sz w:val="22"/>
          <w:szCs w:val="22"/>
          <w:lang w:eastAsia="en-GB"/>
        </w:rPr>
      </w:pPr>
      <w:r w:rsidRPr="00433776">
        <w:rPr>
          <w:rFonts w:asciiTheme="minorHAnsi" w:hAnsiTheme="minorHAnsi" w:cs="Arial"/>
          <w:color w:val="000000"/>
          <w:sz w:val="22"/>
          <w:szCs w:val="22"/>
          <w:lang w:eastAsia="en-GB"/>
        </w:rPr>
        <w:t xml:space="preserve">Because of the risk of hepatitis, serum transaminases, including ALT, should be measured before and during therapy with riluzole. ALT should be measured every month during the first 3 months of treatment, every 3 months during the remainder of the first year, and annually thereafter. ALT levels should be measured more frequently in patients who develop elevated ALT levels. </w:t>
      </w:r>
    </w:p>
    <w:p w14:paraId="4E627CD2" w14:textId="58C04A29" w:rsidR="00433776" w:rsidRDefault="00433776" w:rsidP="00433776">
      <w:pPr>
        <w:pStyle w:val="ListBullet"/>
        <w:numPr>
          <w:ilvl w:val="0"/>
          <w:numId w:val="0"/>
        </w:numPr>
        <w:rPr>
          <w:rFonts w:asciiTheme="minorHAnsi" w:eastAsia="Times New Roman" w:hAnsiTheme="minorHAnsi" w:cs="Arial"/>
          <w:color w:val="000000"/>
          <w:lang w:eastAsia="en-GB"/>
        </w:rPr>
      </w:pPr>
      <w:r w:rsidRPr="00433776">
        <w:rPr>
          <w:rFonts w:asciiTheme="minorHAnsi" w:eastAsia="Times New Roman" w:hAnsiTheme="minorHAnsi" w:cs="Arial"/>
          <w:color w:val="000000"/>
          <w:lang w:eastAsia="en-GB"/>
        </w:rPr>
        <w:t>Riluzole should be discontinued if the ALT levels increase to 5 times the ULN. There is no experience with dose reduction or rechallenge in patients who have developed an increase of ALT to 5 times ULN. Re-administration of riluzole to patients in this situation cannot be recommended.</w:t>
      </w:r>
    </w:p>
    <w:p w14:paraId="63E9FB42" w14:textId="77777777" w:rsidR="00433776" w:rsidRDefault="00433776" w:rsidP="00433776">
      <w:pPr>
        <w:pStyle w:val="ListBullet"/>
        <w:numPr>
          <w:ilvl w:val="0"/>
          <w:numId w:val="0"/>
        </w:numPr>
        <w:rPr>
          <w:rFonts w:asciiTheme="minorHAnsi" w:eastAsia="Times New Roman" w:hAnsiTheme="minorHAnsi" w:cs="Arial"/>
          <w:color w:val="000000"/>
          <w:lang w:eastAsia="en-GB"/>
        </w:rPr>
      </w:pPr>
    </w:p>
    <w:p w14:paraId="2258F031" w14:textId="1BCC670E" w:rsidR="00433776" w:rsidRDefault="00433776" w:rsidP="00433776">
      <w:pPr>
        <w:pStyle w:val="ListBullet"/>
        <w:numPr>
          <w:ilvl w:val="0"/>
          <w:numId w:val="0"/>
        </w:numPr>
        <w:rPr>
          <w:rFonts w:asciiTheme="minorHAnsi" w:eastAsia="Times New Roman" w:hAnsiTheme="minorHAnsi" w:cs="Arial"/>
          <w:color w:val="000000"/>
          <w:u w:val="single"/>
          <w:lang w:eastAsia="en-GB"/>
        </w:rPr>
      </w:pPr>
      <w:r w:rsidRPr="00433776">
        <w:rPr>
          <w:rFonts w:asciiTheme="minorHAnsi" w:eastAsia="Times New Roman" w:hAnsiTheme="minorHAnsi" w:cs="Arial"/>
          <w:color w:val="000000"/>
          <w:u w:val="single"/>
          <w:lang w:eastAsia="en-GB"/>
        </w:rPr>
        <w:t>Neutropenia</w:t>
      </w:r>
    </w:p>
    <w:p w14:paraId="0B9A3CCF" w14:textId="2147E859" w:rsidR="00433776" w:rsidRDefault="00433776" w:rsidP="00433776">
      <w:pPr>
        <w:pStyle w:val="ListBullet"/>
        <w:numPr>
          <w:ilvl w:val="0"/>
          <w:numId w:val="0"/>
        </w:numPr>
        <w:rPr>
          <w:rFonts w:asciiTheme="minorHAnsi" w:eastAsia="Times New Roman" w:hAnsiTheme="minorHAnsi" w:cs="Arial"/>
          <w:color w:val="000000"/>
          <w:lang w:eastAsia="en-GB"/>
        </w:rPr>
      </w:pPr>
      <w:r>
        <w:rPr>
          <w:rFonts w:asciiTheme="minorHAnsi" w:eastAsia="Times New Roman" w:hAnsiTheme="minorHAnsi" w:cs="Arial"/>
          <w:color w:val="000000"/>
          <w:lang w:eastAsia="en-GB"/>
        </w:rPr>
        <w:t xml:space="preserve">Patients should be warned to report any febrile illness to their physicians.  The report of a febrile illness should prompt physicians to check white blood cell counts and to discontinue riluzole in case of </w:t>
      </w:r>
      <w:proofErr w:type="gramStart"/>
      <w:r>
        <w:rPr>
          <w:rFonts w:asciiTheme="minorHAnsi" w:eastAsia="Times New Roman" w:hAnsiTheme="minorHAnsi" w:cs="Arial"/>
          <w:color w:val="000000"/>
          <w:lang w:eastAsia="en-GB"/>
        </w:rPr>
        <w:t>neutropenia</w:t>
      </w:r>
      <w:proofErr w:type="gramEnd"/>
    </w:p>
    <w:p w14:paraId="314BDEBA" w14:textId="77777777" w:rsidR="00433776" w:rsidRDefault="00433776" w:rsidP="00433776">
      <w:pPr>
        <w:pStyle w:val="ListBullet"/>
        <w:numPr>
          <w:ilvl w:val="0"/>
          <w:numId w:val="0"/>
        </w:numPr>
        <w:rPr>
          <w:rFonts w:asciiTheme="minorHAnsi" w:eastAsia="Times New Roman" w:hAnsiTheme="minorHAnsi" w:cs="Arial"/>
          <w:color w:val="000000"/>
          <w:lang w:eastAsia="en-GB"/>
        </w:rPr>
      </w:pPr>
    </w:p>
    <w:p w14:paraId="46AC5C0A" w14:textId="6F925E3C" w:rsidR="00433776" w:rsidRDefault="00433776" w:rsidP="00433776">
      <w:pPr>
        <w:pStyle w:val="ListBullet"/>
        <w:numPr>
          <w:ilvl w:val="0"/>
          <w:numId w:val="0"/>
        </w:numPr>
        <w:rPr>
          <w:rFonts w:asciiTheme="minorHAnsi" w:eastAsia="Times New Roman" w:hAnsiTheme="minorHAnsi" w:cs="Arial"/>
          <w:color w:val="000000"/>
          <w:u w:val="single"/>
          <w:lang w:eastAsia="en-GB"/>
        </w:rPr>
      </w:pPr>
      <w:r w:rsidRPr="00433776">
        <w:rPr>
          <w:rFonts w:asciiTheme="minorHAnsi" w:eastAsia="Times New Roman" w:hAnsiTheme="minorHAnsi" w:cs="Arial"/>
          <w:color w:val="000000"/>
          <w:u w:val="single"/>
          <w:lang w:eastAsia="en-GB"/>
        </w:rPr>
        <w:t>Interstitial lung disease</w:t>
      </w:r>
    </w:p>
    <w:p w14:paraId="5D360786" w14:textId="4E81418D" w:rsidR="00433776" w:rsidRPr="00433776" w:rsidRDefault="00433776" w:rsidP="00433776">
      <w:pPr>
        <w:pStyle w:val="ListBullet"/>
        <w:numPr>
          <w:ilvl w:val="0"/>
          <w:numId w:val="0"/>
        </w:numPr>
      </w:pPr>
      <w:r>
        <w:rPr>
          <w:rFonts w:asciiTheme="minorHAnsi" w:eastAsia="Times New Roman" w:hAnsiTheme="minorHAnsi" w:cs="Arial"/>
          <w:color w:val="000000"/>
          <w:lang w:eastAsia="en-GB"/>
        </w:rPr>
        <w:t xml:space="preserve">Cases of interstitial lung disease have been reported in patients treated with riluzole, some of them were severe.  If respiratory symptoms develop such as dry cough and/or </w:t>
      </w:r>
      <w:r w:rsidR="001A4E75">
        <w:rPr>
          <w:rFonts w:asciiTheme="minorHAnsi" w:eastAsia="Times New Roman" w:hAnsiTheme="minorHAnsi" w:cs="Arial"/>
          <w:color w:val="000000"/>
          <w:lang w:eastAsia="en-GB"/>
        </w:rPr>
        <w:t>dyspnoea</w:t>
      </w:r>
      <w:r>
        <w:rPr>
          <w:rFonts w:asciiTheme="minorHAnsi" w:eastAsia="Times New Roman" w:hAnsiTheme="minorHAnsi" w:cs="Arial"/>
          <w:color w:val="000000"/>
          <w:lang w:eastAsia="en-GB"/>
        </w:rPr>
        <w:t>, chest radiography should be performed, and in case of findings suggestive of interstitial lung disease (</w:t>
      </w:r>
      <w:proofErr w:type="gramStart"/>
      <w:r w:rsidR="001A4E75">
        <w:rPr>
          <w:rFonts w:asciiTheme="minorHAnsi" w:eastAsia="Times New Roman" w:hAnsiTheme="minorHAnsi" w:cs="Arial"/>
          <w:color w:val="000000"/>
          <w:lang w:eastAsia="en-GB"/>
        </w:rPr>
        <w:t>e.g.</w:t>
      </w:r>
      <w:proofErr w:type="gramEnd"/>
      <w:r>
        <w:rPr>
          <w:rFonts w:asciiTheme="minorHAnsi" w:eastAsia="Times New Roman" w:hAnsiTheme="minorHAnsi" w:cs="Arial"/>
          <w:color w:val="000000"/>
          <w:lang w:eastAsia="en-GB"/>
        </w:rPr>
        <w:t xml:space="preserve"> bilateral diffuse lung </w:t>
      </w:r>
      <w:r>
        <w:rPr>
          <w:rFonts w:asciiTheme="minorHAnsi" w:eastAsia="Times New Roman" w:hAnsiTheme="minorHAnsi" w:cs="Arial"/>
          <w:color w:val="000000"/>
          <w:lang w:eastAsia="en-GB"/>
        </w:rPr>
        <w:lastRenderedPageBreak/>
        <w:t xml:space="preserve">opacities), riluzole should be discontinued immediately.  In </w:t>
      </w:r>
      <w:proofErr w:type="gramStart"/>
      <w:r>
        <w:rPr>
          <w:rFonts w:asciiTheme="minorHAnsi" w:eastAsia="Times New Roman" w:hAnsiTheme="minorHAnsi" w:cs="Arial"/>
          <w:color w:val="000000"/>
          <w:lang w:eastAsia="en-GB"/>
        </w:rPr>
        <w:t>the majority of</w:t>
      </w:r>
      <w:proofErr w:type="gramEnd"/>
      <w:r>
        <w:rPr>
          <w:rFonts w:asciiTheme="minorHAnsi" w:eastAsia="Times New Roman" w:hAnsiTheme="minorHAnsi" w:cs="Arial"/>
          <w:color w:val="000000"/>
          <w:lang w:eastAsia="en-GB"/>
        </w:rPr>
        <w:t xml:space="preserve"> the reported cases, symptoms resolved after drug discontinuation and symptomatic treatment. </w:t>
      </w:r>
    </w:p>
    <w:p w14:paraId="28410F61" w14:textId="77777777" w:rsidR="00433776" w:rsidRDefault="00433776" w:rsidP="00CC34C1">
      <w:pPr>
        <w:pStyle w:val="NCLBodyText"/>
      </w:pPr>
    </w:p>
    <w:p w14:paraId="4FAEA954" w14:textId="51F72BB7" w:rsidR="00433776" w:rsidRPr="00433776" w:rsidRDefault="00433776" w:rsidP="00CC34C1">
      <w:pPr>
        <w:pStyle w:val="NCLBodyText"/>
        <w:rPr>
          <w:u w:val="single"/>
        </w:rPr>
      </w:pPr>
      <w:r w:rsidRPr="00433776">
        <w:rPr>
          <w:u w:val="single"/>
        </w:rPr>
        <w:t>Renal impairment</w:t>
      </w:r>
    </w:p>
    <w:p w14:paraId="0EBFDB82" w14:textId="56E62C1C" w:rsidR="00433776" w:rsidRDefault="00433776" w:rsidP="4B774724">
      <w:pPr>
        <w:pStyle w:val="NCLBodyText"/>
      </w:pPr>
      <w:r>
        <w:t xml:space="preserve">Studies at repeated doses have not been conducted in patients with impaired renal function.  </w:t>
      </w:r>
      <w:r w:rsidR="00C510C5">
        <w:t xml:space="preserve">If renal function deteriorates during treatment with riluzole, </w:t>
      </w:r>
      <w:r w:rsidR="001401DE">
        <w:t>the GP should seek specialist advice.</w:t>
      </w:r>
    </w:p>
    <w:p w14:paraId="78F708E5" w14:textId="633D1419" w:rsidR="00CC34C1" w:rsidRDefault="00CC34C1" w:rsidP="00CC34C1">
      <w:pPr>
        <w:pStyle w:val="NCLBodyText"/>
      </w:pPr>
      <w:r>
        <w:t xml:space="preserve">For a full list of cautions, refer to the </w:t>
      </w:r>
      <w:r w:rsidR="00013367">
        <w:t>Summary of Product Characteristics</w:t>
      </w:r>
      <w:r>
        <w:t>.</w:t>
      </w:r>
    </w:p>
    <w:p w14:paraId="5913A00E" w14:textId="01CAFE67" w:rsidR="2AB8EA19" w:rsidRDefault="2AB8EA19" w:rsidP="2AB8EA19">
      <w:pPr>
        <w:pStyle w:val="NCLBodyText"/>
      </w:pPr>
    </w:p>
    <w:p w14:paraId="381D28FC" w14:textId="77777777" w:rsidR="00CC34C1" w:rsidRDefault="00CC34C1" w:rsidP="00CC34C1">
      <w:pPr>
        <w:pStyle w:val="NCLHeading1"/>
      </w:pPr>
      <w:bookmarkStart w:id="11" w:name="_Toc736491903"/>
      <w:r>
        <w:t>Clinical Monitoring</w:t>
      </w:r>
      <w:bookmarkEnd w:id="11"/>
    </w:p>
    <w:tbl>
      <w:tblPr>
        <w:tblStyle w:val="TableGrid"/>
        <w:tblW w:w="9351" w:type="dxa"/>
        <w:tblLook w:val="04A0" w:firstRow="1" w:lastRow="0" w:firstColumn="1" w:lastColumn="0" w:noHBand="0" w:noVBand="1"/>
      </w:tblPr>
      <w:tblGrid>
        <w:gridCol w:w="1633"/>
        <w:gridCol w:w="3695"/>
        <w:gridCol w:w="3994"/>
        <w:gridCol w:w="29"/>
      </w:tblGrid>
      <w:tr w:rsidR="00226FBE" w:rsidRPr="00B01A7A" w14:paraId="7433365E" w14:textId="77777777" w:rsidTr="00561447">
        <w:trPr>
          <w:gridAfter w:val="1"/>
          <w:wAfter w:w="29" w:type="dxa"/>
        </w:trPr>
        <w:tc>
          <w:tcPr>
            <w:tcW w:w="1633" w:type="dxa"/>
            <w:shd w:val="clear" w:color="auto" w:fill="D9D9D9" w:themeFill="background1" w:themeFillShade="D9"/>
          </w:tcPr>
          <w:p w14:paraId="41DA9C5C" w14:textId="77777777" w:rsidR="00226FBE" w:rsidRPr="00B01A7A" w:rsidRDefault="00226FBE" w:rsidP="00B1573E">
            <w:pPr>
              <w:pStyle w:val="NCLBodyText"/>
              <w:rPr>
                <w:rFonts w:asciiTheme="minorHAnsi" w:hAnsiTheme="minorHAnsi" w:cstheme="minorHAnsi"/>
                <w:b/>
                <w:bCs/>
                <w:color w:val="000000"/>
              </w:rPr>
            </w:pPr>
            <w:r>
              <w:rPr>
                <w:rFonts w:asciiTheme="minorHAnsi" w:hAnsiTheme="minorHAnsi" w:cstheme="minorHAnsi"/>
                <w:b/>
                <w:bCs/>
                <w:color w:val="000000"/>
              </w:rPr>
              <w:t>T</w:t>
            </w:r>
            <w:r w:rsidRPr="00B01A7A">
              <w:rPr>
                <w:rFonts w:asciiTheme="minorHAnsi" w:hAnsiTheme="minorHAnsi" w:cstheme="minorHAnsi"/>
                <w:b/>
                <w:bCs/>
                <w:color w:val="000000"/>
              </w:rPr>
              <w:t>est</w:t>
            </w:r>
          </w:p>
        </w:tc>
        <w:tc>
          <w:tcPr>
            <w:tcW w:w="3695" w:type="dxa"/>
            <w:shd w:val="clear" w:color="auto" w:fill="D9D9D9" w:themeFill="background1" w:themeFillShade="D9"/>
          </w:tcPr>
          <w:p w14:paraId="7AAD3FAC" w14:textId="77777777" w:rsidR="00226FBE" w:rsidRPr="00B01A7A" w:rsidRDefault="00226FBE" w:rsidP="00B1573E">
            <w:pPr>
              <w:pStyle w:val="NCLBodyText"/>
              <w:rPr>
                <w:rFonts w:asciiTheme="minorHAnsi" w:hAnsiTheme="minorHAnsi" w:cstheme="minorHAnsi"/>
                <w:b/>
                <w:bCs/>
                <w:color w:val="000000"/>
              </w:rPr>
            </w:pPr>
            <w:r w:rsidRPr="00B01A7A">
              <w:rPr>
                <w:rFonts w:asciiTheme="minorHAnsi" w:hAnsiTheme="minorHAnsi" w:cstheme="minorHAnsi"/>
                <w:b/>
                <w:bCs/>
                <w:color w:val="000000"/>
              </w:rPr>
              <w:t>Frequency</w:t>
            </w:r>
          </w:p>
        </w:tc>
        <w:tc>
          <w:tcPr>
            <w:tcW w:w="3994" w:type="dxa"/>
            <w:shd w:val="clear" w:color="auto" w:fill="D9D9D9" w:themeFill="background1" w:themeFillShade="D9"/>
          </w:tcPr>
          <w:p w14:paraId="6370A9E9" w14:textId="77777777" w:rsidR="00226FBE" w:rsidRPr="00B01A7A" w:rsidRDefault="00226FBE" w:rsidP="00B1573E">
            <w:pPr>
              <w:pStyle w:val="NCLBodyText"/>
              <w:rPr>
                <w:rFonts w:asciiTheme="minorHAnsi" w:hAnsiTheme="minorHAnsi" w:cstheme="minorHAnsi"/>
                <w:b/>
                <w:bCs/>
                <w:color w:val="000000"/>
              </w:rPr>
            </w:pPr>
            <w:r w:rsidRPr="00B01A7A">
              <w:rPr>
                <w:rFonts w:asciiTheme="minorHAnsi" w:hAnsiTheme="minorHAnsi" w:cstheme="minorHAnsi"/>
                <w:b/>
                <w:bCs/>
                <w:color w:val="000000"/>
              </w:rPr>
              <w:t>Action if out of range</w:t>
            </w:r>
          </w:p>
        </w:tc>
      </w:tr>
      <w:tr w:rsidR="00226FBE" w:rsidRPr="00B01A7A" w14:paraId="71EA780C" w14:textId="77777777" w:rsidTr="00561447">
        <w:trPr>
          <w:gridAfter w:val="1"/>
          <w:wAfter w:w="29" w:type="dxa"/>
        </w:trPr>
        <w:tc>
          <w:tcPr>
            <w:tcW w:w="1633" w:type="dxa"/>
          </w:tcPr>
          <w:p w14:paraId="6BB9B579" w14:textId="2B1E664E" w:rsidR="00226FBE" w:rsidRPr="00B01A7A" w:rsidRDefault="00433776" w:rsidP="00B1573E">
            <w:pPr>
              <w:pStyle w:val="NCLBodyText"/>
              <w:rPr>
                <w:rFonts w:asciiTheme="minorHAnsi" w:hAnsiTheme="minorHAnsi" w:cstheme="minorHAnsi"/>
                <w:color w:val="000000"/>
              </w:rPr>
            </w:pPr>
            <w:r>
              <w:rPr>
                <w:rFonts w:asciiTheme="minorHAnsi" w:hAnsiTheme="minorHAnsi" w:cstheme="minorHAnsi"/>
                <w:color w:val="000000"/>
              </w:rPr>
              <w:t>Liver function tests</w:t>
            </w:r>
          </w:p>
        </w:tc>
        <w:tc>
          <w:tcPr>
            <w:tcW w:w="3695" w:type="dxa"/>
          </w:tcPr>
          <w:p w14:paraId="4E73D094" w14:textId="44040F24" w:rsidR="00226FBE" w:rsidRPr="00B01A7A" w:rsidRDefault="00433776" w:rsidP="00B1573E">
            <w:pPr>
              <w:pStyle w:val="NCLBodyText"/>
              <w:rPr>
                <w:rFonts w:asciiTheme="minorHAnsi" w:hAnsiTheme="minorHAnsi" w:cstheme="minorHAnsi"/>
                <w:color w:val="000000"/>
              </w:rPr>
            </w:pPr>
            <w:r>
              <w:rPr>
                <w:rFonts w:asciiTheme="minorHAnsi" w:hAnsiTheme="minorHAnsi" w:cstheme="minorHAnsi"/>
                <w:color w:val="000000"/>
              </w:rPr>
              <w:t xml:space="preserve">Monthly for the first three months, 3 monthly </w:t>
            </w:r>
            <w:r w:rsidRPr="00604B2F">
              <w:rPr>
                <w:rFonts w:asciiTheme="minorHAnsi" w:hAnsiTheme="minorHAnsi" w:cstheme="minorHAnsi"/>
                <w:color w:val="000000"/>
              </w:rPr>
              <w:t xml:space="preserve">for </w:t>
            </w:r>
            <w:r w:rsidR="001420A0" w:rsidRPr="00604B2F">
              <w:rPr>
                <w:rFonts w:asciiTheme="minorHAnsi" w:hAnsiTheme="minorHAnsi" w:cstheme="minorHAnsi"/>
                <w:color w:val="000000"/>
              </w:rPr>
              <w:t xml:space="preserve">remainder of the </w:t>
            </w:r>
            <w:r w:rsidRPr="00604B2F">
              <w:rPr>
                <w:rFonts w:asciiTheme="minorHAnsi" w:hAnsiTheme="minorHAnsi" w:cstheme="minorHAnsi"/>
                <w:color w:val="000000"/>
              </w:rPr>
              <w:t>12</w:t>
            </w:r>
            <w:r>
              <w:rPr>
                <w:rFonts w:asciiTheme="minorHAnsi" w:hAnsiTheme="minorHAnsi" w:cstheme="minorHAnsi"/>
                <w:color w:val="000000"/>
              </w:rPr>
              <w:t xml:space="preserve"> months then annually thereafter</w:t>
            </w:r>
          </w:p>
        </w:tc>
        <w:tc>
          <w:tcPr>
            <w:tcW w:w="3994" w:type="dxa"/>
          </w:tcPr>
          <w:p w14:paraId="77D6EFFA" w14:textId="77777777" w:rsidR="006308B5" w:rsidRDefault="00433776" w:rsidP="00433776">
            <w:pPr>
              <w:tabs>
                <w:tab w:val="left" w:pos="978"/>
              </w:tabs>
              <w:rPr>
                <w:rFonts w:asciiTheme="minorHAnsi" w:hAnsiTheme="minorHAnsi" w:cstheme="minorHAnsi"/>
                <w:color w:val="000000"/>
                <w:sz w:val="22"/>
                <w:szCs w:val="22"/>
              </w:rPr>
            </w:pPr>
            <w:r w:rsidRPr="00433776">
              <w:rPr>
                <w:rFonts w:asciiTheme="minorHAnsi" w:hAnsiTheme="minorHAnsi" w:cstheme="minorHAnsi"/>
                <w:color w:val="000000"/>
                <w:sz w:val="22"/>
                <w:szCs w:val="22"/>
              </w:rPr>
              <w:t xml:space="preserve">If ALT is elevated 3-5 times the upper limit of normal, exclude other causes and recheck LFTs 1 month later; if LFTs remain elevated, discuss with the initiating specialist. </w:t>
            </w:r>
          </w:p>
          <w:p w14:paraId="2C3FA162" w14:textId="5EA962E4" w:rsidR="00226FBE" w:rsidRPr="00604B2F" w:rsidRDefault="00433776" w:rsidP="00433776">
            <w:pPr>
              <w:tabs>
                <w:tab w:val="left" w:pos="978"/>
              </w:tabs>
              <w:rPr>
                <w:rFonts w:asciiTheme="minorHAnsi" w:hAnsiTheme="minorHAnsi" w:cstheme="minorHAnsi"/>
                <w:color w:val="000000"/>
                <w:sz w:val="22"/>
                <w:szCs w:val="22"/>
              </w:rPr>
            </w:pPr>
            <w:r w:rsidRPr="00433776">
              <w:rPr>
                <w:rFonts w:asciiTheme="minorHAnsi" w:hAnsiTheme="minorHAnsi" w:cstheme="minorHAnsi"/>
                <w:color w:val="000000"/>
                <w:sz w:val="22"/>
                <w:szCs w:val="22"/>
              </w:rPr>
              <w:t>If ALT is elevated 5 times the upper limit of normal</w:t>
            </w:r>
            <w:r w:rsidR="00F660DE">
              <w:rPr>
                <w:rFonts w:asciiTheme="minorHAnsi" w:hAnsiTheme="minorHAnsi" w:cstheme="minorHAnsi"/>
                <w:color w:val="000000"/>
                <w:sz w:val="22"/>
                <w:szCs w:val="22"/>
              </w:rPr>
              <w:t xml:space="preserve"> or higher</w:t>
            </w:r>
            <w:r w:rsidRPr="00433776">
              <w:rPr>
                <w:rFonts w:asciiTheme="minorHAnsi" w:hAnsiTheme="minorHAnsi" w:cstheme="minorHAnsi"/>
                <w:color w:val="000000"/>
                <w:sz w:val="22"/>
                <w:szCs w:val="22"/>
              </w:rPr>
              <w:t xml:space="preserve">, stop treatment and </w:t>
            </w:r>
            <w:proofErr w:type="gramStart"/>
            <w:r w:rsidRPr="00433776">
              <w:rPr>
                <w:rFonts w:asciiTheme="minorHAnsi" w:hAnsiTheme="minorHAnsi" w:cstheme="minorHAnsi"/>
                <w:color w:val="000000"/>
                <w:sz w:val="22"/>
                <w:szCs w:val="22"/>
              </w:rPr>
              <w:t>refer back</w:t>
            </w:r>
            <w:proofErr w:type="gramEnd"/>
            <w:r w:rsidRPr="00433776">
              <w:rPr>
                <w:rFonts w:asciiTheme="minorHAnsi" w:hAnsiTheme="minorHAnsi" w:cstheme="minorHAnsi"/>
                <w:color w:val="000000"/>
                <w:sz w:val="22"/>
                <w:szCs w:val="22"/>
              </w:rPr>
              <w:t xml:space="preserve"> to the initiating specialist</w:t>
            </w:r>
            <w:r>
              <w:rPr>
                <w:rFonts w:asciiTheme="minorHAnsi" w:hAnsiTheme="minorHAnsi" w:cstheme="minorHAnsi"/>
                <w:color w:val="000000"/>
              </w:rPr>
              <w:t>.</w:t>
            </w:r>
          </w:p>
        </w:tc>
      </w:tr>
      <w:tr w:rsidR="001401DE" w:rsidRPr="00B01A7A" w14:paraId="78945C2A" w14:textId="77777777" w:rsidTr="00561447">
        <w:tc>
          <w:tcPr>
            <w:tcW w:w="1633" w:type="dxa"/>
          </w:tcPr>
          <w:p w14:paraId="3F68C113" w14:textId="2AC9C317" w:rsidR="00B9206E" w:rsidRDefault="7554459B" w:rsidP="5B0A7FA3">
            <w:pPr>
              <w:pStyle w:val="NCLBodyText"/>
              <w:rPr>
                <w:rFonts w:asciiTheme="minorHAnsi" w:hAnsiTheme="minorHAnsi" w:cstheme="minorBidi"/>
                <w:color w:val="000000"/>
              </w:rPr>
            </w:pPr>
            <w:r w:rsidRPr="5B0A7FA3">
              <w:rPr>
                <w:rFonts w:asciiTheme="minorHAnsi" w:hAnsiTheme="minorHAnsi" w:cstheme="minorBidi"/>
                <w:color w:val="000000" w:themeColor="text1"/>
              </w:rPr>
              <w:t>Renal function tests</w:t>
            </w:r>
          </w:p>
        </w:tc>
        <w:tc>
          <w:tcPr>
            <w:tcW w:w="3695" w:type="dxa"/>
          </w:tcPr>
          <w:p w14:paraId="30C3D104" w14:textId="2343A663" w:rsidR="00B9206E" w:rsidRDefault="00D9230B" w:rsidP="5B0A7FA3">
            <w:pPr>
              <w:pStyle w:val="NCLBodyText"/>
              <w:rPr>
                <w:rFonts w:asciiTheme="minorHAnsi" w:hAnsiTheme="minorHAnsi" w:cstheme="minorBidi"/>
                <w:color w:val="000000"/>
              </w:rPr>
            </w:pPr>
            <w:r>
              <w:rPr>
                <w:rFonts w:asciiTheme="minorHAnsi" w:hAnsiTheme="minorHAnsi" w:cstheme="minorBidi"/>
                <w:color w:val="000000" w:themeColor="text1"/>
              </w:rPr>
              <w:t>At least a</w:t>
            </w:r>
            <w:r w:rsidR="7554459B" w:rsidRPr="5B0A7FA3">
              <w:rPr>
                <w:rFonts w:asciiTheme="minorHAnsi" w:hAnsiTheme="minorHAnsi" w:cstheme="minorBidi"/>
                <w:color w:val="000000" w:themeColor="text1"/>
              </w:rPr>
              <w:t>nnually unless otherwise indicated</w:t>
            </w:r>
          </w:p>
        </w:tc>
        <w:tc>
          <w:tcPr>
            <w:tcW w:w="4023" w:type="dxa"/>
            <w:gridSpan w:val="2"/>
          </w:tcPr>
          <w:p w14:paraId="63365B7F" w14:textId="0B0CF40A" w:rsidR="00B9206E" w:rsidRPr="00433776" w:rsidRDefault="7554459B" w:rsidP="5B0A7FA3">
            <w:pPr>
              <w:tabs>
                <w:tab w:val="left" w:pos="978"/>
              </w:tabs>
              <w:rPr>
                <w:rFonts w:asciiTheme="minorHAnsi" w:hAnsiTheme="minorHAnsi" w:cstheme="minorBidi"/>
                <w:color w:val="000000"/>
                <w:sz w:val="22"/>
                <w:szCs w:val="22"/>
              </w:rPr>
            </w:pPr>
            <w:r w:rsidRPr="5B0A7FA3">
              <w:rPr>
                <w:rFonts w:asciiTheme="minorHAnsi" w:hAnsiTheme="minorHAnsi" w:cstheme="minorBidi"/>
                <w:color w:val="000000" w:themeColor="text1"/>
                <w:sz w:val="22"/>
                <w:szCs w:val="22"/>
              </w:rPr>
              <w:t>Inform specialist and seek further advice if renal function is impaired (</w:t>
            </w:r>
            <w:r w:rsidR="48CC8638" w:rsidRPr="5B0A7FA3">
              <w:rPr>
                <w:rFonts w:asciiTheme="minorHAnsi" w:hAnsiTheme="minorHAnsi" w:cstheme="minorBidi"/>
                <w:color w:val="000000" w:themeColor="text1"/>
                <w:sz w:val="22"/>
                <w:szCs w:val="22"/>
              </w:rPr>
              <w:t>i</w:t>
            </w:r>
            <w:r w:rsidRPr="5B0A7FA3">
              <w:rPr>
                <w:rFonts w:asciiTheme="minorHAnsi" w:hAnsiTheme="minorHAnsi" w:cstheme="minorBidi"/>
                <w:color w:val="000000" w:themeColor="text1"/>
                <w:sz w:val="22"/>
                <w:szCs w:val="22"/>
              </w:rPr>
              <w:t>.e CrCl</w:t>
            </w:r>
            <w:r w:rsidR="00561447">
              <w:rPr>
                <w:rFonts w:asciiTheme="minorHAnsi" w:hAnsiTheme="minorHAnsi" w:cstheme="minorBidi"/>
                <w:color w:val="000000" w:themeColor="text1"/>
                <w:sz w:val="22"/>
                <w:szCs w:val="22"/>
              </w:rPr>
              <w:t xml:space="preserve"> </w:t>
            </w:r>
            <w:r w:rsidR="4190B0D5" w:rsidRPr="5B0A7FA3">
              <w:rPr>
                <w:rFonts w:asciiTheme="minorHAnsi" w:hAnsiTheme="minorHAnsi" w:cstheme="minorBidi"/>
                <w:color w:val="000000" w:themeColor="text1"/>
                <w:sz w:val="22"/>
                <w:szCs w:val="22"/>
              </w:rPr>
              <w:t>&lt;60ml/min)</w:t>
            </w:r>
            <w:r w:rsidR="76474067" w:rsidRPr="5B0A7FA3">
              <w:rPr>
                <w:rFonts w:asciiTheme="minorHAnsi" w:hAnsiTheme="minorHAnsi" w:cstheme="minorBidi"/>
                <w:color w:val="000000" w:themeColor="text1"/>
                <w:sz w:val="22"/>
                <w:szCs w:val="22"/>
              </w:rPr>
              <w:t>.</w:t>
            </w:r>
          </w:p>
        </w:tc>
      </w:tr>
    </w:tbl>
    <w:p w14:paraId="51BA25AF" w14:textId="4084CDDE" w:rsidR="00CC34C1" w:rsidRDefault="00CC34C1" w:rsidP="00CC34C1">
      <w:pPr>
        <w:pStyle w:val="NCLBodyText"/>
      </w:pPr>
    </w:p>
    <w:p w14:paraId="7B8CA62A" w14:textId="77777777" w:rsidR="00CC34C1" w:rsidRDefault="00CC34C1" w:rsidP="00CC34C1">
      <w:pPr>
        <w:pStyle w:val="NCLHeading1"/>
      </w:pPr>
      <w:bookmarkStart w:id="12" w:name="_Toc1910016689"/>
      <w:r>
        <w:t>Contraindications</w:t>
      </w:r>
      <w:bookmarkEnd w:id="12"/>
    </w:p>
    <w:p w14:paraId="5DCF8F6B" w14:textId="642F6F13" w:rsidR="00CC34C1" w:rsidRDefault="00433776" w:rsidP="00CC34C1">
      <w:pPr>
        <w:pStyle w:val="ListBullet"/>
      </w:pPr>
      <w:r>
        <w:t xml:space="preserve">Hypersensitivity to the active substance or to any of the excipients </w:t>
      </w:r>
    </w:p>
    <w:p w14:paraId="7EBDE6F1" w14:textId="49CB90F9" w:rsidR="00CC34C1" w:rsidRDefault="00433776" w:rsidP="00CC34C1">
      <w:pPr>
        <w:pStyle w:val="ListBullet"/>
      </w:pPr>
      <w:r>
        <w:t>Hepatic disease or baseline transaminases greater than 3 times the upper limit of normal</w:t>
      </w:r>
    </w:p>
    <w:p w14:paraId="56519B0B" w14:textId="3DF22ACD" w:rsidR="00CC34C1" w:rsidRDefault="00433776" w:rsidP="00CC34C1">
      <w:pPr>
        <w:pStyle w:val="ListBullet"/>
      </w:pPr>
      <w:r>
        <w:t>Patients who are pregnant or breast-feeding</w:t>
      </w:r>
    </w:p>
    <w:p w14:paraId="77BC2FEB" w14:textId="7A4E7BED" w:rsidR="00614D6C" w:rsidRDefault="00614D6C" w:rsidP="00614D6C">
      <w:pPr>
        <w:pStyle w:val="ListBullet"/>
      </w:pPr>
      <w:r>
        <w:t>The suspension formulation contains liquid sorbitol (E420) therefore patients with rare hereditary problems of fructose intolerance should not take this.</w:t>
      </w:r>
    </w:p>
    <w:p w14:paraId="426AA6CB" w14:textId="77777777" w:rsidR="00CC34C1" w:rsidRDefault="00CC34C1" w:rsidP="00CC34C1">
      <w:pPr>
        <w:pStyle w:val="NCLBodyText"/>
      </w:pPr>
    </w:p>
    <w:p w14:paraId="108D8128" w14:textId="77777777" w:rsidR="00CC34C1" w:rsidRDefault="00CC34C1" w:rsidP="00CC34C1">
      <w:pPr>
        <w:pStyle w:val="NCLBodyText"/>
      </w:pPr>
      <w:r>
        <w:t>For a full list of contraindications, refer to the Summary of Product Characteristics.</w:t>
      </w:r>
    </w:p>
    <w:p w14:paraId="1FA092FB" w14:textId="77777777" w:rsidR="00CC34C1" w:rsidRDefault="00CC34C1" w:rsidP="00CC34C1">
      <w:pPr>
        <w:pStyle w:val="NCLHeading1"/>
      </w:pPr>
      <w:bookmarkStart w:id="13" w:name="_Toc578444189"/>
      <w:r>
        <w:t>Drug Interactions</w:t>
      </w:r>
      <w:bookmarkEnd w:id="13"/>
    </w:p>
    <w:p w14:paraId="64F77118" w14:textId="77777777" w:rsidR="00433776" w:rsidRDefault="00433776" w:rsidP="00433776">
      <w:pPr>
        <w:pStyle w:val="NCLBodyText"/>
      </w:pPr>
      <w:r>
        <w:t>There have been no clinical studies to evaluate the interactions of riluzole with other medicinal products.</w:t>
      </w:r>
    </w:p>
    <w:p w14:paraId="0E60BDFD" w14:textId="26C4AB37" w:rsidR="00433776" w:rsidRDefault="00433776" w:rsidP="00433776">
      <w:pPr>
        <w:pStyle w:val="NCLBodyText"/>
      </w:pPr>
      <w:r>
        <w:t>In vitro studies using human liver microsomal preparations suggest that CYP 1A2 is the principal isozyme involved in the initial oxidative metabolism of riluzole. Inhibitors of CYP 1A2 (</w:t>
      </w:r>
      <w:proofErr w:type="gramStart"/>
      <w:r>
        <w:t>e.g.</w:t>
      </w:r>
      <w:proofErr w:type="gramEnd"/>
      <w:r>
        <w:t xml:space="preserve"> caffeine, diclofenac, diazepam, nicergoline, clomipramine, imipramine, fluvoxamine, phenacetin, theophylline, amitriptyline and quinolones) could potentially decrease the rate of riluzole elimination, while inducers of CYP 1A2 (e.g. cigarette smoke, charcoal-broiled food, rifampicin and omeprazole) could increase the rate of riluzole elimination.</w:t>
      </w:r>
    </w:p>
    <w:p w14:paraId="61E9255C" w14:textId="77777777" w:rsidR="00433776" w:rsidRDefault="00433776" w:rsidP="00CC34C1">
      <w:pPr>
        <w:pStyle w:val="NCLBodyText"/>
      </w:pPr>
    </w:p>
    <w:p w14:paraId="097C318A" w14:textId="0C3DBDAD" w:rsidR="00CC34C1" w:rsidRDefault="00CC34C1" w:rsidP="00CC34C1">
      <w:pPr>
        <w:pStyle w:val="NCLBodyText"/>
      </w:pPr>
      <w:r>
        <w:t>For a full list of drug interactions, refer to the Summary of Product Characteristics.</w:t>
      </w:r>
    </w:p>
    <w:p w14:paraId="670163E5" w14:textId="6D0F67ED" w:rsidR="00433776" w:rsidRDefault="008962F6" w:rsidP="00433776">
      <w:pPr>
        <w:pStyle w:val="NCLHeading1"/>
      </w:pPr>
      <w:bookmarkStart w:id="14" w:name="_Toc1335672808"/>
      <w:r>
        <w:lastRenderedPageBreak/>
        <w:t>References</w:t>
      </w:r>
      <w:bookmarkEnd w:id="14"/>
    </w:p>
    <w:p w14:paraId="3B623344" w14:textId="1B4245A5" w:rsidR="00433776" w:rsidRDefault="00433776" w:rsidP="00433776">
      <w:pPr>
        <w:pStyle w:val="NCLBodyText"/>
      </w:pPr>
      <w:r>
        <w:t xml:space="preserve">1.Rilutek 50 mg film-coated tablets-Summary of Product Characteristics. Sanofi. accessed via </w:t>
      </w:r>
      <w:hyperlink r:id="rId13" w:history="1">
        <w:r w:rsidRPr="007A12BB">
          <w:rPr>
            <w:rStyle w:val="Hyperlink"/>
          </w:rPr>
          <w:t>https://www.medicines.org.uk/emc</w:t>
        </w:r>
      </w:hyperlink>
      <w:r>
        <w:t xml:space="preserve"> on 15/04/2022. Date of last revision of text </w:t>
      </w:r>
      <w:proofErr w:type="gramStart"/>
      <w:r>
        <w:t>01/01/2021;</w:t>
      </w:r>
      <w:proofErr w:type="gramEnd"/>
    </w:p>
    <w:p w14:paraId="415580D5" w14:textId="177C07A3" w:rsidR="00433776" w:rsidRDefault="00433776" w:rsidP="00433776">
      <w:pPr>
        <w:pStyle w:val="NCLBodyText"/>
      </w:pPr>
      <w:r>
        <w:t xml:space="preserve">2. Teglutik 5 mg/ml oral suspension- Summary of Product Characteristics. Martindale Pharma. accessed via </w:t>
      </w:r>
      <w:hyperlink r:id="rId14" w:history="1">
        <w:r w:rsidRPr="007A12BB">
          <w:rPr>
            <w:rStyle w:val="Hyperlink"/>
          </w:rPr>
          <w:t>https://www.medicines.org.uk/emc</w:t>
        </w:r>
      </w:hyperlink>
      <w:r>
        <w:t xml:space="preserve"> on 15/04/2022. Date of last revision of text </w:t>
      </w:r>
      <w:proofErr w:type="gramStart"/>
      <w:r>
        <w:t>10/11/2019;</w:t>
      </w:r>
      <w:proofErr w:type="gramEnd"/>
    </w:p>
    <w:p w14:paraId="6357BBCA" w14:textId="0DA6BA66" w:rsidR="00433776" w:rsidRDefault="00433776" w:rsidP="00433776">
      <w:pPr>
        <w:pStyle w:val="NCLBodyText"/>
      </w:pPr>
      <w:r>
        <w:t xml:space="preserve">3. BNF.  Last updated 04/04/2022.  Accessed via </w:t>
      </w:r>
      <w:hyperlink r:id="rId15" w:history="1">
        <w:r w:rsidRPr="007A12BB">
          <w:rPr>
            <w:rStyle w:val="Hyperlink"/>
          </w:rPr>
          <w:t>https://bnf.nice.org.uk</w:t>
        </w:r>
      </w:hyperlink>
      <w:r>
        <w:t xml:space="preserve"> on </w:t>
      </w:r>
      <w:proofErr w:type="gramStart"/>
      <w:r>
        <w:t>14/04/2022;</w:t>
      </w:r>
      <w:proofErr w:type="gramEnd"/>
    </w:p>
    <w:p w14:paraId="4AAEE7AC" w14:textId="50499C04" w:rsidR="00D46B50" w:rsidRDefault="00433776" w:rsidP="00433776">
      <w:pPr>
        <w:pStyle w:val="NCLBodyText"/>
      </w:pPr>
      <w:r>
        <w:t>4. NICE Technology appraisal guidance no 20.  Guidance on the use of riluzole for the treatment of motor neurone disease. 2001. https://www.nice.org.uk/guidance/ta20</w:t>
      </w:r>
      <w:r w:rsidR="00FC2C3B">
        <w:t xml:space="preserve"> </w:t>
      </w:r>
    </w:p>
    <w:p w14:paraId="32FA7E5D" w14:textId="77777777" w:rsidR="00CC34C1" w:rsidRDefault="00CC34C1" w:rsidP="00CC34C1">
      <w:pPr>
        <w:pStyle w:val="NCLHeading1"/>
      </w:pPr>
      <w:bookmarkStart w:id="15" w:name="_Toc2013987899"/>
      <w:r>
        <w:t>Contact Details</w:t>
      </w:r>
      <w:bookmarkEnd w:id="15"/>
    </w:p>
    <w:p w14:paraId="4ECE7732" w14:textId="3660F532" w:rsidR="00CC34C1" w:rsidRPr="00CC34C1" w:rsidRDefault="00CC34C1" w:rsidP="527BD9B3">
      <w:pPr>
        <w:pStyle w:val="NCLSubsection"/>
      </w:pPr>
      <w:r>
        <w:t>Hospital</w:t>
      </w:r>
      <w:r w:rsidR="00433776">
        <w:t>:  National hospital for Neurosurgery and Neurology (UCLH)</w:t>
      </w:r>
    </w:p>
    <w:tbl>
      <w:tblPr>
        <w:tblStyle w:val="TableGrid"/>
        <w:tblW w:w="0" w:type="auto"/>
        <w:tblLook w:val="04A0" w:firstRow="1" w:lastRow="0" w:firstColumn="1" w:lastColumn="0" w:noHBand="0" w:noVBand="1"/>
      </w:tblPr>
      <w:tblGrid>
        <w:gridCol w:w="4660"/>
        <w:gridCol w:w="4662"/>
      </w:tblGrid>
      <w:tr w:rsidR="00CC34C1" w14:paraId="6E1CE79F" w14:textId="77777777" w:rsidTr="527BD9B3">
        <w:tc>
          <w:tcPr>
            <w:tcW w:w="4774" w:type="dxa"/>
          </w:tcPr>
          <w:p w14:paraId="61BFA8F5" w14:textId="77777777" w:rsidR="00CC34C1" w:rsidRPr="001F5895" w:rsidRDefault="00CC34C1" w:rsidP="008424FD">
            <w:bookmarkStart w:id="16" w:name="_Hlk144299964"/>
            <w:r w:rsidRPr="001F5895">
              <w:t>Hospital switchboard:</w:t>
            </w:r>
          </w:p>
        </w:tc>
        <w:tc>
          <w:tcPr>
            <w:tcW w:w="4774" w:type="dxa"/>
          </w:tcPr>
          <w:p w14:paraId="10C19925" w14:textId="31A21EDC" w:rsidR="00CC34C1" w:rsidRDefault="00433776">
            <w:pPr>
              <w:spacing w:after="200" w:line="276" w:lineRule="auto"/>
            </w:pPr>
            <w:r>
              <w:t>02034567890</w:t>
            </w:r>
          </w:p>
        </w:tc>
      </w:tr>
      <w:tr w:rsidR="00CC34C1" w14:paraId="14673C64" w14:textId="77777777" w:rsidTr="527BD9B3">
        <w:tc>
          <w:tcPr>
            <w:tcW w:w="4774" w:type="dxa"/>
          </w:tcPr>
          <w:p w14:paraId="6F0444CC" w14:textId="7F74D8A3" w:rsidR="00CC34C1" w:rsidRDefault="00433776" w:rsidP="008424FD">
            <w:r>
              <w:t xml:space="preserve">Consultant: </w:t>
            </w:r>
          </w:p>
          <w:p w14:paraId="00795231" w14:textId="5E0E85EB" w:rsidR="00433776" w:rsidRDefault="00433776" w:rsidP="008424FD">
            <w:r>
              <w:t>Dr Robin Howard</w:t>
            </w:r>
          </w:p>
          <w:p w14:paraId="16CF01D4" w14:textId="77777777" w:rsidR="00433776" w:rsidRDefault="00433776" w:rsidP="008424FD">
            <w:r>
              <w:t>Dr Katie Sidle</w:t>
            </w:r>
          </w:p>
          <w:p w14:paraId="5ED0588F" w14:textId="77777777" w:rsidR="00433776" w:rsidRDefault="00433776" w:rsidP="008424FD">
            <w:r>
              <w:t>Dr Pietra Fratta</w:t>
            </w:r>
          </w:p>
          <w:p w14:paraId="60F5EA07" w14:textId="77777777" w:rsidR="00433776" w:rsidRDefault="00433776" w:rsidP="008424FD">
            <w:r>
              <w:t xml:space="preserve">Dr Andrea Malaspina </w:t>
            </w:r>
          </w:p>
          <w:p w14:paraId="3D0E991F" w14:textId="77777777" w:rsidR="00B14608" w:rsidRDefault="00B14608" w:rsidP="008424FD">
            <w:r>
              <w:t>Dr Rickie Patani</w:t>
            </w:r>
          </w:p>
          <w:p w14:paraId="65EEAE07" w14:textId="6882723E" w:rsidR="00B14608" w:rsidRPr="001F5895" w:rsidRDefault="00B14608" w:rsidP="008424FD">
            <w:r>
              <w:t xml:space="preserve">Dr Ross Nortley </w:t>
            </w:r>
          </w:p>
        </w:tc>
        <w:tc>
          <w:tcPr>
            <w:tcW w:w="4774" w:type="dxa"/>
          </w:tcPr>
          <w:p w14:paraId="109738B5" w14:textId="1075499F" w:rsidR="00CC34C1" w:rsidRDefault="00433776">
            <w:pPr>
              <w:spacing w:after="200" w:line="276" w:lineRule="auto"/>
            </w:pPr>
            <w:r>
              <w:t>Consultants’ secretary</w:t>
            </w:r>
            <w:r w:rsidR="41D5D14B">
              <w:t>:</w:t>
            </w:r>
            <w:r>
              <w:t xml:space="preserve"> </w:t>
            </w:r>
            <w:r w:rsidR="001B7B5A">
              <w:t>0203 448 3899</w:t>
            </w:r>
          </w:p>
        </w:tc>
      </w:tr>
      <w:tr w:rsidR="00CC34C1" w14:paraId="2EDBEA30" w14:textId="77777777" w:rsidTr="527BD9B3">
        <w:tc>
          <w:tcPr>
            <w:tcW w:w="4774" w:type="dxa"/>
          </w:tcPr>
          <w:p w14:paraId="57848A7D" w14:textId="7DF64BCD" w:rsidR="00CC34C1" w:rsidRPr="001F5895" w:rsidRDefault="001B7B5A" w:rsidP="00433776">
            <w:r>
              <w:t>Consultant nurse</w:t>
            </w:r>
            <w:r w:rsidR="00CC34C1">
              <w:t xml:space="preserve">: </w:t>
            </w:r>
            <w:r w:rsidR="00433776">
              <w:t xml:space="preserve">Jan Clarke </w:t>
            </w:r>
            <w:r>
              <w:t>and Emma Townsley</w:t>
            </w:r>
          </w:p>
        </w:tc>
        <w:tc>
          <w:tcPr>
            <w:tcW w:w="4774" w:type="dxa"/>
          </w:tcPr>
          <w:p w14:paraId="12C1C62A" w14:textId="5FE3360D" w:rsidR="00CC34C1" w:rsidRDefault="00433776">
            <w:pPr>
              <w:spacing w:after="200" w:line="276" w:lineRule="auto"/>
            </w:pPr>
            <w:r>
              <w:t xml:space="preserve">Via switchboard </w:t>
            </w:r>
          </w:p>
        </w:tc>
      </w:tr>
      <w:tr w:rsidR="00CC34C1" w14:paraId="103D1462" w14:textId="77777777" w:rsidTr="527BD9B3">
        <w:tc>
          <w:tcPr>
            <w:tcW w:w="4774" w:type="dxa"/>
          </w:tcPr>
          <w:p w14:paraId="45B3FE5E" w14:textId="0C38FD28" w:rsidR="00CC34C1" w:rsidRPr="001F5895" w:rsidRDefault="00CC34C1" w:rsidP="00433776">
            <w:r w:rsidRPr="001F5895">
              <w:t xml:space="preserve">Specialist or Dept Pharmacist: </w:t>
            </w:r>
            <w:r w:rsidR="00433776">
              <w:t>Pharmacy department at NHNN</w:t>
            </w:r>
          </w:p>
        </w:tc>
        <w:tc>
          <w:tcPr>
            <w:tcW w:w="4774" w:type="dxa"/>
          </w:tcPr>
          <w:p w14:paraId="25322834" w14:textId="261909E9" w:rsidR="00CC34C1" w:rsidRDefault="00433776">
            <w:pPr>
              <w:spacing w:after="200" w:line="276" w:lineRule="auto"/>
            </w:pPr>
            <w:r>
              <w:t>0203 4483160</w:t>
            </w:r>
          </w:p>
        </w:tc>
      </w:tr>
      <w:tr w:rsidR="00CC34C1" w14:paraId="6490615A" w14:textId="77777777" w:rsidTr="527BD9B3">
        <w:tc>
          <w:tcPr>
            <w:tcW w:w="4774" w:type="dxa"/>
          </w:tcPr>
          <w:p w14:paraId="12439DA4" w14:textId="29B94803" w:rsidR="00CC34C1" w:rsidRDefault="00CC34C1" w:rsidP="008424FD">
            <w:r>
              <w:t xml:space="preserve">Further information and support: </w:t>
            </w:r>
            <w:r w:rsidR="001B7B5A">
              <w:t>MND support number</w:t>
            </w:r>
          </w:p>
        </w:tc>
        <w:tc>
          <w:tcPr>
            <w:tcW w:w="4774" w:type="dxa"/>
          </w:tcPr>
          <w:p w14:paraId="47034C3B" w14:textId="07E6A615" w:rsidR="00CC34C1" w:rsidRDefault="001B7B5A">
            <w:pPr>
              <w:spacing w:after="200" w:line="276" w:lineRule="auto"/>
            </w:pPr>
            <w:r>
              <w:t>0203 448 3517</w:t>
            </w:r>
          </w:p>
        </w:tc>
      </w:tr>
      <w:bookmarkEnd w:id="16"/>
    </w:tbl>
    <w:p w14:paraId="11F3A572" w14:textId="77777777" w:rsidR="00CC34C1" w:rsidRDefault="00CC34C1">
      <w:pPr>
        <w:spacing w:after="200" w:line="276" w:lineRule="auto"/>
      </w:pPr>
    </w:p>
    <w:p w14:paraId="4B1EC188" w14:textId="77777777" w:rsidR="00D46B50" w:rsidRDefault="00D46B50">
      <w:pPr>
        <w:spacing w:after="200" w:line="276" w:lineRule="auto"/>
      </w:pPr>
      <w:r>
        <w:br w:type="page"/>
      </w:r>
    </w:p>
    <w:p w14:paraId="75F3644E" w14:textId="77777777" w:rsidR="00D46B50" w:rsidRPr="009D2F4A" w:rsidRDefault="00D46B50" w:rsidP="00D46B50">
      <w:pPr>
        <w:pStyle w:val="NCLBodyText"/>
        <w:spacing w:before="240" w:after="120"/>
        <w:rPr>
          <w:b/>
          <w:sz w:val="28"/>
        </w:rPr>
      </w:pPr>
      <w:r w:rsidRPr="009D2F4A">
        <w:rPr>
          <w:b/>
          <w:sz w:val="28"/>
        </w:rPr>
        <w:lastRenderedPageBreak/>
        <w:t>Document control</w:t>
      </w:r>
    </w:p>
    <w:tbl>
      <w:tblPr>
        <w:tblStyle w:val="ReportTable"/>
        <w:tblW w:w="9322" w:type="dxa"/>
        <w:tblLook w:val="04A0" w:firstRow="1" w:lastRow="0" w:firstColumn="1" w:lastColumn="0" w:noHBand="0" w:noVBand="1"/>
      </w:tblPr>
      <w:tblGrid>
        <w:gridCol w:w="1221"/>
        <w:gridCol w:w="1050"/>
        <w:gridCol w:w="7051"/>
      </w:tblGrid>
      <w:tr w:rsidR="00D46B50" w14:paraId="7D4E8F6D" w14:textId="77777777" w:rsidTr="2AB8EA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dxa"/>
          </w:tcPr>
          <w:p w14:paraId="155C05BD" w14:textId="77777777" w:rsidR="00D46B50" w:rsidRDefault="00D46B50" w:rsidP="008424FD">
            <w:pPr>
              <w:pStyle w:val="NCLTableText"/>
            </w:pPr>
            <w:r>
              <w:t>Date</w:t>
            </w:r>
          </w:p>
        </w:tc>
        <w:tc>
          <w:tcPr>
            <w:tcW w:w="1050" w:type="dxa"/>
          </w:tcPr>
          <w:p w14:paraId="0654F1D0" w14:textId="77777777" w:rsidR="00D46B50" w:rsidRDefault="00D46B50" w:rsidP="008424FD">
            <w:pPr>
              <w:pStyle w:val="NCLTableText"/>
              <w:cnfStyle w:val="100000000000" w:firstRow="1" w:lastRow="0" w:firstColumn="0" w:lastColumn="0" w:oddVBand="0" w:evenVBand="0" w:oddHBand="0" w:evenHBand="0" w:firstRowFirstColumn="0" w:firstRowLastColumn="0" w:lastRowFirstColumn="0" w:lastRowLastColumn="0"/>
            </w:pPr>
            <w:r>
              <w:t>Version</w:t>
            </w:r>
          </w:p>
        </w:tc>
        <w:tc>
          <w:tcPr>
            <w:tcW w:w="7051" w:type="dxa"/>
          </w:tcPr>
          <w:p w14:paraId="03CD7D5A" w14:textId="77777777" w:rsidR="00D46B50" w:rsidRDefault="00D46B50" w:rsidP="008424FD">
            <w:pPr>
              <w:pStyle w:val="NCLTableText"/>
              <w:cnfStyle w:val="100000000000" w:firstRow="1" w:lastRow="0" w:firstColumn="0" w:lastColumn="0" w:oddVBand="0" w:evenVBand="0" w:oddHBand="0" w:evenHBand="0" w:firstRowFirstColumn="0" w:firstRowLastColumn="0" w:lastRowFirstColumn="0" w:lastRowLastColumn="0"/>
            </w:pPr>
            <w:r>
              <w:t>Amendments</w:t>
            </w:r>
          </w:p>
        </w:tc>
      </w:tr>
      <w:tr w:rsidR="00D46B50" w14:paraId="0AF2B1A7" w14:textId="77777777" w:rsidTr="2AB8EA19">
        <w:tc>
          <w:tcPr>
            <w:cnfStyle w:val="001000000000" w:firstRow="0" w:lastRow="0" w:firstColumn="1" w:lastColumn="0" w:oddVBand="0" w:evenVBand="0" w:oddHBand="0" w:evenHBand="0" w:firstRowFirstColumn="0" w:firstRowLastColumn="0" w:lastRowFirstColumn="0" w:lastRowLastColumn="0"/>
            <w:tcW w:w="1221" w:type="dxa"/>
          </w:tcPr>
          <w:p w14:paraId="49E14F78" w14:textId="08F815A1" w:rsidR="00D46B50" w:rsidRDefault="289D77AB" w:rsidP="008424FD">
            <w:pPr>
              <w:pStyle w:val="NCLTableText"/>
            </w:pPr>
            <w:r>
              <w:t>November 2023</w:t>
            </w:r>
          </w:p>
        </w:tc>
        <w:tc>
          <w:tcPr>
            <w:tcW w:w="1050" w:type="dxa"/>
          </w:tcPr>
          <w:p w14:paraId="63B286A2" w14:textId="19B5774F" w:rsidR="00D46B50" w:rsidRDefault="289D77AB" w:rsidP="008424FD">
            <w:pPr>
              <w:pStyle w:val="NCLTableText"/>
              <w:cnfStyle w:val="000000000000" w:firstRow="0" w:lastRow="0" w:firstColumn="0" w:lastColumn="0" w:oddVBand="0" w:evenVBand="0" w:oddHBand="0" w:evenHBand="0" w:firstRowFirstColumn="0" w:firstRowLastColumn="0" w:lastRowFirstColumn="0" w:lastRowLastColumn="0"/>
            </w:pPr>
            <w:r>
              <w:t>Version 2</w:t>
            </w:r>
          </w:p>
        </w:tc>
        <w:tc>
          <w:tcPr>
            <w:tcW w:w="7051" w:type="dxa"/>
          </w:tcPr>
          <w:p w14:paraId="52E3DF19" w14:textId="3BF7B284" w:rsidR="00D46B50" w:rsidRDefault="289D77AB" w:rsidP="2AB8EA19">
            <w:pPr>
              <w:pStyle w:val="NCLTableText"/>
              <w:cnfStyle w:val="000000000000" w:firstRow="0" w:lastRow="0" w:firstColumn="0" w:lastColumn="0" w:oddVBand="0" w:evenVBand="0" w:oddHBand="0" w:evenHBand="0" w:firstRowFirstColumn="0" w:firstRowLastColumn="0" w:lastRowFirstColumn="0" w:lastRowLastColumn="0"/>
            </w:pPr>
            <w:r w:rsidRPr="2AB8EA19">
              <w:t xml:space="preserve">Share Care produced by UCLH and </w:t>
            </w:r>
            <w:r w:rsidR="1F8EE4C4">
              <w:t>NCL ICB Barnet borough Medicines Management Team</w:t>
            </w:r>
            <w:r w:rsidR="00D46B50">
              <w:br/>
            </w:r>
            <w:r w:rsidRPr="2AB8EA19">
              <w:t xml:space="preserve">Agreed by NCL </w:t>
            </w:r>
            <w:r w:rsidR="21DFF6D9" w:rsidRPr="2AB8EA19">
              <w:t>Shared Care Group</w:t>
            </w:r>
            <w:r w:rsidRPr="2AB8EA19">
              <w:t xml:space="preserve">: </w:t>
            </w:r>
            <w:r w:rsidR="6391FC15" w:rsidRPr="2AB8EA19">
              <w:t>14</w:t>
            </w:r>
            <w:r w:rsidR="6391FC15" w:rsidRPr="2AB8EA19">
              <w:rPr>
                <w:vertAlign w:val="superscript"/>
              </w:rPr>
              <w:t>th</w:t>
            </w:r>
            <w:r w:rsidR="6391FC15" w:rsidRPr="2AB8EA19">
              <w:t xml:space="preserve"> November 2023</w:t>
            </w:r>
          </w:p>
        </w:tc>
      </w:tr>
    </w:tbl>
    <w:p w14:paraId="1B9618E7" w14:textId="77777777" w:rsidR="00D46B50" w:rsidRDefault="00D46B50" w:rsidP="00D46B50">
      <w:pPr>
        <w:pStyle w:val="NCLBodyText"/>
      </w:pPr>
    </w:p>
    <w:p w14:paraId="7D2535ED" w14:textId="77777777" w:rsidR="00D46B50" w:rsidRDefault="00D46B50" w:rsidP="00D46B50">
      <w:pPr>
        <w:pStyle w:val="NCLBodyText"/>
      </w:pPr>
    </w:p>
    <w:p w14:paraId="2418BDFC" w14:textId="77777777" w:rsidR="00D46B50" w:rsidRDefault="00D46B50" w:rsidP="00D46B50">
      <w:pPr>
        <w:pStyle w:val="NCLBodyText"/>
      </w:pPr>
      <w:r>
        <w:br w:type="page"/>
      </w:r>
    </w:p>
    <w:p w14:paraId="643D3141" w14:textId="0C1A09DB" w:rsidR="00DF3C38" w:rsidRPr="00DF3C38" w:rsidRDefault="00DF3C38" w:rsidP="2AB8EA19">
      <w:pPr>
        <w:pStyle w:val="NCLAppendix"/>
        <w:ind w:left="0" w:firstLine="0"/>
      </w:pPr>
      <w:bookmarkStart w:id="17" w:name="_Toc1920860360"/>
      <w:r>
        <w:lastRenderedPageBreak/>
        <w:t xml:space="preserve">Appendix </w:t>
      </w:r>
      <w:r>
        <w:fldChar w:fldCharType="begin"/>
      </w:r>
      <w:r>
        <w:instrText>SEQ Appendix \* ARABIC</w:instrText>
      </w:r>
      <w:r>
        <w:fldChar w:fldCharType="separate"/>
      </w:r>
      <w:r w:rsidR="00DE3C41">
        <w:rPr>
          <w:noProof/>
        </w:rPr>
        <w:t>1</w:t>
      </w:r>
      <w:r>
        <w:fldChar w:fldCharType="end"/>
      </w:r>
      <w:r>
        <w:t xml:space="preserve">: </w:t>
      </w:r>
      <w:r w:rsidR="00F50D64">
        <w:t>Riluzole</w:t>
      </w:r>
      <w:r>
        <w:t xml:space="preserve"> transfer form: from [Trust] to GP </w:t>
      </w:r>
      <w:proofErr w:type="gramStart"/>
      <w:r>
        <w:t>practice</w:t>
      </w:r>
      <w:bookmarkEnd w:id="17"/>
      <w:proofErr w:type="gramEnd"/>
    </w:p>
    <w:tbl>
      <w:tblPr>
        <w:tblW w:w="103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4"/>
        <w:gridCol w:w="1600"/>
        <w:gridCol w:w="380"/>
        <w:gridCol w:w="639"/>
        <w:gridCol w:w="257"/>
        <w:gridCol w:w="242"/>
        <w:gridCol w:w="842"/>
        <w:gridCol w:w="1134"/>
        <w:gridCol w:w="875"/>
        <w:gridCol w:w="1920"/>
      </w:tblGrid>
      <w:tr w:rsidR="00DF3C38" w14:paraId="165F5C78" w14:textId="77777777" w:rsidTr="008424FD">
        <w:trPr>
          <w:cantSplit/>
          <w:trHeight w:val="482"/>
        </w:trPr>
        <w:tc>
          <w:tcPr>
            <w:tcW w:w="10363" w:type="dxa"/>
            <w:gridSpan w:val="10"/>
            <w:tcBorders>
              <w:top w:val="nil"/>
              <w:left w:val="nil"/>
              <w:bottom w:val="nil"/>
              <w:right w:val="nil"/>
            </w:tcBorders>
            <w:vAlign w:val="center"/>
          </w:tcPr>
          <w:p w14:paraId="1A977A1C" w14:textId="77777777" w:rsidR="00DF3C38" w:rsidRDefault="00DF3C38" w:rsidP="008424FD">
            <w:pPr>
              <w:pStyle w:val="BodyText"/>
              <w:tabs>
                <w:tab w:val="left" w:pos="-174"/>
                <w:tab w:val="left" w:pos="4860"/>
                <w:tab w:val="left" w:pos="6660"/>
                <w:tab w:val="left" w:pos="7740"/>
                <w:tab w:val="right" w:pos="8820"/>
              </w:tabs>
              <w:spacing w:after="240"/>
              <w:ind w:left="-174" w:right="-516" w:firstLine="66"/>
              <w:rPr>
                <w:rFonts w:ascii="Arial" w:hAnsi="Arial" w:cs="Arial"/>
                <w:b/>
                <w:iCs/>
              </w:rPr>
            </w:pPr>
          </w:p>
          <w:p w14:paraId="40344270" w14:textId="77777777" w:rsidR="00DF3C38" w:rsidRDefault="00DF3C38" w:rsidP="008424FD">
            <w:pPr>
              <w:pStyle w:val="BodyText"/>
              <w:tabs>
                <w:tab w:val="left" w:pos="-174"/>
                <w:tab w:val="left" w:pos="4860"/>
                <w:tab w:val="left" w:pos="6660"/>
                <w:tab w:val="left" w:pos="7740"/>
                <w:tab w:val="right" w:pos="8820"/>
              </w:tabs>
              <w:spacing w:after="240"/>
              <w:ind w:left="-174" w:right="-516" w:firstLine="66"/>
              <w:rPr>
                <w:rFonts w:ascii="Arial" w:hAnsi="Arial" w:cs="Arial"/>
                <w:bCs/>
                <w:i/>
              </w:rPr>
            </w:pPr>
            <w:r>
              <w:rPr>
                <w:rFonts w:ascii="Arial" w:hAnsi="Arial" w:cs="Arial"/>
                <w:b/>
                <w:iCs/>
              </w:rPr>
              <w:t xml:space="preserve">Section A: to be completed by secondary care </w:t>
            </w:r>
            <w:proofErr w:type="gramStart"/>
            <w:r>
              <w:rPr>
                <w:rFonts w:ascii="Arial" w:hAnsi="Arial" w:cs="Arial"/>
                <w:bCs/>
                <w:i/>
              </w:rPr>
              <w:t>Send  to</w:t>
            </w:r>
            <w:proofErr w:type="gramEnd"/>
            <w:r>
              <w:rPr>
                <w:rFonts w:ascii="Arial" w:hAnsi="Arial" w:cs="Arial"/>
                <w:bCs/>
                <w:i/>
              </w:rPr>
              <w:t xml:space="preserve"> practice</w:t>
            </w:r>
          </w:p>
          <w:p w14:paraId="2FE59A5B" w14:textId="77777777" w:rsidR="00DF3C38" w:rsidRDefault="00DF3C38" w:rsidP="008424FD">
            <w:pPr>
              <w:pStyle w:val="BodyText"/>
              <w:tabs>
                <w:tab w:val="left" w:pos="-540"/>
                <w:tab w:val="left" w:pos="4860"/>
                <w:tab w:val="left" w:pos="6660"/>
                <w:tab w:val="left" w:pos="7740"/>
                <w:tab w:val="right" w:pos="8820"/>
              </w:tabs>
              <w:spacing w:after="240"/>
              <w:ind w:left="-108" w:right="-516"/>
              <w:rPr>
                <w:rFonts w:ascii="Arial" w:hAnsi="Arial" w:cs="Arial"/>
                <w:bCs/>
                <w:iCs/>
              </w:rPr>
            </w:pPr>
            <w:r>
              <w:rPr>
                <w:rFonts w:ascii="Arial" w:hAnsi="Arial" w:cs="Arial"/>
                <w:bCs/>
                <w:i/>
              </w:rPr>
              <w:t>This document is to request the shared care pathway of your patient and comprises an agreement between the GP and named consultant.  The patient will continue to be seen by the named consultant as regular follow up.</w:t>
            </w:r>
          </w:p>
        </w:tc>
      </w:tr>
      <w:tr w:rsidR="00DF3C38" w14:paraId="5D363CF3" w14:textId="77777777" w:rsidTr="008424FD">
        <w:trPr>
          <w:cantSplit/>
          <w:trHeight w:val="586"/>
        </w:trPr>
        <w:tc>
          <w:tcPr>
            <w:tcW w:w="5350" w:type="dxa"/>
            <w:gridSpan w:val="5"/>
            <w:vMerge w:val="restart"/>
            <w:tcBorders>
              <w:top w:val="single" w:sz="4" w:space="0" w:color="auto"/>
              <w:left w:val="single" w:sz="4" w:space="0" w:color="auto"/>
              <w:right w:val="single" w:sz="4" w:space="0" w:color="auto"/>
            </w:tcBorders>
          </w:tcPr>
          <w:p w14:paraId="636B1F0A" w14:textId="77777777" w:rsidR="00DF3C38" w:rsidRDefault="00DF3C38" w:rsidP="008424FD">
            <w:pPr>
              <w:pStyle w:val="BodyText"/>
              <w:tabs>
                <w:tab w:val="left" w:pos="-540"/>
                <w:tab w:val="left" w:pos="4860"/>
                <w:tab w:val="left" w:pos="6660"/>
                <w:tab w:val="left" w:pos="7740"/>
                <w:tab w:val="right" w:pos="8820"/>
              </w:tabs>
              <w:spacing w:before="120"/>
              <w:ind w:right="-516" w:firstLine="74"/>
              <w:rPr>
                <w:rFonts w:ascii="Arial" w:hAnsi="Arial" w:cs="Arial"/>
                <w:bCs/>
                <w:i/>
              </w:rPr>
            </w:pPr>
            <w:r>
              <w:rPr>
                <w:rFonts w:ascii="Arial" w:hAnsi="Arial" w:cs="Arial"/>
                <w:bCs/>
                <w:i/>
              </w:rPr>
              <w:t xml:space="preserve">Fix address label here (ensure NHS </w:t>
            </w:r>
            <w:proofErr w:type="gramStart"/>
            <w:r>
              <w:rPr>
                <w:rFonts w:ascii="Arial" w:hAnsi="Arial" w:cs="Arial"/>
                <w:bCs/>
                <w:i/>
              </w:rPr>
              <w:t>no.on</w:t>
            </w:r>
            <w:proofErr w:type="gramEnd"/>
            <w:r>
              <w:rPr>
                <w:rFonts w:ascii="Arial" w:hAnsi="Arial" w:cs="Arial"/>
                <w:bCs/>
                <w:i/>
              </w:rPr>
              <w:t>)</w:t>
            </w:r>
          </w:p>
        </w:tc>
        <w:tc>
          <w:tcPr>
            <w:tcW w:w="242" w:type="dxa"/>
            <w:tcBorders>
              <w:top w:val="nil"/>
              <w:left w:val="single" w:sz="4" w:space="0" w:color="auto"/>
              <w:bottom w:val="nil"/>
              <w:right w:val="nil"/>
            </w:tcBorders>
          </w:tcPr>
          <w:p w14:paraId="1F92AC5C"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4771" w:type="dxa"/>
            <w:gridSpan w:val="4"/>
            <w:vMerge w:val="restart"/>
            <w:tcBorders>
              <w:top w:val="single" w:sz="4" w:space="0" w:color="auto"/>
              <w:left w:val="single" w:sz="4" w:space="0" w:color="auto"/>
              <w:right w:val="single" w:sz="4" w:space="0" w:color="auto"/>
            </w:tcBorders>
          </w:tcPr>
          <w:p w14:paraId="58EB0436" w14:textId="77777777" w:rsidR="00DF3C38" w:rsidRDefault="00DF3C38" w:rsidP="008424FD">
            <w:pPr>
              <w:pStyle w:val="BodyText"/>
              <w:tabs>
                <w:tab w:val="left" w:pos="-540"/>
                <w:tab w:val="left" w:pos="4860"/>
                <w:tab w:val="left" w:pos="6660"/>
                <w:tab w:val="left" w:pos="7740"/>
                <w:tab w:val="right" w:pos="8820"/>
              </w:tabs>
              <w:spacing w:before="120"/>
              <w:ind w:right="-516" w:firstLine="51"/>
              <w:rPr>
                <w:rFonts w:ascii="Arial" w:hAnsi="Arial" w:cs="Arial"/>
                <w:bCs/>
                <w:i/>
              </w:rPr>
            </w:pPr>
            <w:r>
              <w:rPr>
                <w:rFonts w:ascii="Arial" w:hAnsi="Arial" w:cs="Arial"/>
                <w:bCs/>
                <w:iCs/>
              </w:rPr>
              <w:t xml:space="preserve">Clinic stamp </w:t>
            </w:r>
            <w:r>
              <w:rPr>
                <w:rFonts w:ascii="Arial" w:hAnsi="Arial" w:cs="Arial"/>
                <w:bCs/>
                <w:i/>
              </w:rPr>
              <w:t xml:space="preserve">or give details </w:t>
            </w:r>
            <w:proofErr w:type="gramStart"/>
            <w:r>
              <w:rPr>
                <w:rFonts w:ascii="Arial" w:hAnsi="Arial" w:cs="Arial"/>
                <w:bCs/>
                <w:i/>
              </w:rPr>
              <w:t>below</w:t>
            </w:r>
            <w:proofErr w:type="gramEnd"/>
          </w:p>
          <w:p w14:paraId="4B0D6DB3" w14:textId="77777777" w:rsidR="00DF3C38" w:rsidRDefault="00DF3C38" w:rsidP="008424FD">
            <w:pPr>
              <w:pStyle w:val="BodyText"/>
              <w:tabs>
                <w:tab w:val="left" w:pos="-540"/>
                <w:tab w:val="left" w:pos="4860"/>
                <w:tab w:val="left" w:pos="6660"/>
                <w:tab w:val="left" w:pos="7740"/>
                <w:tab w:val="right" w:pos="8820"/>
              </w:tabs>
              <w:spacing w:before="120"/>
              <w:ind w:right="-516" w:firstLine="51"/>
              <w:rPr>
                <w:rFonts w:ascii="Arial" w:hAnsi="Arial" w:cs="Arial"/>
                <w:b/>
                <w:bCs/>
                <w:iCs/>
              </w:rPr>
            </w:pPr>
          </w:p>
        </w:tc>
      </w:tr>
      <w:tr w:rsidR="00DF3C38" w14:paraId="75BB8E07" w14:textId="77777777" w:rsidTr="008424FD">
        <w:trPr>
          <w:cantSplit/>
          <w:trHeight w:val="145"/>
        </w:trPr>
        <w:tc>
          <w:tcPr>
            <w:tcW w:w="5350" w:type="dxa"/>
            <w:gridSpan w:val="5"/>
            <w:vMerge/>
            <w:tcBorders>
              <w:left w:val="single" w:sz="4" w:space="0" w:color="auto"/>
              <w:right w:val="single" w:sz="4" w:space="0" w:color="auto"/>
            </w:tcBorders>
          </w:tcPr>
          <w:p w14:paraId="04CD16B7"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242" w:type="dxa"/>
            <w:tcBorders>
              <w:top w:val="nil"/>
              <w:left w:val="single" w:sz="4" w:space="0" w:color="auto"/>
              <w:bottom w:val="nil"/>
              <w:right w:val="nil"/>
            </w:tcBorders>
          </w:tcPr>
          <w:p w14:paraId="4AED1530"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4771" w:type="dxa"/>
            <w:gridSpan w:val="4"/>
            <w:vMerge/>
            <w:tcBorders>
              <w:left w:val="single" w:sz="4" w:space="0" w:color="auto"/>
              <w:right w:val="single" w:sz="4" w:space="0" w:color="auto"/>
            </w:tcBorders>
          </w:tcPr>
          <w:p w14:paraId="0452C0D0"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r>
      <w:tr w:rsidR="00DF3C38" w14:paraId="1F659CFE" w14:textId="77777777" w:rsidTr="008424FD">
        <w:trPr>
          <w:cantSplit/>
          <w:trHeight w:val="113"/>
        </w:trPr>
        <w:tc>
          <w:tcPr>
            <w:tcW w:w="5350" w:type="dxa"/>
            <w:gridSpan w:val="5"/>
            <w:vMerge/>
            <w:tcBorders>
              <w:left w:val="single" w:sz="4" w:space="0" w:color="auto"/>
              <w:bottom w:val="single" w:sz="4" w:space="0" w:color="auto"/>
              <w:right w:val="single" w:sz="4" w:space="0" w:color="auto"/>
            </w:tcBorders>
          </w:tcPr>
          <w:p w14:paraId="374491AA"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242" w:type="dxa"/>
            <w:tcBorders>
              <w:top w:val="nil"/>
              <w:left w:val="single" w:sz="4" w:space="0" w:color="auto"/>
              <w:bottom w:val="nil"/>
              <w:right w:val="nil"/>
            </w:tcBorders>
          </w:tcPr>
          <w:p w14:paraId="5C94E89E"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4771" w:type="dxa"/>
            <w:gridSpan w:val="4"/>
            <w:vMerge/>
            <w:tcBorders>
              <w:left w:val="single" w:sz="4" w:space="0" w:color="auto"/>
              <w:bottom w:val="single" w:sz="4" w:space="0" w:color="auto"/>
              <w:right w:val="single" w:sz="4" w:space="0" w:color="auto"/>
            </w:tcBorders>
          </w:tcPr>
          <w:p w14:paraId="57ACE8A3"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r>
      <w:tr w:rsidR="00DF3C38" w14:paraId="17CA2488" w14:textId="77777777" w:rsidTr="008424FD">
        <w:trPr>
          <w:cantSplit/>
          <w:trHeight w:val="90"/>
        </w:trPr>
        <w:tc>
          <w:tcPr>
            <w:tcW w:w="10363" w:type="dxa"/>
            <w:gridSpan w:val="10"/>
            <w:tcBorders>
              <w:top w:val="nil"/>
              <w:left w:val="nil"/>
              <w:bottom w:val="nil"/>
              <w:right w:val="nil"/>
            </w:tcBorders>
          </w:tcPr>
          <w:p w14:paraId="184485B5" w14:textId="77777777" w:rsidR="00DF3C38" w:rsidRDefault="00DF3C38" w:rsidP="008424FD">
            <w:pPr>
              <w:pStyle w:val="BodyText"/>
              <w:tabs>
                <w:tab w:val="left" w:pos="-540"/>
                <w:tab w:val="left" w:pos="4860"/>
                <w:tab w:val="left" w:pos="6660"/>
                <w:tab w:val="left" w:pos="7740"/>
                <w:tab w:val="right" w:pos="8820"/>
              </w:tabs>
              <w:ind w:right="-516" w:firstLine="51"/>
              <w:rPr>
                <w:rFonts w:ascii="Arial" w:hAnsi="Arial" w:cs="Arial"/>
                <w:bCs/>
                <w:iCs/>
                <w:sz w:val="16"/>
              </w:rPr>
            </w:pPr>
          </w:p>
        </w:tc>
      </w:tr>
      <w:tr w:rsidR="00B1573E" w14:paraId="12CDDF41" w14:textId="77777777" w:rsidTr="008424FD">
        <w:trPr>
          <w:cantSplit/>
          <w:trHeight w:val="468"/>
        </w:trPr>
        <w:tc>
          <w:tcPr>
            <w:tcW w:w="2474" w:type="dxa"/>
            <w:tcBorders>
              <w:top w:val="nil"/>
              <w:left w:val="nil"/>
              <w:bottom w:val="nil"/>
              <w:right w:val="single" w:sz="4" w:space="0" w:color="auto"/>
            </w:tcBorders>
            <w:vAlign w:val="center"/>
          </w:tcPr>
          <w:p w14:paraId="40E83C97" w14:textId="77777777" w:rsidR="00DF3C38"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 xml:space="preserve"> Department</w:t>
            </w:r>
          </w:p>
        </w:tc>
        <w:tc>
          <w:tcPr>
            <w:tcW w:w="2876" w:type="dxa"/>
            <w:gridSpan w:val="4"/>
            <w:tcBorders>
              <w:top w:val="single" w:sz="4" w:space="0" w:color="auto"/>
              <w:left w:val="single" w:sz="4" w:space="0" w:color="auto"/>
              <w:bottom w:val="single" w:sz="4" w:space="0" w:color="auto"/>
              <w:right w:val="nil"/>
            </w:tcBorders>
            <w:vAlign w:val="center"/>
          </w:tcPr>
          <w:p w14:paraId="286935C3"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c>
          <w:tcPr>
            <w:tcW w:w="242" w:type="dxa"/>
            <w:tcBorders>
              <w:top w:val="nil"/>
              <w:left w:val="single" w:sz="4" w:space="0" w:color="auto"/>
              <w:bottom w:val="nil"/>
              <w:right w:val="nil"/>
            </w:tcBorders>
            <w:vAlign w:val="center"/>
          </w:tcPr>
          <w:p w14:paraId="67404990"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771" w:type="dxa"/>
            <w:gridSpan w:val="4"/>
            <w:tcBorders>
              <w:top w:val="nil"/>
              <w:left w:val="nil"/>
              <w:bottom w:val="nil"/>
              <w:right w:val="nil"/>
            </w:tcBorders>
            <w:vAlign w:val="center"/>
          </w:tcPr>
          <w:p w14:paraId="2852FD58"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11B3ECB9" w14:textId="77777777" w:rsidTr="008424FD">
        <w:trPr>
          <w:cantSplit/>
          <w:trHeight w:val="300"/>
        </w:trPr>
        <w:tc>
          <w:tcPr>
            <w:tcW w:w="5592" w:type="dxa"/>
            <w:gridSpan w:val="6"/>
            <w:tcBorders>
              <w:top w:val="nil"/>
              <w:left w:val="nil"/>
              <w:bottom w:val="nil"/>
              <w:right w:val="nil"/>
            </w:tcBorders>
          </w:tcPr>
          <w:p w14:paraId="7EFA829F"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c>
          <w:tcPr>
            <w:tcW w:w="4771" w:type="dxa"/>
            <w:gridSpan w:val="4"/>
            <w:tcBorders>
              <w:top w:val="nil"/>
              <w:left w:val="nil"/>
              <w:bottom w:val="nil"/>
              <w:right w:val="nil"/>
            </w:tcBorders>
          </w:tcPr>
          <w:p w14:paraId="6B720EF0"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r>
      <w:tr w:rsidR="00B1573E" w14:paraId="383C4029" w14:textId="77777777" w:rsidTr="007B67B8">
        <w:trPr>
          <w:cantSplit/>
          <w:trHeight w:val="468"/>
        </w:trPr>
        <w:tc>
          <w:tcPr>
            <w:tcW w:w="2474" w:type="dxa"/>
            <w:tcBorders>
              <w:top w:val="nil"/>
              <w:left w:val="nil"/>
              <w:bottom w:val="nil"/>
              <w:right w:val="single" w:sz="4" w:space="0" w:color="auto"/>
            </w:tcBorders>
            <w:vAlign w:val="center"/>
          </w:tcPr>
          <w:p w14:paraId="3E8D3F76"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Clinic phone </w:t>
            </w:r>
          </w:p>
          <w:p w14:paraId="4BC86BEE"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p>
        </w:tc>
        <w:tc>
          <w:tcPr>
            <w:tcW w:w="2876" w:type="dxa"/>
            <w:gridSpan w:val="4"/>
            <w:tcBorders>
              <w:top w:val="single" w:sz="4" w:space="0" w:color="auto"/>
              <w:left w:val="single" w:sz="4" w:space="0" w:color="auto"/>
              <w:bottom w:val="single" w:sz="4" w:space="0" w:color="auto"/>
              <w:right w:val="nil"/>
            </w:tcBorders>
            <w:vAlign w:val="center"/>
          </w:tcPr>
          <w:p w14:paraId="62E17009"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c>
          <w:tcPr>
            <w:tcW w:w="242" w:type="dxa"/>
            <w:tcBorders>
              <w:top w:val="nil"/>
              <w:left w:val="single" w:sz="4" w:space="0" w:color="auto"/>
              <w:bottom w:val="nil"/>
              <w:right w:val="nil"/>
            </w:tcBorders>
            <w:vAlign w:val="center"/>
          </w:tcPr>
          <w:p w14:paraId="7D93FCA8"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r>
              <w:rPr>
                <w:rFonts w:ascii="Arial" w:hAnsi="Arial" w:cs="Arial"/>
                <w:bCs/>
                <w:iCs/>
              </w:rPr>
              <w:t xml:space="preserve"> </w:t>
            </w:r>
          </w:p>
        </w:tc>
        <w:tc>
          <w:tcPr>
            <w:tcW w:w="842" w:type="dxa"/>
            <w:tcBorders>
              <w:top w:val="nil"/>
              <w:left w:val="nil"/>
              <w:bottom w:val="nil"/>
              <w:right w:val="nil"/>
            </w:tcBorders>
            <w:vAlign w:val="center"/>
          </w:tcPr>
          <w:p w14:paraId="3150AEBF" w14:textId="77777777" w:rsidR="00DF3C38" w:rsidRDefault="00DF3C38" w:rsidP="007B67B8">
            <w:pPr>
              <w:pStyle w:val="BodyText"/>
              <w:tabs>
                <w:tab w:val="left" w:pos="-540"/>
                <w:tab w:val="left" w:pos="4860"/>
                <w:tab w:val="left" w:pos="6660"/>
                <w:tab w:val="left" w:pos="7740"/>
                <w:tab w:val="right" w:pos="8820"/>
              </w:tabs>
              <w:spacing w:before="120"/>
              <w:ind w:right="-516" w:hanging="128"/>
              <w:rPr>
                <w:rFonts w:ascii="Arial" w:hAnsi="Arial" w:cs="Arial"/>
                <w:bCs/>
                <w:iCs/>
              </w:rPr>
            </w:pPr>
            <w:r>
              <w:rPr>
                <w:rFonts w:ascii="Arial" w:hAnsi="Arial" w:cs="Arial"/>
                <w:bCs/>
                <w:iCs/>
              </w:rPr>
              <w:t xml:space="preserve">     </w:t>
            </w:r>
          </w:p>
        </w:tc>
        <w:tc>
          <w:tcPr>
            <w:tcW w:w="3929" w:type="dxa"/>
            <w:gridSpan w:val="3"/>
            <w:tcBorders>
              <w:top w:val="nil"/>
              <w:left w:val="nil"/>
              <w:bottom w:val="nil"/>
              <w:right w:val="nil"/>
            </w:tcBorders>
            <w:vAlign w:val="center"/>
          </w:tcPr>
          <w:p w14:paraId="7F4C96A5"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r>
      <w:tr w:rsidR="00DF3C38" w14:paraId="3B2895F3" w14:textId="77777777" w:rsidTr="008424FD">
        <w:trPr>
          <w:cantSplit/>
          <w:trHeight w:val="300"/>
        </w:trPr>
        <w:tc>
          <w:tcPr>
            <w:tcW w:w="5592" w:type="dxa"/>
            <w:gridSpan w:val="6"/>
            <w:tcBorders>
              <w:top w:val="nil"/>
              <w:left w:val="nil"/>
              <w:bottom w:val="nil"/>
              <w:right w:val="nil"/>
            </w:tcBorders>
          </w:tcPr>
          <w:p w14:paraId="7A76476C"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c>
          <w:tcPr>
            <w:tcW w:w="4771" w:type="dxa"/>
            <w:gridSpan w:val="4"/>
            <w:tcBorders>
              <w:top w:val="nil"/>
              <w:left w:val="nil"/>
              <w:bottom w:val="nil"/>
              <w:right w:val="nil"/>
            </w:tcBorders>
          </w:tcPr>
          <w:p w14:paraId="269EF4F8" w14:textId="77777777" w:rsidR="00DF3C38" w:rsidRDefault="00DF3C38" w:rsidP="008424FD">
            <w:pPr>
              <w:pStyle w:val="BodyText"/>
              <w:tabs>
                <w:tab w:val="left" w:pos="-540"/>
                <w:tab w:val="left" w:pos="4860"/>
                <w:tab w:val="left" w:pos="6660"/>
                <w:tab w:val="left" w:pos="7740"/>
                <w:tab w:val="right" w:pos="8820"/>
              </w:tabs>
              <w:ind w:right="-516" w:hanging="128"/>
              <w:rPr>
                <w:rFonts w:ascii="Arial" w:hAnsi="Arial" w:cs="Arial"/>
                <w:bCs/>
                <w:iCs/>
                <w:sz w:val="16"/>
              </w:rPr>
            </w:pPr>
          </w:p>
        </w:tc>
      </w:tr>
      <w:tr w:rsidR="00B1573E" w14:paraId="4AF479AA" w14:textId="77777777" w:rsidTr="008424FD">
        <w:trPr>
          <w:cantSplit/>
          <w:trHeight w:val="468"/>
        </w:trPr>
        <w:tc>
          <w:tcPr>
            <w:tcW w:w="2474" w:type="dxa"/>
            <w:tcBorders>
              <w:top w:val="nil"/>
              <w:left w:val="nil"/>
              <w:bottom w:val="nil"/>
              <w:right w:val="single" w:sz="4" w:space="0" w:color="auto"/>
            </w:tcBorders>
            <w:vAlign w:val="center"/>
          </w:tcPr>
          <w:p w14:paraId="1F0D6C89"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Consultant</w:t>
            </w:r>
          </w:p>
        </w:tc>
        <w:tc>
          <w:tcPr>
            <w:tcW w:w="2876" w:type="dxa"/>
            <w:gridSpan w:val="4"/>
            <w:tcBorders>
              <w:top w:val="single" w:sz="4" w:space="0" w:color="auto"/>
              <w:left w:val="single" w:sz="4" w:space="0" w:color="auto"/>
              <w:bottom w:val="single" w:sz="4" w:space="0" w:color="auto"/>
              <w:right w:val="nil"/>
            </w:tcBorders>
            <w:vAlign w:val="center"/>
          </w:tcPr>
          <w:p w14:paraId="610994C4"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2" w:type="dxa"/>
            <w:tcBorders>
              <w:top w:val="nil"/>
              <w:left w:val="single" w:sz="4" w:space="0" w:color="auto"/>
              <w:bottom w:val="nil"/>
              <w:right w:val="nil"/>
            </w:tcBorders>
            <w:vAlign w:val="center"/>
          </w:tcPr>
          <w:p w14:paraId="479D0A9B"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  </w:t>
            </w:r>
          </w:p>
        </w:tc>
        <w:tc>
          <w:tcPr>
            <w:tcW w:w="842" w:type="dxa"/>
            <w:tcBorders>
              <w:top w:val="nil"/>
              <w:left w:val="nil"/>
              <w:bottom w:val="nil"/>
              <w:right w:val="nil"/>
            </w:tcBorders>
            <w:vAlign w:val="center"/>
          </w:tcPr>
          <w:p w14:paraId="6EACA942" w14:textId="77777777" w:rsidR="00DF3C38" w:rsidRDefault="00DF3C38" w:rsidP="008424FD">
            <w:pPr>
              <w:pStyle w:val="BodyText"/>
              <w:tabs>
                <w:tab w:val="left" w:pos="-540"/>
                <w:tab w:val="left" w:pos="4860"/>
                <w:tab w:val="left" w:pos="6660"/>
                <w:tab w:val="left" w:pos="7740"/>
                <w:tab w:val="right" w:pos="8820"/>
              </w:tabs>
              <w:spacing w:before="120"/>
              <w:ind w:right="-516" w:hanging="128"/>
              <w:rPr>
                <w:rFonts w:ascii="Arial" w:hAnsi="Arial" w:cs="Arial"/>
                <w:bCs/>
                <w:iCs/>
              </w:rPr>
            </w:pPr>
            <w:r>
              <w:rPr>
                <w:rFonts w:ascii="Arial" w:hAnsi="Arial" w:cs="Arial"/>
                <w:bCs/>
                <w:iCs/>
              </w:rPr>
              <w:t xml:space="preserve">  Email</w:t>
            </w:r>
          </w:p>
        </w:tc>
        <w:tc>
          <w:tcPr>
            <w:tcW w:w="3929" w:type="dxa"/>
            <w:gridSpan w:val="3"/>
            <w:tcBorders>
              <w:top w:val="single" w:sz="4" w:space="0" w:color="auto"/>
              <w:left w:val="single" w:sz="4" w:space="0" w:color="auto"/>
              <w:bottom w:val="single" w:sz="4" w:space="0" w:color="auto"/>
              <w:right w:val="single" w:sz="4" w:space="0" w:color="auto"/>
            </w:tcBorders>
            <w:vAlign w:val="center"/>
          </w:tcPr>
          <w:p w14:paraId="70E637B8"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r>
      <w:tr w:rsidR="00DF3C38" w14:paraId="48DD4DE8" w14:textId="77777777" w:rsidTr="008424FD">
        <w:trPr>
          <w:cantSplit/>
          <w:trHeight w:val="287"/>
        </w:trPr>
        <w:tc>
          <w:tcPr>
            <w:tcW w:w="10363" w:type="dxa"/>
            <w:gridSpan w:val="10"/>
            <w:tcBorders>
              <w:top w:val="nil"/>
              <w:left w:val="nil"/>
              <w:bottom w:val="nil"/>
              <w:right w:val="nil"/>
            </w:tcBorders>
          </w:tcPr>
          <w:p w14:paraId="1FEC5749"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r>
      <w:tr w:rsidR="00DF3C38" w14:paraId="0C3606EF" w14:textId="77777777" w:rsidTr="008424FD">
        <w:trPr>
          <w:cantSplit/>
          <w:trHeight w:val="403"/>
        </w:trPr>
        <w:tc>
          <w:tcPr>
            <w:tcW w:w="2474" w:type="dxa"/>
            <w:tcBorders>
              <w:top w:val="nil"/>
              <w:left w:val="nil"/>
              <w:bottom w:val="nil"/>
              <w:right w:val="single" w:sz="4" w:space="0" w:color="auto"/>
            </w:tcBorders>
            <w:vAlign w:val="center"/>
          </w:tcPr>
          <w:p w14:paraId="6D029492" w14:textId="77777777" w:rsidR="00DF3C38" w:rsidRPr="007B487A"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Indication for prescription</w:t>
            </w:r>
          </w:p>
        </w:tc>
        <w:tc>
          <w:tcPr>
            <w:tcW w:w="7889" w:type="dxa"/>
            <w:gridSpan w:val="9"/>
            <w:tcBorders>
              <w:top w:val="single" w:sz="4" w:space="0" w:color="auto"/>
              <w:left w:val="nil"/>
              <w:bottom w:val="single" w:sz="4" w:space="0" w:color="auto"/>
              <w:right w:val="single" w:sz="4" w:space="0" w:color="auto"/>
            </w:tcBorders>
            <w:vAlign w:val="center"/>
          </w:tcPr>
          <w:p w14:paraId="170A9655"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24428D76" w14:textId="77777777" w:rsidTr="008424FD">
        <w:trPr>
          <w:cantSplit/>
          <w:trHeight w:val="300"/>
        </w:trPr>
        <w:tc>
          <w:tcPr>
            <w:tcW w:w="10363" w:type="dxa"/>
            <w:gridSpan w:val="10"/>
            <w:tcBorders>
              <w:top w:val="nil"/>
              <w:left w:val="nil"/>
              <w:bottom w:val="nil"/>
              <w:right w:val="nil"/>
            </w:tcBorders>
          </w:tcPr>
          <w:p w14:paraId="0FB4C051"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14:paraId="26342C91" w14:textId="77777777" w:rsidTr="008424FD">
        <w:trPr>
          <w:cantSplit/>
          <w:trHeight w:val="403"/>
        </w:trPr>
        <w:tc>
          <w:tcPr>
            <w:tcW w:w="2474" w:type="dxa"/>
            <w:tcBorders>
              <w:top w:val="nil"/>
              <w:left w:val="nil"/>
              <w:bottom w:val="nil"/>
              <w:right w:val="single" w:sz="4" w:space="0" w:color="auto"/>
            </w:tcBorders>
            <w:vAlign w:val="center"/>
          </w:tcPr>
          <w:p w14:paraId="2839BDE3" w14:textId="77777777" w:rsidR="00DF3C38" w:rsidRPr="007B487A"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Drug prescribed</w:t>
            </w:r>
          </w:p>
        </w:tc>
        <w:tc>
          <w:tcPr>
            <w:tcW w:w="7889" w:type="dxa"/>
            <w:gridSpan w:val="9"/>
            <w:tcBorders>
              <w:top w:val="single" w:sz="4" w:space="0" w:color="auto"/>
              <w:left w:val="nil"/>
              <w:bottom w:val="single" w:sz="4" w:space="0" w:color="auto"/>
              <w:right w:val="single" w:sz="4" w:space="0" w:color="auto"/>
            </w:tcBorders>
            <w:vAlign w:val="center"/>
          </w:tcPr>
          <w:p w14:paraId="4A367505"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6B805EA5" w14:textId="77777777" w:rsidTr="008424FD">
        <w:trPr>
          <w:cantSplit/>
          <w:trHeight w:val="300"/>
        </w:trPr>
        <w:tc>
          <w:tcPr>
            <w:tcW w:w="10363" w:type="dxa"/>
            <w:gridSpan w:val="10"/>
            <w:tcBorders>
              <w:top w:val="nil"/>
              <w:left w:val="nil"/>
              <w:bottom w:val="nil"/>
              <w:right w:val="nil"/>
            </w:tcBorders>
          </w:tcPr>
          <w:p w14:paraId="3A9E71CB"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B1573E" w14:paraId="4D10A921" w14:textId="77777777" w:rsidTr="008424FD">
        <w:trPr>
          <w:cantSplit/>
          <w:trHeight w:val="462"/>
        </w:trPr>
        <w:tc>
          <w:tcPr>
            <w:tcW w:w="4074" w:type="dxa"/>
            <w:gridSpan w:val="2"/>
            <w:tcBorders>
              <w:top w:val="nil"/>
              <w:left w:val="nil"/>
              <w:bottom w:val="nil"/>
              <w:right w:val="single" w:sz="4" w:space="0" w:color="auto"/>
            </w:tcBorders>
          </w:tcPr>
          <w:p w14:paraId="36BBE158" w14:textId="77777777" w:rsidR="00DF3C38" w:rsidRDefault="00DF3C38" w:rsidP="00D831A5">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Date                                     Drug started</w:t>
            </w:r>
          </w:p>
        </w:tc>
        <w:tc>
          <w:tcPr>
            <w:tcW w:w="1019" w:type="dxa"/>
            <w:gridSpan w:val="2"/>
            <w:tcBorders>
              <w:top w:val="single" w:sz="4" w:space="0" w:color="auto"/>
              <w:left w:val="nil"/>
              <w:bottom w:val="single" w:sz="4" w:space="0" w:color="auto"/>
              <w:right w:val="single" w:sz="4" w:space="0" w:color="auto"/>
            </w:tcBorders>
          </w:tcPr>
          <w:p w14:paraId="60C0BB1E"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75" w:type="dxa"/>
            <w:gridSpan w:val="4"/>
            <w:tcBorders>
              <w:top w:val="nil"/>
              <w:left w:val="nil"/>
              <w:bottom w:val="nil"/>
              <w:right w:val="single" w:sz="4" w:space="0" w:color="auto"/>
            </w:tcBorders>
          </w:tcPr>
          <w:p w14:paraId="5CD7590B" w14:textId="77777777" w:rsidR="00DF3C38" w:rsidRDefault="00DF3C38" w:rsidP="00D831A5">
            <w:pPr>
              <w:pStyle w:val="BodyText"/>
              <w:tabs>
                <w:tab w:val="left" w:pos="-540"/>
                <w:tab w:val="left" w:pos="4860"/>
                <w:tab w:val="left" w:pos="6660"/>
                <w:tab w:val="left" w:pos="7740"/>
                <w:tab w:val="right" w:pos="8820"/>
              </w:tabs>
              <w:spacing w:before="120"/>
              <w:ind w:right="-516"/>
              <w:rPr>
                <w:rFonts w:ascii="Arial" w:hAnsi="Arial" w:cs="Arial"/>
                <w:bCs/>
                <w:iCs/>
              </w:rPr>
            </w:pPr>
            <w:r>
              <w:rPr>
                <w:rFonts w:ascii="Arial" w:hAnsi="Arial" w:cs="Arial"/>
                <w:bCs/>
                <w:iCs/>
              </w:rPr>
              <w:t xml:space="preserve">              Current dose</w:t>
            </w:r>
          </w:p>
        </w:tc>
        <w:tc>
          <w:tcPr>
            <w:tcW w:w="875" w:type="dxa"/>
            <w:tcBorders>
              <w:top w:val="single" w:sz="4" w:space="0" w:color="auto"/>
              <w:left w:val="single" w:sz="4" w:space="0" w:color="auto"/>
              <w:bottom w:val="single" w:sz="4" w:space="0" w:color="auto"/>
              <w:right w:val="single" w:sz="4" w:space="0" w:color="auto"/>
            </w:tcBorders>
          </w:tcPr>
          <w:p w14:paraId="4C7FF175"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1920" w:type="dxa"/>
            <w:tcBorders>
              <w:top w:val="nil"/>
              <w:left w:val="single" w:sz="4" w:space="0" w:color="auto"/>
              <w:bottom w:val="nil"/>
              <w:right w:val="nil"/>
            </w:tcBorders>
          </w:tcPr>
          <w:p w14:paraId="635EF602"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7D148A5D" w14:textId="77777777" w:rsidTr="008424FD">
        <w:trPr>
          <w:cantSplit/>
          <w:trHeight w:val="300"/>
        </w:trPr>
        <w:tc>
          <w:tcPr>
            <w:tcW w:w="10363" w:type="dxa"/>
            <w:gridSpan w:val="10"/>
            <w:tcBorders>
              <w:top w:val="nil"/>
              <w:left w:val="nil"/>
              <w:bottom w:val="nil"/>
              <w:right w:val="nil"/>
            </w:tcBorders>
          </w:tcPr>
          <w:p w14:paraId="1335413D"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r>
      <w:tr w:rsidR="00DF3C38" w14:paraId="457EB596" w14:textId="77777777" w:rsidTr="008424FD">
        <w:trPr>
          <w:cantSplit/>
          <w:trHeight w:val="468"/>
        </w:trPr>
        <w:tc>
          <w:tcPr>
            <w:tcW w:w="2474" w:type="dxa"/>
            <w:tcBorders>
              <w:top w:val="nil"/>
              <w:left w:val="nil"/>
              <w:bottom w:val="nil"/>
              <w:right w:val="single" w:sz="4" w:space="0" w:color="auto"/>
            </w:tcBorders>
          </w:tcPr>
          <w:p w14:paraId="180CFD63"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Relevant conditions </w:t>
            </w:r>
          </w:p>
        </w:tc>
        <w:tc>
          <w:tcPr>
            <w:tcW w:w="7889" w:type="dxa"/>
            <w:gridSpan w:val="9"/>
            <w:tcBorders>
              <w:top w:val="single" w:sz="4" w:space="0" w:color="auto"/>
              <w:left w:val="single" w:sz="4" w:space="0" w:color="auto"/>
              <w:bottom w:val="single" w:sz="4" w:space="0" w:color="auto"/>
              <w:right w:val="single" w:sz="4" w:space="0" w:color="auto"/>
            </w:tcBorders>
          </w:tcPr>
          <w:p w14:paraId="45616C26"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5C956EC6" w14:textId="77777777" w:rsidTr="008424FD">
        <w:trPr>
          <w:cantSplit/>
          <w:trHeight w:val="300"/>
        </w:trPr>
        <w:tc>
          <w:tcPr>
            <w:tcW w:w="10363" w:type="dxa"/>
            <w:gridSpan w:val="10"/>
            <w:tcBorders>
              <w:top w:val="nil"/>
              <w:left w:val="nil"/>
              <w:bottom w:val="nil"/>
              <w:right w:val="nil"/>
            </w:tcBorders>
          </w:tcPr>
          <w:p w14:paraId="290915C8"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14:paraId="3D38F875" w14:textId="77777777" w:rsidTr="008424FD">
        <w:trPr>
          <w:cantSplit/>
          <w:trHeight w:val="468"/>
        </w:trPr>
        <w:tc>
          <w:tcPr>
            <w:tcW w:w="2474" w:type="dxa"/>
            <w:tcBorders>
              <w:top w:val="nil"/>
              <w:left w:val="nil"/>
              <w:bottom w:val="nil"/>
              <w:right w:val="single" w:sz="4" w:space="0" w:color="auto"/>
            </w:tcBorders>
          </w:tcPr>
          <w:p w14:paraId="6BC788F4"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Monitoring variations</w:t>
            </w:r>
          </w:p>
        </w:tc>
        <w:tc>
          <w:tcPr>
            <w:tcW w:w="7889" w:type="dxa"/>
            <w:gridSpan w:val="9"/>
            <w:tcBorders>
              <w:top w:val="single" w:sz="4" w:space="0" w:color="auto"/>
              <w:left w:val="single" w:sz="4" w:space="0" w:color="auto"/>
              <w:bottom w:val="single" w:sz="4" w:space="0" w:color="auto"/>
              <w:right w:val="single" w:sz="4" w:space="0" w:color="auto"/>
            </w:tcBorders>
          </w:tcPr>
          <w:p w14:paraId="60DDEF7A"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1F3D8242" w14:textId="77777777" w:rsidTr="008424FD">
        <w:trPr>
          <w:cantSplit/>
          <w:trHeight w:val="300"/>
        </w:trPr>
        <w:tc>
          <w:tcPr>
            <w:tcW w:w="10363" w:type="dxa"/>
            <w:gridSpan w:val="10"/>
            <w:tcBorders>
              <w:top w:val="nil"/>
              <w:left w:val="nil"/>
              <w:bottom w:val="nil"/>
              <w:right w:val="nil"/>
            </w:tcBorders>
          </w:tcPr>
          <w:p w14:paraId="4DA071E0" w14:textId="77777777" w:rsidR="00DF3C38" w:rsidRDefault="00DF3C38" w:rsidP="008424FD">
            <w:pPr>
              <w:pStyle w:val="BodyText"/>
              <w:tabs>
                <w:tab w:val="left" w:pos="-540"/>
                <w:tab w:val="left" w:pos="5112"/>
                <w:tab w:val="left" w:pos="6660"/>
                <w:tab w:val="left" w:pos="7740"/>
                <w:tab w:val="right" w:pos="8820"/>
              </w:tabs>
              <w:ind w:right="-516" w:hanging="108"/>
              <w:rPr>
                <w:rFonts w:ascii="Arial" w:hAnsi="Arial" w:cs="Arial"/>
                <w:bCs/>
                <w:iCs/>
                <w:sz w:val="16"/>
              </w:rPr>
            </w:pPr>
          </w:p>
        </w:tc>
      </w:tr>
      <w:tr w:rsidR="00B1573E" w14:paraId="5FF00A50" w14:textId="77777777" w:rsidTr="008424FD">
        <w:trPr>
          <w:cantSplit/>
          <w:trHeight w:val="468"/>
        </w:trPr>
        <w:tc>
          <w:tcPr>
            <w:tcW w:w="2474" w:type="dxa"/>
            <w:tcBorders>
              <w:top w:val="nil"/>
              <w:left w:val="nil"/>
              <w:bottom w:val="nil"/>
              <w:right w:val="single" w:sz="4" w:space="0" w:color="auto"/>
            </w:tcBorders>
          </w:tcPr>
          <w:p w14:paraId="15BAD653" w14:textId="77777777" w:rsidR="00DF3C38" w:rsidRDefault="00DF3C38" w:rsidP="008424FD">
            <w:pPr>
              <w:pStyle w:val="BodyText"/>
              <w:tabs>
                <w:tab w:val="left" w:pos="-540"/>
                <w:tab w:val="left" w:pos="5112"/>
                <w:tab w:val="left" w:pos="6660"/>
                <w:tab w:val="left" w:pos="7740"/>
                <w:tab w:val="right" w:pos="8820"/>
              </w:tabs>
              <w:spacing w:before="120"/>
              <w:ind w:right="-516" w:hanging="108"/>
              <w:rPr>
                <w:rFonts w:ascii="Arial" w:hAnsi="Arial" w:cs="Arial"/>
                <w:bCs/>
                <w:iCs/>
              </w:rPr>
            </w:pPr>
            <w:r>
              <w:rPr>
                <w:rFonts w:ascii="Arial" w:hAnsi="Arial" w:cs="Arial"/>
                <w:bCs/>
                <w:iCs/>
              </w:rPr>
              <w:t xml:space="preserve">Date next blood test </w:t>
            </w:r>
          </w:p>
        </w:tc>
        <w:tc>
          <w:tcPr>
            <w:tcW w:w="1980" w:type="dxa"/>
            <w:gridSpan w:val="2"/>
            <w:tcBorders>
              <w:top w:val="single" w:sz="4" w:space="0" w:color="auto"/>
              <w:left w:val="single" w:sz="4" w:space="0" w:color="auto"/>
              <w:bottom w:val="single" w:sz="4" w:space="0" w:color="auto"/>
              <w:right w:val="nil"/>
            </w:tcBorders>
          </w:tcPr>
          <w:p w14:paraId="3BBCF868" w14:textId="77777777" w:rsidR="00DF3C38" w:rsidRDefault="00DF3C38" w:rsidP="008424FD">
            <w:pPr>
              <w:pStyle w:val="BodyText"/>
              <w:tabs>
                <w:tab w:val="left" w:pos="-540"/>
                <w:tab w:val="left" w:pos="5112"/>
                <w:tab w:val="left" w:pos="6660"/>
                <w:tab w:val="left" w:pos="7740"/>
                <w:tab w:val="right" w:pos="8820"/>
              </w:tabs>
              <w:spacing w:before="120"/>
              <w:ind w:right="-516"/>
              <w:rPr>
                <w:rFonts w:ascii="Arial" w:hAnsi="Arial" w:cs="Arial"/>
                <w:bCs/>
                <w:iCs/>
              </w:rPr>
            </w:pPr>
          </w:p>
        </w:tc>
        <w:tc>
          <w:tcPr>
            <w:tcW w:w="3114" w:type="dxa"/>
            <w:gridSpan w:val="5"/>
            <w:tcBorders>
              <w:top w:val="nil"/>
              <w:left w:val="single" w:sz="4" w:space="0" w:color="auto"/>
              <w:bottom w:val="nil"/>
              <w:right w:val="single" w:sz="4" w:space="0" w:color="auto"/>
            </w:tcBorders>
          </w:tcPr>
          <w:p w14:paraId="5B9287D8" w14:textId="77777777" w:rsidR="00DF3C38" w:rsidRDefault="00DF3C38" w:rsidP="008424FD">
            <w:pPr>
              <w:pStyle w:val="BodyText"/>
              <w:tabs>
                <w:tab w:val="left" w:pos="-540"/>
                <w:tab w:val="left" w:pos="5112"/>
                <w:tab w:val="left" w:pos="6660"/>
                <w:tab w:val="left" w:pos="7740"/>
                <w:tab w:val="right" w:pos="8820"/>
              </w:tabs>
              <w:spacing w:before="120"/>
              <w:ind w:right="-516" w:hanging="149"/>
              <w:rPr>
                <w:rFonts w:ascii="Arial" w:hAnsi="Arial" w:cs="Arial"/>
                <w:bCs/>
                <w:iCs/>
              </w:rPr>
            </w:pPr>
            <w:r>
              <w:rPr>
                <w:rFonts w:ascii="Arial" w:hAnsi="Arial" w:cs="Arial"/>
                <w:bCs/>
                <w:iCs/>
              </w:rPr>
              <w:t xml:space="preserve">      Next disease review due in </w:t>
            </w:r>
          </w:p>
        </w:tc>
        <w:tc>
          <w:tcPr>
            <w:tcW w:w="875" w:type="dxa"/>
            <w:tcBorders>
              <w:top w:val="single" w:sz="4" w:space="0" w:color="auto"/>
              <w:left w:val="single" w:sz="4" w:space="0" w:color="auto"/>
              <w:bottom w:val="single" w:sz="4" w:space="0" w:color="auto"/>
              <w:right w:val="single" w:sz="4" w:space="0" w:color="auto"/>
            </w:tcBorders>
          </w:tcPr>
          <w:p w14:paraId="1F72500C" w14:textId="77777777" w:rsidR="00DF3C38" w:rsidRDefault="00DF3C38" w:rsidP="008424FD">
            <w:pPr>
              <w:pStyle w:val="BodyText"/>
              <w:tabs>
                <w:tab w:val="left" w:pos="-540"/>
                <w:tab w:val="left" w:pos="5112"/>
                <w:tab w:val="left" w:pos="6660"/>
                <w:tab w:val="left" w:pos="7740"/>
                <w:tab w:val="right" w:pos="8820"/>
              </w:tabs>
              <w:spacing w:before="120"/>
              <w:ind w:right="-516"/>
              <w:rPr>
                <w:rFonts w:ascii="Arial" w:hAnsi="Arial" w:cs="Arial"/>
                <w:bCs/>
                <w:iCs/>
              </w:rPr>
            </w:pPr>
          </w:p>
        </w:tc>
        <w:tc>
          <w:tcPr>
            <w:tcW w:w="1920" w:type="dxa"/>
            <w:tcBorders>
              <w:top w:val="nil"/>
              <w:left w:val="single" w:sz="4" w:space="0" w:color="auto"/>
              <w:bottom w:val="nil"/>
              <w:right w:val="nil"/>
            </w:tcBorders>
          </w:tcPr>
          <w:p w14:paraId="7F75A962" w14:textId="77777777" w:rsidR="00DF3C38" w:rsidRDefault="00DF3C38" w:rsidP="008424FD">
            <w:pPr>
              <w:pStyle w:val="BodyText"/>
              <w:tabs>
                <w:tab w:val="left" w:pos="-540"/>
                <w:tab w:val="left" w:pos="5112"/>
                <w:tab w:val="left" w:pos="6660"/>
                <w:tab w:val="left" w:pos="7740"/>
                <w:tab w:val="right" w:pos="8820"/>
              </w:tabs>
              <w:spacing w:before="120"/>
              <w:ind w:right="-516"/>
              <w:rPr>
                <w:rFonts w:ascii="Arial" w:hAnsi="Arial" w:cs="Arial"/>
                <w:bCs/>
                <w:iCs/>
              </w:rPr>
            </w:pPr>
            <w:r>
              <w:rPr>
                <w:rFonts w:ascii="Arial" w:hAnsi="Arial" w:cs="Arial"/>
                <w:bCs/>
                <w:iCs/>
              </w:rPr>
              <w:t>months’ time.</w:t>
            </w:r>
          </w:p>
        </w:tc>
      </w:tr>
      <w:tr w:rsidR="00DF3C38" w14:paraId="25E3EFCC" w14:textId="77777777" w:rsidTr="008424FD">
        <w:trPr>
          <w:cantSplit/>
          <w:trHeight w:val="300"/>
        </w:trPr>
        <w:tc>
          <w:tcPr>
            <w:tcW w:w="10363" w:type="dxa"/>
            <w:gridSpan w:val="10"/>
            <w:tcBorders>
              <w:top w:val="nil"/>
              <w:left w:val="nil"/>
              <w:bottom w:val="nil"/>
              <w:right w:val="nil"/>
            </w:tcBorders>
          </w:tcPr>
          <w:p w14:paraId="16C886B1" w14:textId="77777777" w:rsidR="00DF3C38" w:rsidRDefault="00DF3C38" w:rsidP="008424FD">
            <w:pPr>
              <w:pStyle w:val="BodyText"/>
              <w:tabs>
                <w:tab w:val="left" w:pos="-540"/>
                <w:tab w:val="left" w:pos="5112"/>
                <w:tab w:val="left" w:pos="6660"/>
                <w:tab w:val="left" w:pos="7740"/>
                <w:tab w:val="right" w:pos="8820"/>
              </w:tabs>
              <w:ind w:right="-516"/>
              <w:rPr>
                <w:rFonts w:ascii="Arial" w:hAnsi="Arial" w:cs="Arial"/>
                <w:bCs/>
                <w:iCs/>
                <w:sz w:val="16"/>
              </w:rPr>
            </w:pPr>
          </w:p>
        </w:tc>
      </w:tr>
    </w:tbl>
    <w:p w14:paraId="34732121" w14:textId="77777777" w:rsidR="00DF3C38" w:rsidRDefault="00DF3C38" w:rsidP="00801EDB">
      <w:pPr>
        <w:spacing w:after="200" w:line="276" w:lineRule="auto"/>
        <w:rPr>
          <w:rFonts w:eastAsiaTheme="minorHAnsi" w:cs="Calibri"/>
          <w:sz w:val="22"/>
          <w:szCs w:val="22"/>
        </w:rPr>
      </w:pPr>
    </w:p>
    <w:p w14:paraId="3FCAB56C" w14:textId="77777777" w:rsidR="00DF3C38" w:rsidRDefault="00DF3C38">
      <w:pPr>
        <w:spacing w:after="200" w:line="276" w:lineRule="auto"/>
        <w:rPr>
          <w:rFonts w:eastAsiaTheme="minorHAnsi" w:cs="Calibri"/>
          <w:sz w:val="22"/>
          <w:szCs w:val="22"/>
        </w:rPr>
      </w:pPr>
      <w:r>
        <w:rPr>
          <w:rFonts w:eastAsiaTheme="minorHAnsi" w:cs="Calibri"/>
          <w:sz w:val="22"/>
          <w:szCs w:val="22"/>
        </w:rPr>
        <w:br w:type="page"/>
      </w:r>
    </w:p>
    <w:tbl>
      <w:tblPr>
        <w:tblW w:w="103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1422"/>
        <w:gridCol w:w="2546"/>
        <w:gridCol w:w="242"/>
        <w:gridCol w:w="4373"/>
      </w:tblGrid>
      <w:tr w:rsidR="00DF3C38" w14:paraId="228FA33A" w14:textId="77777777" w:rsidTr="008424FD">
        <w:trPr>
          <w:cantSplit/>
          <w:trHeight w:val="789"/>
        </w:trPr>
        <w:tc>
          <w:tcPr>
            <w:tcW w:w="10363" w:type="dxa"/>
            <w:gridSpan w:val="5"/>
            <w:tcBorders>
              <w:top w:val="nil"/>
              <w:left w:val="nil"/>
              <w:bottom w:val="nil"/>
              <w:right w:val="nil"/>
            </w:tcBorders>
          </w:tcPr>
          <w:p w14:paraId="5E9EC02E" w14:textId="77777777" w:rsidR="00DF3C38" w:rsidRDefault="00DF3C38" w:rsidP="008424FD">
            <w:pPr>
              <w:pStyle w:val="BodyText"/>
              <w:tabs>
                <w:tab w:val="left" w:pos="-540"/>
                <w:tab w:val="left" w:pos="4860"/>
                <w:tab w:val="left" w:pos="6660"/>
                <w:tab w:val="left" w:pos="7740"/>
                <w:tab w:val="right" w:pos="8820"/>
              </w:tabs>
              <w:spacing w:before="240"/>
              <w:ind w:left="-108" w:right="-516"/>
              <w:rPr>
                <w:rFonts w:ascii="Arial" w:hAnsi="Arial" w:cs="Arial"/>
                <w:bCs/>
                <w:iCs/>
              </w:rPr>
            </w:pPr>
            <w:r>
              <w:rPr>
                <w:rFonts w:ascii="Arial" w:hAnsi="Arial" w:cs="Arial"/>
                <w:b/>
                <w:iCs/>
              </w:rPr>
              <w:lastRenderedPageBreak/>
              <w:t xml:space="preserve">Section B: [Accept Shared Care] to be completed by practice </w:t>
            </w:r>
            <w:r>
              <w:rPr>
                <w:rFonts w:ascii="Arial" w:hAnsi="Arial" w:cs="Arial"/>
                <w:bCs/>
                <w:i/>
              </w:rPr>
              <w:t xml:space="preserve">Send back </w:t>
            </w:r>
            <w:r>
              <w:rPr>
                <w:rFonts w:ascii="Arial" w:hAnsi="Arial" w:cs="Arial"/>
                <w:b/>
                <w:i/>
              </w:rPr>
              <w:t>FAO referring consultant</w:t>
            </w:r>
            <w:r>
              <w:rPr>
                <w:rFonts w:ascii="Arial" w:hAnsi="Arial" w:cs="Arial"/>
                <w:bCs/>
                <w:i/>
              </w:rPr>
              <w:t xml:space="preserve"> </w:t>
            </w:r>
            <w:proofErr w:type="gramStart"/>
            <w:r>
              <w:rPr>
                <w:rFonts w:ascii="Arial" w:hAnsi="Arial" w:cs="Arial"/>
                <w:bCs/>
                <w:i/>
              </w:rPr>
              <w:t>above</w:t>
            </w:r>
            <w:proofErr w:type="gramEnd"/>
          </w:p>
          <w:p w14:paraId="0B3F9DA6" w14:textId="77777777" w:rsidR="00DF3C38" w:rsidRDefault="00DF3C38" w:rsidP="008424FD">
            <w:pPr>
              <w:pStyle w:val="BodyText"/>
              <w:tabs>
                <w:tab w:val="left" w:pos="-540"/>
                <w:tab w:val="left" w:pos="4860"/>
                <w:tab w:val="left" w:pos="6660"/>
                <w:tab w:val="left" w:pos="7740"/>
                <w:tab w:val="right" w:pos="8820"/>
              </w:tabs>
              <w:spacing w:before="120" w:after="240"/>
              <w:ind w:right="-516" w:hanging="108"/>
              <w:rPr>
                <w:rFonts w:ascii="Arial" w:hAnsi="Arial" w:cs="Arial"/>
                <w:b/>
                <w:iCs/>
              </w:rPr>
            </w:pPr>
            <w:r>
              <w:rPr>
                <w:rFonts w:ascii="Arial" w:hAnsi="Arial" w:cs="Arial"/>
                <w:bCs/>
                <w:iCs/>
              </w:rPr>
              <w:t>The above patient has been accepted into our monitoring service.</w:t>
            </w:r>
          </w:p>
        </w:tc>
      </w:tr>
      <w:tr w:rsidR="00DF3C38" w14:paraId="6C06BDE0" w14:textId="77777777" w:rsidTr="008424FD">
        <w:trPr>
          <w:cantSplit/>
          <w:trHeight w:val="468"/>
        </w:trPr>
        <w:tc>
          <w:tcPr>
            <w:tcW w:w="3202" w:type="dxa"/>
            <w:gridSpan w:val="2"/>
            <w:tcBorders>
              <w:top w:val="nil"/>
              <w:left w:val="nil"/>
              <w:bottom w:val="nil"/>
              <w:right w:val="single" w:sz="4" w:space="0" w:color="auto"/>
            </w:tcBorders>
          </w:tcPr>
          <w:p w14:paraId="7B75AB34"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Practice date for next blood test</w:t>
            </w:r>
          </w:p>
        </w:tc>
        <w:tc>
          <w:tcPr>
            <w:tcW w:w="2546" w:type="dxa"/>
            <w:tcBorders>
              <w:top w:val="single" w:sz="4" w:space="0" w:color="auto"/>
              <w:left w:val="single" w:sz="4" w:space="0" w:color="auto"/>
              <w:bottom w:val="single" w:sz="4" w:space="0" w:color="auto"/>
              <w:right w:val="single" w:sz="4" w:space="0" w:color="auto"/>
            </w:tcBorders>
          </w:tcPr>
          <w:p w14:paraId="6C35E080"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2" w:type="dxa"/>
            <w:tcBorders>
              <w:top w:val="nil"/>
              <w:left w:val="single" w:sz="4" w:space="0" w:color="auto"/>
              <w:bottom w:val="nil"/>
              <w:right w:val="nil"/>
            </w:tcBorders>
          </w:tcPr>
          <w:p w14:paraId="69F27D04"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73" w:type="dxa"/>
            <w:vMerge w:val="restart"/>
            <w:tcBorders>
              <w:top w:val="single" w:sz="4" w:space="0" w:color="auto"/>
              <w:left w:val="single" w:sz="4" w:space="0" w:color="auto"/>
              <w:bottom w:val="single" w:sz="4" w:space="0" w:color="auto"/>
              <w:right w:val="single" w:sz="4" w:space="0" w:color="auto"/>
            </w:tcBorders>
          </w:tcPr>
          <w:p w14:paraId="16B2FFA9" w14:textId="77777777" w:rsidR="00DF3C38" w:rsidRDefault="00DF3C38" w:rsidP="007B67B8">
            <w:pPr>
              <w:pStyle w:val="BodyText"/>
              <w:tabs>
                <w:tab w:val="left" w:pos="-540"/>
                <w:tab w:val="left" w:pos="4860"/>
                <w:tab w:val="left" w:pos="6660"/>
                <w:tab w:val="left" w:pos="7740"/>
                <w:tab w:val="right" w:pos="8820"/>
              </w:tabs>
              <w:spacing w:before="120"/>
              <w:ind w:right="-516"/>
              <w:rPr>
                <w:rFonts w:ascii="Arial" w:hAnsi="Arial" w:cs="Arial"/>
                <w:bCs/>
                <w:iCs/>
              </w:rPr>
            </w:pPr>
            <w:r>
              <w:rPr>
                <w:rFonts w:ascii="Arial" w:hAnsi="Arial" w:cs="Arial"/>
                <w:bCs/>
                <w:iCs/>
              </w:rPr>
              <w:t xml:space="preserve">Practice stamp </w:t>
            </w:r>
          </w:p>
        </w:tc>
      </w:tr>
      <w:tr w:rsidR="00DF3C38" w14:paraId="6B84C02B" w14:textId="77777777" w:rsidTr="008424FD">
        <w:trPr>
          <w:cantSplit/>
          <w:trHeight w:val="300"/>
        </w:trPr>
        <w:tc>
          <w:tcPr>
            <w:tcW w:w="5748" w:type="dxa"/>
            <w:gridSpan w:val="3"/>
            <w:tcBorders>
              <w:top w:val="nil"/>
              <w:left w:val="nil"/>
              <w:bottom w:val="nil"/>
              <w:right w:val="nil"/>
            </w:tcBorders>
          </w:tcPr>
          <w:p w14:paraId="59AF1F27"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242" w:type="dxa"/>
            <w:tcBorders>
              <w:top w:val="nil"/>
              <w:left w:val="nil"/>
              <w:bottom w:val="nil"/>
              <w:right w:val="nil"/>
            </w:tcBorders>
          </w:tcPr>
          <w:p w14:paraId="2E4B00D9"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73" w:type="dxa"/>
            <w:vMerge/>
            <w:tcBorders>
              <w:left w:val="single" w:sz="4" w:space="0" w:color="auto"/>
              <w:bottom w:val="single" w:sz="4" w:space="0" w:color="auto"/>
              <w:right w:val="single" w:sz="4" w:space="0" w:color="auto"/>
            </w:tcBorders>
          </w:tcPr>
          <w:p w14:paraId="0E6C4AF8"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14:paraId="28C1C121" w14:textId="77777777" w:rsidTr="008424FD">
        <w:trPr>
          <w:cantSplit/>
          <w:trHeight w:val="468"/>
        </w:trPr>
        <w:tc>
          <w:tcPr>
            <w:tcW w:w="1780" w:type="dxa"/>
            <w:tcBorders>
              <w:top w:val="nil"/>
              <w:left w:val="nil"/>
              <w:bottom w:val="nil"/>
              <w:right w:val="single" w:sz="4" w:space="0" w:color="auto"/>
            </w:tcBorders>
          </w:tcPr>
          <w:p w14:paraId="5ECD14AD" w14:textId="77777777" w:rsidR="00DF3C38"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Signed /</w:t>
            </w:r>
          </w:p>
          <w:p w14:paraId="7C9F0FC7"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Designation</w:t>
            </w:r>
          </w:p>
        </w:tc>
        <w:tc>
          <w:tcPr>
            <w:tcW w:w="3968" w:type="dxa"/>
            <w:gridSpan w:val="2"/>
            <w:tcBorders>
              <w:top w:val="single" w:sz="4" w:space="0" w:color="auto"/>
              <w:left w:val="single" w:sz="4" w:space="0" w:color="auto"/>
              <w:bottom w:val="single" w:sz="4" w:space="0" w:color="auto"/>
              <w:right w:val="single" w:sz="4" w:space="0" w:color="auto"/>
            </w:tcBorders>
          </w:tcPr>
          <w:p w14:paraId="7D2D4AD0"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2" w:type="dxa"/>
            <w:tcBorders>
              <w:top w:val="nil"/>
              <w:left w:val="single" w:sz="4" w:space="0" w:color="auto"/>
              <w:bottom w:val="nil"/>
              <w:right w:val="nil"/>
            </w:tcBorders>
          </w:tcPr>
          <w:p w14:paraId="4D9C01C7"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73" w:type="dxa"/>
            <w:vMerge/>
            <w:tcBorders>
              <w:left w:val="single" w:sz="4" w:space="0" w:color="auto"/>
              <w:bottom w:val="single" w:sz="4" w:space="0" w:color="auto"/>
              <w:right w:val="single" w:sz="4" w:space="0" w:color="auto"/>
            </w:tcBorders>
          </w:tcPr>
          <w:p w14:paraId="74FCFEA4"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0FBD5FC7" w14:textId="77777777" w:rsidTr="008424FD">
        <w:trPr>
          <w:cantSplit/>
          <w:trHeight w:val="71"/>
        </w:trPr>
        <w:tc>
          <w:tcPr>
            <w:tcW w:w="5748" w:type="dxa"/>
            <w:gridSpan w:val="3"/>
            <w:tcBorders>
              <w:top w:val="nil"/>
              <w:left w:val="nil"/>
              <w:bottom w:val="nil"/>
              <w:right w:val="nil"/>
            </w:tcBorders>
          </w:tcPr>
          <w:p w14:paraId="2C1AEA07"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rPr>
            </w:pPr>
            <w:r>
              <w:rPr>
                <w:rFonts w:ascii="Arial" w:hAnsi="Arial" w:cs="Arial"/>
                <w:bCs/>
                <w:iCs/>
                <w:noProof/>
                <w:lang w:eastAsia="en-GB"/>
              </w:rPr>
              <mc:AlternateContent>
                <mc:Choice Requires="wps">
                  <w:drawing>
                    <wp:anchor distT="0" distB="0" distL="114300" distR="114300" simplePos="0" relativeHeight="251658240" behindDoc="0" locked="0" layoutInCell="1" allowOverlap="1" wp14:anchorId="33345C18" wp14:editId="7ABDC89A">
                      <wp:simplePos x="0" y="0"/>
                      <wp:positionH relativeFrom="column">
                        <wp:posOffset>1068705</wp:posOffset>
                      </wp:positionH>
                      <wp:positionV relativeFrom="paragraph">
                        <wp:posOffset>146846</wp:posOffset>
                      </wp:positionV>
                      <wp:extent cx="2504364" cy="259308"/>
                      <wp:effectExtent l="0" t="0" r="10795" b="26670"/>
                      <wp:wrapNone/>
                      <wp:docPr id="3" name="Rectangle 3"/>
                      <wp:cNvGraphicFramePr/>
                      <a:graphic xmlns:a="http://schemas.openxmlformats.org/drawingml/2006/main">
                        <a:graphicData uri="http://schemas.microsoft.com/office/word/2010/wordprocessingShape">
                          <wps:wsp>
                            <wps:cNvSpPr/>
                            <wps:spPr>
                              <a:xfrm>
                                <a:off x="0" y="0"/>
                                <a:ext cx="2504364" cy="25930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w16du="http://schemas.microsoft.com/office/word/2023/wordml/word16du" xmlns:a14="http://schemas.microsoft.com/office/drawing/2010/main" xmlns:pic="http://schemas.openxmlformats.org/drawingml/2006/picture" xmlns:a="http://schemas.openxmlformats.org/drawingml/2006/main">
                  <w:pict w14:anchorId="16AE45FC">
                    <v:rect id="Rectangle 3" style="position:absolute;margin-left:84.15pt;margin-top:11.55pt;width:197.2pt;height:20.4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4C46E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G8ogwIAAGcFAAAOAAAAZHJzL2Uyb0RvYy54bWysVE1v2zAMvQ/YfxB0X22nST+COkXQosOA&#10;og3WDj0rshQbkEVNUuJkv36UZDtBV+wwLAeFMslH8onkze2+VWQnrGtAl7Q4yykRmkPV6E1Jf7w+&#10;fLmixHmmK6ZAi5IehKO3i8+fbjozFxOoQVXCEgTRbt6Zktbem3mWOV6LlrkzMEKjUoJtmcer3WSV&#10;ZR2ityqb5PlF1oGtjAUunMOv90lJFxFfSsH9s5ROeKJKirn5eNp4rsOZLW7YfGOZqRvep8H+IYuW&#10;NRqDjlD3zDOytc0fUG3DLTiQ/oxDm4GUDRexBqymyN9V81IzI2ItSI4zI03u/8Hyp92LWVmkoTNu&#10;7lAMVeylbcM/5kf2kazDSJbYe8Lx42SWT88vppRw1E1m1+f5VWAzO3ob6/xXAS0JQkktPkbkiO0e&#10;nU+mg0kIpuGhUSo+iNKkK+l5cTmLDg5UUwVlMIutIe6UJTuGj+r3RR/2xAqTUBpzOdYUJX9QIkAo&#10;/V1I0lShihQgtNsRk3EutC+SqmaVSKFmOf6GYINHrDgCBmSJSY7YPcBgmUAG7FR/bx9cRezW0Tn/&#10;W2LJefSIkUH70bltNNiPABRW1UdO9gNJiZrA0hqqw8oSC2lWnOEPDb7fI3N+xSwOB44RDrx/xkMq&#10;wHeCXqKkBvvro+/BHnsWtZR0OGwldT+3zApK1DeN3XxdTKdhOuNlOruc4MWeatanGr1t7wCfvsDV&#10;YngUg71XgygttG+4F5YhKqqY5hi7pNzb4XLn0xLAzcLFchnNcCIN84/6xfAAHlgN/fm6f2PW9E3s&#10;sf2fYBhMNn/Xy8k2eGpYbj3IJjb6kdeeb5zm2Dj95gnr4vQerY77cfEbAAD//wMAUEsDBBQABgAI&#10;AAAAIQAfiCnW3QAAAAkBAAAPAAAAZHJzL2Rvd25yZXYueG1sTI9BT4QwEIXvJv6HZky8GLcsuIhI&#10;2RgTriauG7126QgonRJaFvj3jic9vsyX974p9ovtxRlH3zlSsN1EIJBqZzpqFBzfqtsMhA+ajO4d&#10;oYIVPezLy4tC58bN9IrnQ2gEl5DPtYI2hCGX0tctWu03bkDi26cbrQ4cx0aaUc9cbnsZR1Eqre6I&#10;F1o94HOL9fdhsgruPvzNe/Yi1yjY45e1a7Wb5kqp66vl6RFEwCX8wfCrz+pQstPJTWS86DmnWcKo&#10;gjjZgmBgl8b3IE4K0uQBZFnI/x+UPwAAAP//AwBQSwECLQAUAAYACAAAACEAtoM4kv4AAADhAQAA&#10;EwAAAAAAAAAAAAAAAAAAAAAAW0NvbnRlbnRfVHlwZXNdLnhtbFBLAQItABQABgAIAAAAIQA4/SH/&#10;1gAAAJQBAAALAAAAAAAAAAAAAAAAAC8BAABfcmVscy8ucmVsc1BLAQItABQABgAIAAAAIQD1JG8o&#10;gwIAAGcFAAAOAAAAAAAAAAAAAAAAAC4CAABkcnMvZTJvRG9jLnhtbFBLAQItABQABgAIAAAAIQAf&#10;iCnW3QAAAAkBAAAPAAAAAAAAAAAAAAAAAN0EAABkcnMvZG93bnJldi54bWxQSwUGAAAAAAQABADz&#10;AAAA5wUAAAAA&#10;"/>
                  </w:pict>
                </mc:Fallback>
              </mc:AlternateContent>
            </w:r>
          </w:p>
          <w:p w14:paraId="1F90DC9F"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Date </w:t>
            </w:r>
          </w:p>
          <w:p w14:paraId="136C7D95"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rPr>
            </w:pPr>
          </w:p>
        </w:tc>
        <w:tc>
          <w:tcPr>
            <w:tcW w:w="242" w:type="dxa"/>
            <w:tcBorders>
              <w:top w:val="nil"/>
              <w:left w:val="nil"/>
              <w:bottom w:val="nil"/>
              <w:right w:val="nil"/>
            </w:tcBorders>
          </w:tcPr>
          <w:p w14:paraId="441A6AFC"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73" w:type="dxa"/>
            <w:vMerge/>
            <w:tcBorders>
              <w:left w:val="single" w:sz="4" w:space="0" w:color="auto"/>
              <w:bottom w:val="single" w:sz="4" w:space="0" w:color="auto"/>
              <w:right w:val="single" w:sz="4" w:space="0" w:color="auto"/>
            </w:tcBorders>
          </w:tcPr>
          <w:p w14:paraId="448725AE"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bl>
    <w:p w14:paraId="6F10076B" w14:textId="77777777" w:rsidR="00801EDB" w:rsidRDefault="00801EDB" w:rsidP="00801EDB">
      <w:pPr>
        <w:spacing w:after="200" w:line="276" w:lineRule="auto"/>
        <w:rPr>
          <w:rFonts w:eastAsiaTheme="minorHAnsi" w:cs="Calibri"/>
          <w:sz w:val="22"/>
          <w:szCs w:val="22"/>
        </w:rPr>
      </w:pPr>
    </w:p>
    <w:p w14:paraId="54F98191" w14:textId="77777777" w:rsidR="00DF3C38" w:rsidRDefault="00DF3C38" w:rsidP="00801EDB">
      <w:pPr>
        <w:spacing w:after="200" w:line="276" w:lineRule="auto"/>
        <w:rPr>
          <w:rFonts w:eastAsiaTheme="minorHAnsi" w:cs="Calibri"/>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64"/>
        <w:gridCol w:w="3827"/>
        <w:gridCol w:w="284"/>
        <w:gridCol w:w="4394"/>
      </w:tblGrid>
      <w:tr w:rsidR="00DF3C38" w14:paraId="3BC395E4" w14:textId="77777777" w:rsidTr="008424FD">
        <w:trPr>
          <w:cantSplit/>
          <w:trHeight w:val="789"/>
        </w:trPr>
        <w:tc>
          <w:tcPr>
            <w:tcW w:w="10349" w:type="dxa"/>
            <w:gridSpan w:val="5"/>
            <w:tcBorders>
              <w:top w:val="nil"/>
              <w:left w:val="nil"/>
              <w:bottom w:val="nil"/>
              <w:right w:val="nil"/>
            </w:tcBorders>
          </w:tcPr>
          <w:p w14:paraId="02EC6E86" w14:textId="77777777" w:rsidR="00DF3C38" w:rsidRDefault="00DF3C38" w:rsidP="008424FD">
            <w:pPr>
              <w:pStyle w:val="BodyText"/>
              <w:tabs>
                <w:tab w:val="left" w:pos="-540"/>
                <w:tab w:val="left" w:pos="4860"/>
                <w:tab w:val="left" w:pos="6660"/>
                <w:tab w:val="left" w:pos="7740"/>
                <w:tab w:val="right" w:pos="8820"/>
              </w:tabs>
              <w:spacing w:before="240"/>
              <w:ind w:left="-108" w:right="-516"/>
              <w:rPr>
                <w:rFonts w:ascii="Arial" w:hAnsi="Arial" w:cs="Arial"/>
                <w:bCs/>
                <w:iCs/>
              </w:rPr>
            </w:pPr>
            <w:r>
              <w:rPr>
                <w:rFonts w:ascii="Arial" w:hAnsi="Arial" w:cs="Arial"/>
                <w:b/>
                <w:iCs/>
              </w:rPr>
              <w:t xml:space="preserve">Section B: [Reject Shared Care] to be completed by practice </w:t>
            </w:r>
            <w:r>
              <w:rPr>
                <w:rFonts w:ascii="Arial" w:hAnsi="Arial" w:cs="Arial"/>
                <w:bCs/>
                <w:i/>
              </w:rPr>
              <w:t xml:space="preserve">Send back </w:t>
            </w:r>
            <w:r>
              <w:rPr>
                <w:rFonts w:ascii="Arial" w:hAnsi="Arial" w:cs="Arial"/>
                <w:b/>
                <w:i/>
              </w:rPr>
              <w:t>FAO referring consultant</w:t>
            </w:r>
            <w:r>
              <w:rPr>
                <w:rFonts w:ascii="Arial" w:hAnsi="Arial" w:cs="Arial"/>
                <w:bCs/>
                <w:i/>
              </w:rPr>
              <w:t xml:space="preserve"> </w:t>
            </w:r>
            <w:r w:rsidR="00D831A5">
              <w:rPr>
                <w:rFonts w:ascii="Arial" w:hAnsi="Arial" w:cs="Arial"/>
                <w:bCs/>
                <w:i/>
              </w:rPr>
              <w:t xml:space="preserve">     </w:t>
            </w:r>
            <w:r>
              <w:rPr>
                <w:rFonts w:ascii="Arial" w:hAnsi="Arial" w:cs="Arial"/>
                <w:bCs/>
                <w:i/>
              </w:rPr>
              <w:t>above</w:t>
            </w:r>
          </w:p>
          <w:p w14:paraId="4358ABCC" w14:textId="77777777" w:rsidR="00DF3C38" w:rsidRDefault="00DF3C38" w:rsidP="008424FD">
            <w:pPr>
              <w:pStyle w:val="BodyText"/>
              <w:tabs>
                <w:tab w:val="left" w:pos="-540"/>
                <w:tab w:val="left" w:pos="4860"/>
                <w:tab w:val="left" w:pos="6660"/>
                <w:tab w:val="left" w:pos="7740"/>
                <w:tab w:val="right" w:pos="8820"/>
              </w:tabs>
              <w:spacing w:before="120" w:after="240"/>
              <w:ind w:right="-516" w:hanging="108"/>
              <w:rPr>
                <w:rFonts w:ascii="Arial" w:hAnsi="Arial" w:cs="Arial"/>
                <w:b/>
                <w:iCs/>
              </w:rPr>
            </w:pPr>
            <w:r>
              <w:rPr>
                <w:rFonts w:ascii="Arial" w:hAnsi="Arial" w:cs="Arial"/>
                <w:bCs/>
                <w:iCs/>
              </w:rPr>
              <w:t>The above patient has not been accepted into our monitoring service.</w:t>
            </w:r>
          </w:p>
        </w:tc>
      </w:tr>
      <w:tr w:rsidR="00DF3C38" w14:paraId="33F2E994" w14:textId="77777777" w:rsidTr="008424FD">
        <w:trPr>
          <w:cantSplit/>
          <w:trHeight w:val="468"/>
        </w:trPr>
        <w:tc>
          <w:tcPr>
            <w:tcW w:w="1844" w:type="dxa"/>
            <w:gridSpan w:val="2"/>
            <w:tcBorders>
              <w:top w:val="nil"/>
              <w:left w:val="nil"/>
              <w:bottom w:val="nil"/>
              <w:right w:val="single" w:sz="4" w:space="0" w:color="auto"/>
            </w:tcBorders>
          </w:tcPr>
          <w:p w14:paraId="595A2212"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Reason</w:t>
            </w:r>
          </w:p>
        </w:tc>
        <w:tc>
          <w:tcPr>
            <w:tcW w:w="3827" w:type="dxa"/>
            <w:tcBorders>
              <w:top w:val="single" w:sz="4" w:space="0" w:color="auto"/>
              <w:left w:val="single" w:sz="4" w:space="0" w:color="auto"/>
              <w:bottom w:val="single" w:sz="4" w:space="0" w:color="auto"/>
              <w:right w:val="single" w:sz="4" w:space="0" w:color="auto"/>
            </w:tcBorders>
          </w:tcPr>
          <w:p w14:paraId="71D9E8FF"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4FCC8462"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73FF8647"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2CCF5A77"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29CE46B2"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84" w:type="dxa"/>
            <w:tcBorders>
              <w:top w:val="nil"/>
              <w:left w:val="single" w:sz="4" w:space="0" w:color="auto"/>
              <w:bottom w:val="nil"/>
              <w:right w:val="nil"/>
            </w:tcBorders>
          </w:tcPr>
          <w:p w14:paraId="697AEEBB"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94" w:type="dxa"/>
            <w:vMerge w:val="restart"/>
            <w:tcBorders>
              <w:top w:val="single" w:sz="4" w:space="0" w:color="auto"/>
              <w:left w:val="single" w:sz="4" w:space="0" w:color="auto"/>
              <w:bottom w:val="single" w:sz="4" w:space="0" w:color="auto"/>
              <w:right w:val="single" w:sz="4" w:space="0" w:color="auto"/>
            </w:tcBorders>
          </w:tcPr>
          <w:p w14:paraId="2C25747F" w14:textId="77777777" w:rsidR="00DF3C38" w:rsidRDefault="00DF3C38" w:rsidP="007B67B8">
            <w:pPr>
              <w:pStyle w:val="BodyText"/>
              <w:tabs>
                <w:tab w:val="left" w:pos="-540"/>
                <w:tab w:val="left" w:pos="4860"/>
                <w:tab w:val="left" w:pos="6660"/>
                <w:tab w:val="left" w:pos="7740"/>
                <w:tab w:val="right" w:pos="8820"/>
              </w:tabs>
              <w:spacing w:before="120"/>
              <w:ind w:right="-516"/>
              <w:rPr>
                <w:rFonts w:ascii="Arial" w:hAnsi="Arial" w:cs="Arial"/>
                <w:bCs/>
                <w:iCs/>
              </w:rPr>
            </w:pPr>
            <w:r>
              <w:rPr>
                <w:rFonts w:ascii="Arial" w:hAnsi="Arial" w:cs="Arial"/>
                <w:bCs/>
                <w:iCs/>
              </w:rPr>
              <w:t xml:space="preserve">Practice stamp </w:t>
            </w:r>
          </w:p>
        </w:tc>
      </w:tr>
      <w:tr w:rsidR="00DF3C38" w14:paraId="2D44ECF4" w14:textId="77777777" w:rsidTr="008424FD">
        <w:trPr>
          <w:cantSplit/>
          <w:trHeight w:val="300"/>
        </w:trPr>
        <w:tc>
          <w:tcPr>
            <w:tcW w:w="5671" w:type="dxa"/>
            <w:gridSpan w:val="3"/>
            <w:tcBorders>
              <w:top w:val="nil"/>
              <w:left w:val="nil"/>
              <w:bottom w:val="nil"/>
              <w:right w:val="nil"/>
            </w:tcBorders>
          </w:tcPr>
          <w:p w14:paraId="08F7AA83"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284" w:type="dxa"/>
            <w:tcBorders>
              <w:top w:val="nil"/>
              <w:left w:val="nil"/>
              <w:bottom w:val="nil"/>
              <w:right w:val="nil"/>
            </w:tcBorders>
          </w:tcPr>
          <w:p w14:paraId="20550B9B"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94" w:type="dxa"/>
            <w:vMerge/>
            <w:tcBorders>
              <w:left w:val="single" w:sz="4" w:space="0" w:color="auto"/>
              <w:bottom w:val="single" w:sz="4" w:space="0" w:color="auto"/>
              <w:right w:val="single" w:sz="4" w:space="0" w:color="auto"/>
            </w:tcBorders>
          </w:tcPr>
          <w:p w14:paraId="79AAECA2"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14:paraId="13685E0E" w14:textId="77777777" w:rsidTr="008424FD">
        <w:trPr>
          <w:cantSplit/>
          <w:trHeight w:val="468"/>
        </w:trPr>
        <w:tc>
          <w:tcPr>
            <w:tcW w:w="1780" w:type="dxa"/>
            <w:tcBorders>
              <w:top w:val="nil"/>
              <w:left w:val="nil"/>
              <w:bottom w:val="nil"/>
              <w:right w:val="single" w:sz="4" w:space="0" w:color="auto"/>
            </w:tcBorders>
          </w:tcPr>
          <w:p w14:paraId="484307E9" w14:textId="77777777" w:rsidR="00DF3C38"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Signed /</w:t>
            </w:r>
          </w:p>
          <w:p w14:paraId="4E93431F"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Designation</w:t>
            </w:r>
          </w:p>
        </w:tc>
        <w:tc>
          <w:tcPr>
            <w:tcW w:w="3891" w:type="dxa"/>
            <w:gridSpan w:val="2"/>
            <w:tcBorders>
              <w:top w:val="single" w:sz="4" w:space="0" w:color="auto"/>
              <w:left w:val="single" w:sz="4" w:space="0" w:color="auto"/>
              <w:bottom w:val="single" w:sz="4" w:space="0" w:color="auto"/>
              <w:right w:val="single" w:sz="4" w:space="0" w:color="auto"/>
            </w:tcBorders>
          </w:tcPr>
          <w:p w14:paraId="0282CF10"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84" w:type="dxa"/>
            <w:tcBorders>
              <w:top w:val="nil"/>
              <w:left w:val="single" w:sz="4" w:space="0" w:color="auto"/>
              <w:bottom w:val="nil"/>
              <w:right w:val="nil"/>
            </w:tcBorders>
          </w:tcPr>
          <w:p w14:paraId="6F4E4145"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94" w:type="dxa"/>
            <w:vMerge/>
            <w:tcBorders>
              <w:left w:val="single" w:sz="4" w:space="0" w:color="auto"/>
              <w:bottom w:val="single" w:sz="4" w:space="0" w:color="auto"/>
              <w:right w:val="single" w:sz="4" w:space="0" w:color="auto"/>
            </w:tcBorders>
          </w:tcPr>
          <w:p w14:paraId="282AF792"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16EE89F9" w14:textId="77777777" w:rsidTr="008424FD">
        <w:trPr>
          <w:cantSplit/>
          <w:trHeight w:val="71"/>
        </w:trPr>
        <w:tc>
          <w:tcPr>
            <w:tcW w:w="5671" w:type="dxa"/>
            <w:gridSpan w:val="3"/>
            <w:tcBorders>
              <w:top w:val="nil"/>
              <w:left w:val="nil"/>
              <w:bottom w:val="nil"/>
              <w:right w:val="nil"/>
            </w:tcBorders>
          </w:tcPr>
          <w:p w14:paraId="25ECF38A"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rPr>
            </w:pPr>
            <w:r>
              <w:rPr>
                <w:rFonts w:ascii="Arial" w:hAnsi="Arial" w:cs="Arial"/>
                <w:bCs/>
                <w:iCs/>
                <w:noProof/>
                <w:lang w:eastAsia="en-GB"/>
              </w:rPr>
              <mc:AlternateContent>
                <mc:Choice Requires="wps">
                  <w:drawing>
                    <wp:anchor distT="0" distB="0" distL="114300" distR="114300" simplePos="0" relativeHeight="251658241" behindDoc="0" locked="0" layoutInCell="1" allowOverlap="1" wp14:anchorId="5DC5B703" wp14:editId="050AE874">
                      <wp:simplePos x="0" y="0"/>
                      <wp:positionH relativeFrom="column">
                        <wp:posOffset>1068705</wp:posOffset>
                      </wp:positionH>
                      <wp:positionV relativeFrom="paragraph">
                        <wp:posOffset>146846</wp:posOffset>
                      </wp:positionV>
                      <wp:extent cx="2504364" cy="259308"/>
                      <wp:effectExtent l="0" t="0" r="10795" b="26670"/>
                      <wp:wrapNone/>
                      <wp:docPr id="4" name="Rectangle 4"/>
                      <wp:cNvGraphicFramePr/>
                      <a:graphic xmlns:a="http://schemas.openxmlformats.org/drawingml/2006/main">
                        <a:graphicData uri="http://schemas.microsoft.com/office/word/2010/wordprocessingShape">
                          <wps:wsp>
                            <wps:cNvSpPr/>
                            <wps:spPr>
                              <a:xfrm>
                                <a:off x="0" y="0"/>
                                <a:ext cx="2504364" cy="25930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w16du="http://schemas.microsoft.com/office/word/2023/wordml/word16du" xmlns:a14="http://schemas.microsoft.com/office/drawing/2010/main" xmlns:pic="http://schemas.openxmlformats.org/drawingml/2006/picture" xmlns:a="http://schemas.openxmlformats.org/drawingml/2006/main">
                  <w:pict w14:anchorId="313EE3A5">
                    <v:rect id="Rectangle 4" style="position:absolute;margin-left:84.15pt;margin-top:11.55pt;width:197.2pt;height:20.4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7D8399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G8ogwIAAGcFAAAOAAAAZHJzL2Uyb0RvYy54bWysVE1v2zAMvQ/YfxB0X22nST+COkXQosOA&#10;og3WDj0rshQbkEVNUuJkv36UZDtBV+wwLAeFMslH8onkze2+VWQnrGtAl7Q4yykRmkPV6E1Jf7w+&#10;fLmixHmmK6ZAi5IehKO3i8+fbjozFxOoQVXCEgTRbt6Zktbem3mWOV6LlrkzMEKjUoJtmcer3WSV&#10;ZR2ityqb5PlF1oGtjAUunMOv90lJFxFfSsH9s5ROeKJKirn5eNp4rsOZLW7YfGOZqRvep8H+IYuW&#10;NRqDjlD3zDOytc0fUG3DLTiQ/oxDm4GUDRexBqymyN9V81IzI2ItSI4zI03u/8Hyp92LWVmkoTNu&#10;7lAMVeylbcM/5kf2kazDSJbYe8Lx42SWT88vppRw1E1m1+f5VWAzO3ob6/xXAS0JQkktPkbkiO0e&#10;nU+mg0kIpuGhUSo+iNKkK+l5cTmLDg5UUwVlMIutIe6UJTuGj+r3RR/2xAqTUBpzOdYUJX9QIkAo&#10;/V1I0lShihQgtNsRk3EutC+SqmaVSKFmOf6GYINHrDgCBmSJSY7YPcBgmUAG7FR/bx9cRezW0Tn/&#10;W2LJefSIkUH70bltNNiPABRW1UdO9gNJiZrA0hqqw8oSC2lWnOEPDb7fI3N+xSwOB44RDrx/xkMq&#10;wHeCXqKkBvvro+/BHnsWtZR0OGwldT+3zApK1DeN3XxdTKdhOuNlOruc4MWeatanGr1t7wCfvsDV&#10;YngUg71XgygttG+4F5YhKqqY5hi7pNzb4XLn0xLAzcLFchnNcCIN84/6xfAAHlgN/fm6f2PW9E3s&#10;sf2fYBhMNn/Xy8k2eGpYbj3IJjb6kdeeb5zm2Dj95gnr4vQerY77cfEbAAD//wMAUEsDBBQABgAI&#10;AAAAIQAfiCnW3QAAAAkBAAAPAAAAZHJzL2Rvd25yZXYueG1sTI9BT4QwEIXvJv6HZky8GLcsuIhI&#10;2RgTriauG7126QgonRJaFvj3jic9vsyX974p9ovtxRlH3zlSsN1EIJBqZzpqFBzfqtsMhA+ajO4d&#10;oYIVPezLy4tC58bN9IrnQ2gEl5DPtYI2hCGX0tctWu03bkDi26cbrQ4cx0aaUc9cbnsZR1Eqre6I&#10;F1o94HOL9fdhsgruPvzNe/Yi1yjY45e1a7Wb5kqp66vl6RFEwCX8wfCrz+pQstPJTWS86DmnWcKo&#10;gjjZgmBgl8b3IE4K0uQBZFnI/x+UPwAAAP//AwBQSwECLQAUAAYACAAAACEAtoM4kv4AAADhAQAA&#10;EwAAAAAAAAAAAAAAAAAAAAAAW0NvbnRlbnRfVHlwZXNdLnhtbFBLAQItABQABgAIAAAAIQA4/SH/&#10;1gAAAJQBAAALAAAAAAAAAAAAAAAAAC8BAABfcmVscy8ucmVsc1BLAQItABQABgAIAAAAIQD1JG8o&#10;gwIAAGcFAAAOAAAAAAAAAAAAAAAAAC4CAABkcnMvZTJvRG9jLnhtbFBLAQItABQABgAIAAAAIQAf&#10;iCnW3QAAAAkBAAAPAAAAAAAAAAAAAAAAAN0EAABkcnMvZG93bnJldi54bWxQSwUGAAAAAAQABADz&#10;AAAA5wUAAAAA&#10;"/>
                  </w:pict>
                </mc:Fallback>
              </mc:AlternateContent>
            </w:r>
          </w:p>
          <w:p w14:paraId="0E47AE4E"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Date </w:t>
            </w:r>
          </w:p>
          <w:p w14:paraId="6EF6B083"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rPr>
            </w:pPr>
          </w:p>
        </w:tc>
        <w:tc>
          <w:tcPr>
            <w:tcW w:w="284" w:type="dxa"/>
            <w:tcBorders>
              <w:top w:val="nil"/>
              <w:left w:val="nil"/>
              <w:bottom w:val="nil"/>
              <w:right w:val="nil"/>
            </w:tcBorders>
          </w:tcPr>
          <w:p w14:paraId="08DE8B0D"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94" w:type="dxa"/>
            <w:vMerge/>
            <w:tcBorders>
              <w:left w:val="single" w:sz="4" w:space="0" w:color="auto"/>
              <w:bottom w:val="single" w:sz="4" w:space="0" w:color="auto"/>
              <w:right w:val="single" w:sz="4" w:space="0" w:color="auto"/>
            </w:tcBorders>
          </w:tcPr>
          <w:p w14:paraId="5C893621"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bl>
    <w:p w14:paraId="582FE435" w14:textId="77777777" w:rsidR="00DF3C38" w:rsidRDefault="00DF3C38" w:rsidP="00801EDB">
      <w:pPr>
        <w:spacing w:after="200" w:line="276" w:lineRule="auto"/>
        <w:rPr>
          <w:rFonts w:eastAsiaTheme="minorHAnsi" w:cs="Calibri"/>
          <w:sz w:val="22"/>
          <w:szCs w:val="22"/>
        </w:rPr>
      </w:pPr>
    </w:p>
    <w:p w14:paraId="40529B6C" w14:textId="77777777" w:rsidR="00DF3C38" w:rsidRDefault="00DF3C38" w:rsidP="00801EDB">
      <w:pPr>
        <w:spacing w:after="200" w:line="276" w:lineRule="auto"/>
        <w:rPr>
          <w:rFonts w:eastAsiaTheme="minorHAnsi" w:cs="Calibri"/>
          <w:sz w:val="22"/>
          <w:szCs w:val="22"/>
        </w:rPr>
      </w:pPr>
    </w:p>
    <w:p w14:paraId="3C2153BA" w14:textId="77777777" w:rsidR="00DF3C38" w:rsidRDefault="00DF3C38" w:rsidP="00801EDB">
      <w:pPr>
        <w:spacing w:after="200" w:line="276" w:lineRule="auto"/>
        <w:rPr>
          <w:rFonts w:eastAsiaTheme="minorHAnsi" w:cs="Calibri"/>
          <w:sz w:val="22"/>
          <w:szCs w:val="22"/>
        </w:rPr>
      </w:pPr>
    </w:p>
    <w:p w14:paraId="6595EA13" w14:textId="77777777" w:rsidR="00DF3C38" w:rsidRDefault="00DF3C38" w:rsidP="00801EDB">
      <w:pPr>
        <w:spacing w:after="200" w:line="276" w:lineRule="auto"/>
        <w:rPr>
          <w:rFonts w:eastAsiaTheme="minorHAnsi" w:cs="Calibri"/>
          <w:sz w:val="22"/>
          <w:szCs w:val="22"/>
        </w:rPr>
      </w:pPr>
    </w:p>
    <w:p w14:paraId="4341BD22" w14:textId="77777777" w:rsidR="00DF3C38" w:rsidRDefault="00DF3C38" w:rsidP="00801EDB">
      <w:pPr>
        <w:spacing w:after="200" w:line="276" w:lineRule="auto"/>
        <w:rPr>
          <w:rFonts w:eastAsiaTheme="minorHAnsi" w:cs="Calibri"/>
          <w:sz w:val="22"/>
          <w:szCs w:val="22"/>
        </w:rPr>
      </w:pPr>
    </w:p>
    <w:p w14:paraId="4C01A036" w14:textId="77777777" w:rsidR="00DF3C38" w:rsidRPr="00FD024B" w:rsidRDefault="00DF3C38" w:rsidP="00DF3C38">
      <w:pPr>
        <w:rPr>
          <w:rFonts w:ascii="Arial" w:hAnsi="Arial" w:cs="Arial"/>
          <w:b/>
          <w:iCs/>
        </w:rPr>
      </w:pPr>
      <w:r>
        <w:rPr>
          <w:rFonts w:ascii="Arial" w:hAnsi="Arial" w:cs="Arial"/>
          <w:b/>
          <w:iCs/>
        </w:rPr>
        <w:lastRenderedPageBreak/>
        <w:t>Section C</w:t>
      </w:r>
      <w:r w:rsidRPr="00FD024B">
        <w:rPr>
          <w:rFonts w:ascii="Arial" w:hAnsi="Arial" w:cs="Arial"/>
          <w:b/>
          <w:iCs/>
        </w:rPr>
        <w:t xml:space="preserve">: Shared Care Agreement </w:t>
      </w:r>
      <w:r>
        <w:rPr>
          <w:rFonts w:ascii="Arial" w:hAnsi="Arial" w:cs="Arial"/>
          <w:b/>
          <w:iCs/>
        </w:rPr>
        <w:t>(</w:t>
      </w:r>
      <w:r w:rsidRPr="00FD024B">
        <w:rPr>
          <w:rFonts w:ascii="Arial" w:hAnsi="Arial" w:cs="Arial"/>
          <w:b/>
          <w:iCs/>
        </w:rPr>
        <w:t>Trust specific information</w:t>
      </w:r>
      <w:r>
        <w:rPr>
          <w:rFonts w:ascii="Arial" w:hAnsi="Arial" w:cs="Arial"/>
          <w:b/>
          <w:iCs/>
        </w:rPr>
        <w:t>)</w:t>
      </w:r>
    </w:p>
    <w:p w14:paraId="756C0FCE" w14:textId="77777777" w:rsidR="00DF3C38" w:rsidRDefault="00DF3C38" w:rsidP="00DF3C38">
      <w:pPr>
        <w:rPr>
          <w:sz w:val="22"/>
          <w:szCs w:val="22"/>
        </w:rPr>
      </w:pPr>
    </w:p>
    <w:p w14:paraId="4DA74A05" w14:textId="77777777" w:rsidR="00DF3C38" w:rsidRDefault="00DF3C38" w:rsidP="00DF3C38">
      <w:pPr>
        <w:rPr>
          <w:sz w:val="22"/>
          <w:szCs w:val="22"/>
        </w:rPr>
      </w:pPr>
      <w:r>
        <w:rPr>
          <w:i/>
          <w:szCs w:val="22"/>
        </w:rPr>
        <w:t>This section (and reference to it: Consultant Shared Care Responsibilities point 3) can be removed if all Trusts and CCGs have the same contractual arrangements.</w:t>
      </w:r>
      <w:r w:rsidRPr="00FD024B">
        <w:rPr>
          <w:sz w:val="22"/>
          <w:szCs w:val="22"/>
        </w:rPr>
        <w:t xml:space="preserve"> </w:t>
      </w:r>
    </w:p>
    <w:p w14:paraId="25CF8925" w14:textId="77777777" w:rsidR="00DF3C38" w:rsidRPr="00FD024B" w:rsidRDefault="00DF3C38" w:rsidP="00DF3C38">
      <w:pPr>
        <w:rPr>
          <w:sz w:val="22"/>
          <w:szCs w:val="22"/>
        </w:rPr>
      </w:pPr>
    </w:p>
    <w:tbl>
      <w:tblPr>
        <w:tblStyle w:val="TableGrid"/>
        <w:tblW w:w="0" w:type="auto"/>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8" w:space="0" w:color="4F81BD" w:themeColor="accent1"/>
          <w:insideV w:val="single" w:sz="18" w:space="0" w:color="4F81BD" w:themeColor="accent1"/>
        </w:tblBorders>
        <w:tblLook w:val="04A0" w:firstRow="1" w:lastRow="0" w:firstColumn="1" w:lastColumn="0" w:noHBand="0" w:noVBand="1"/>
      </w:tblPr>
      <w:tblGrid>
        <w:gridCol w:w="1809"/>
        <w:gridCol w:w="7433"/>
      </w:tblGrid>
      <w:tr w:rsidR="00DF3C38" w:rsidRPr="00FD024B" w14:paraId="47E22019" w14:textId="77777777" w:rsidTr="008424FD">
        <w:tc>
          <w:tcPr>
            <w:tcW w:w="9242" w:type="dxa"/>
            <w:gridSpan w:val="2"/>
            <w:tcBorders>
              <w:bottom w:val="single" w:sz="18" w:space="0" w:color="4F81BD" w:themeColor="accent1"/>
            </w:tcBorders>
          </w:tcPr>
          <w:p w14:paraId="25CD166D" w14:textId="77777777" w:rsidR="00DF3C38" w:rsidRPr="00FD024B" w:rsidRDefault="00DF3C38" w:rsidP="008424FD">
            <w:pPr>
              <w:rPr>
                <w:b/>
              </w:rPr>
            </w:pPr>
            <w:r w:rsidRPr="00FD024B">
              <w:rPr>
                <w:b/>
              </w:rPr>
              <w:t>Contact details</w:t>
            </w:r>
          </w:p>
        </w:tc>
      </w:tr>
      <w:tr w:rsidR="00DF3C38" w:rsidRPr="00FD024B" w14:paraId="1A6DB775" w14:textId="77777777" w:rsidTr="008424FD">
        <w:tc>
          <w:tcPr>
            <w:tcW w:w="1809" w:type="dxa"/>
            <w:tcBorders>
              <w:top w:val="single" w:sz="18" w:space="0" w:color="4F81BD" w:themeColor="accent1"/>
              <w:bottom w:val="single" w:sz="8" w:space="0" w:color="4F81BD" w:themeColor="accent1"/>
            </w:tcBorders>
          </w:tcPr>
          <w:p w14:paraId="48F64A61" w14:textId="77777777" w:rsidR="00DF3C38" w:rsidRPr="00FD024B" w:rsidRDefault="00DF3C38" w:rsidP="008424FD">
            <w:r w:rsidRPr="00FD024B">
              <w:t xml:space="preserve">Clinic / service </w:t>
            </w:r>
          </w:p>
          <w:p w14:paraId="2B904946" w14:textId="77777777" w:rsidR="00DF3C38" w:rsidRPr="00FD024B" w:rsidRDefault="00DF3C38" w:rsidP="008424FD"/>
        </w:tc>
        <w:tc>
          <w:tcPr>
            <w:tcW w:w="7433" w:type="dxa"/>
            <w:tcBorders>
              <w:top w:val="single" w:sz="18" w:space="0" w:color="4F81BD" w:themeColor="accent1"/>
              <w:bottom w:val="single" w:sz="8" w:space="0" w:color="4F81BD" w:themeColor="accent1"/>
            </w:tcBorders>
          </w:tcPr>
          <w:p w14:paraId="5957DAB2" w14:textId="77777777" w:rsidR="00DF3C38" w:rsidRPr="00FD024B" w:rsidRDefault="00DF3C38" w:rsidP="008424FD"/>
        </w:tc>
      </w:tr>
      <w:tr w:rsidR="00DF3C38" w:rsidRPr="00FD024B" w14:paraId="64FAEFB8" w14:textId="77777777" w:rsidTr="008424FD">
        <w:tc>
          <w:tcPr>
            <w:tcW w:w="1809" w:type="dxa"/>
            <w:tcBorders>
              <w:top w:val="single" w:sz="8" w:space="0" w:color="4F81BD" w:themeColor="accent1"/>
              <w:bottom w:val="single" w:sz="8" w:space="0" w:color="4F81BD" w:themeColor="accent1"/>
            </w:tcBorders>
          </w:tcPr>
          <w:p w14:paraId="7E23C058" w14:textId="77777777" w:rsidR="00DF3C38" w:rsidRPr="00FD024B" w:rsidRDefault="00DF3C38" w:rsidP="008424FD">
            <w:r w:rsidRPr="00FD024B">
              <w:t xml:space="preserve">Address </w:t>
            </w:r>
          </w:p>
          <w:p w14:paraId="3C96DCB1" w14:textId="77777777" w:rsidR="00DF3C38" w:rsidRPr="00FD024B" w:rsidRDefault="00DF3C38" w:rsidP="008424FD"/>
        </w:tc>
        <w:tc>
          <w:tcPr>
            <w:tcW w:w="7433" w:type="dxa"/>
            <w:tcBorders>
              <w:top w:val="single" w:sz="8" w:space="0" w:color="4F81BD" w:themeColor="accent1"/>
              <w:bottom w:val="single" w:sz="8" w:space="0" w:color="4F81BD" w:themeColor="accent1"/>
            </w:tcBorders>
          </w:tcPr>
          <w:p w14:paraId="029D3B5C" w14:textId="77777777" w:rsidR="00DF3C38" w:rsidRPr="00FD024B" w:rsidRDefault="00DF3C38" w:rsidP="008424FD"/>
        </w:tc>
      </w:tr>
      <w:tr w:rsidR="00DF3C38" w:rsidRPr="00FD024B" w14:paraId="165453BA" w14:textId="77777777" w:rsidTr="008424FD">
        <w:tc>
          <w:tcPr>
            <w:tcW w:w="1809" w:type="dxa"/>
            <w:tcBorders>
              <w:top w:val="single" w:sz="8" w:space="0" w:color="4F81BD" w:themeColor="accent1"/>
              <w:bottom w:val="single" w:sz="8" w:space="0" w:color="4F81BD" w:themeColor="accent1"/>
            </w:tcBorders>
          </w:tcPr>
          <w:p w14:paraId="09CB41A3" w14:textId="77777777" w:rsidR="00DF3C38" w:rsidRPr="00FD024B" w:rsidRDefault="00DF3C38" w:rsidP="008424FD">
            <w:r w:rsidRPr="00FD024B">
              <w:t>Email</w:t>
            </w:r>
          </w:p>
          <w:p w14:paraId="55A1C1E3" w14:textId="77777777" w:rsidR="00DF3C38" w:rsidRPr="00FD024B" w:rsidRDefault="00DF3C38" w:rsidP="008424FD"/>
        </w:tc>
        <w:tc>
          <w:tcPr>
            <w:tcW w:w="7433" w:type="dxa"/>
            <w:tcBorders>
              <w:top w:val="single" w:sz="8" w:space="0" w:color="4F81BD" w:themeColor="accent1"/>
              <w:bottom w:val="single" w:sz="8" w:space="0" w:color="4F81BD" w:themeColor="accent1"/>
            </w:tcBorders>
          </w:tcPr>
          <w:p w14:paraId="3997F9BB" w14:textId="77777777" w:rsidR="00DF3C38" w:rsidRPr="00FD024B" w:rsidRDefault="00DF3C38" w:rsidP="008424FD"/>
        </w:tc>
      </w:tr>
      <w:tr w:rsidR="00DF3C38" w:rsidRPr="00FD024B" w14:paraId="783D672D" w14:textId="77777777" w:rsidTr="008424FD">
        <w:tc>
          <w:tcPr>
            <w:tcW w:w="1809" w:type="dxa"/>
            <w:tcBorders>
              <w:top w:val="single" w:sz="8" w:space="0" w:color="4F81BD" w:themeColor="accent1"/>
              <w:bottom w:val="single" w:sz="18" w:space="0" w:color="4F81BD" w:themeColor="accent1"/>
            </w:tcBorders>
          </w:tcPr>
          <w:p w14:paraId="3C1CC36A" w14:textId="77777777" w:rsidR="00DF3C38" w:rsidRPr="00FD024B" w:rsidRDefault="00DF3C38" w:rsidP="008424FD">
            <w:r w:rsidRPr="00FD024B">
              <w:t>Telephone</w:t>
            </w:r>
          </w:p>
          <w:p w14:paraId="36817FDE" w14:textId="77777777" w:rsidR="00DF3C38" w:rsidRPr="00FD024B" w:rsidRDefault="00DF3C38" w:rsidP="008424FD"/>
        </w:tc>
        <w:tc>
          <w:tcPr>
            <w:tcW w:w="7433" w:type="dxa"/>
            <w:tcBorders>
              <w:top w:val="single" w:sz="8" w:space="0" w:color="4F81BD" w:themeColor="accent1"/>
              <w:bottom w:val="single" w:sz="18" w:space="0" w:color="4F81BD" w:themeColor="accent1"/>
            </w:tcBorders>
          </w:tcPr>
          <w:p w14:paraId="211330A1" w14:textId="77777777" w:rsidR="00DF3C38" w:rsidRPr="00FD024B" w:rsidRDefault="00DF3C38" w:rsidP="008424FD"/>
        </w:tc>
      </w:tr>
    </w:tbl>
    <w:p w14:paraId="66AC2F9E" w14:textId="77777777" w:rsidR="00DF3C38" w:rsidRPr="00FD024B" w:rsidRDefault="00DF3C38" w:rsidP="00DF3C38">
      <w:pPr>
        <w:rPr>
          <w:sz w:val="22"/>
          <w:szCs w:val="22"/>
        </w:rPr>
      </w:pPr>
    </w:p>
    <w:p w14:paraId="76ABAD6B" w14:textId="77777777" w:rsidR="00DF3C38" w:rsidRPr="00FD024B" w:rsidRDefault="00DF3C38" w:rsidP="00DF3C38">
      <w:pPr>
        <w:rPr>
          <w:b/>
          <w:sz w:val="22"/>
          <w:szCs w:val="22"/>
        </w:rPr>
      </w:pPr>
      <w:r w:rsidRPr="00FD024B">
        <w:rPr>
          <w:b/>
          <w:sz w:val="22"/>
          <w:szCs w:val="22"/>
        </w:rPr>
        <w:t>Contractual details</w:t>
      </w:r>
    </w:p>
    <w:tbl>
      <w:tblPr>
        <w:tblStyle w:val="TableGrid"/>
        <w:tblW w:w="0" w:type="auto"/>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085"/>
        <w:gridCol w:w="6157"/>
      </w:tblGrid>
      <w:tr w:rsidR="00DF3C38" w:rsidRPr="00FD024B" w14:paraId="00A3DA72" w14:textId="77777777" w:rsidTr="008424FD">
        <w:tc>
          <w:tcPr>
            <w:tcW w:w="3085" w:type="dxa"/>
          </w:tcPr>
          <w:p w14:paraId="3328C6BA" w14:textId="77777777" w:rsidR="00DF3C38" w:rsidRPr="00FD024B" w:rsidRDefault="00DF3C38" w:rsidP="008424FD">
            <w:r w:rsidRPr="00FD024B">
              <w:t>CCG 1</w:t>
            </w:r>
          </w:p>
        </w:tc>
        <w:tc>
          <w:tcPr>
            <w:tcW w:w="6157" w:type="dxa"/>
          </w:tcPr>
          <w:p w14:paraId="3E5C93EE" w14:textId="77777777" w:rsidR="00DF3C38" w:rsidRPr="00FD024B" w:rsidRDefault="00DF3C38" w:rsidP="008424FD"/>
        </w:tc>
      </w:tr>
      <w:tr w:rsidR="00DF3C38" w:rsidRPr="00FD024B" w14:paraId="0F9989FD" w14:textId="77777777" w:rsidTr="008424FD">
        <w:tc>
          <w:tcPr>
            <w:tcW w:w="3085" w:type="dxa"/>
          </w:tcPr>
          <w:p w14:paraId="28FFF7BF" w14:textId="77777777" w:rsidR="00DF3C38" w:rsidRPr="00FD024B" w:rsidRDefault="00DF3C38" w:rsidP="008424FD">
            <w:r w:rsidRPr="00FD024B">
              <w:t xml:space="preserve">No. weeks Trust to prescribe </w:t>
            </w:r>
          </w:p>
        </w:tc>
        <w:tc>
          <w:tcPr>
            <w:tcW w:w="6157" w:type="dxa"/>
          </w:tcPr>
          <w:p w14:paraId="7ED013EE" w14:textId="77777777" w:rsidR="00DF3C38" w:rsidRPr="00FD024B" w:rsidRDefault="00DF3C38" w:rsidP="008424FD"/>
        </w:tc>
      </w:tr>
      <w:tr w:rsidR="00DF3C38" w:rsidRPr="00FD024B" w14:paraId="387365F9" w14:textId="77777777" w:rsidTr="008424FD">
        <w:tc>
          <w:tcPr>
            <w:tcW w:w="3085" w:type="dxa"/>
          </w:tcPr>
          <w:p w14:paraId="104F55CD" w14:textId="77777777" w:rsidR="00DF3C38" w:rsidRPr="00FD024B" w:rsidRDefault="00DF3C38" w:rsidP="008424FD">
            <w:r w:rsidRPr="00FD024B">
              <w:t>Treatment reviews</w:t>
            </w:r>
            <w:r>
              <w:t xml:space="preserve"> to be conducted by trust</w:t>
            </w:r>
            <w:r w:rsidRPr="00FD024B">
              <w:t xml:space="preserve"> (frequency)</w:t>
            </w:r>
          </w:p>
        </w:tc>
        <w:tc>
          <w:tcPr>
            <w:tcW w:w="6157" w:type="dxa"/>
          </w:tcPr>
          <w:p w14:paraId="4E9B575D" w14:textId="77777777" w:rsidR="00DF3C38" w:rsidRPr="00FD024B" w:rsidRDefault="00DF3C38" w:rsidP="008424FD"/>
        </w:tc>
      </w:tr>
    </w:tbl>
    <w:p w14:paraId="3E1BDD78" w14:textId="77777777" w:rsidR="00DF3C38" w:rsidRDefault="00DF3C38" w:rsidP="00DF3C38">
      <w:pPr>
        <w:rPr>
          <w:sz w:val="22"/>
          <w:szCs w:val="22"/>
        </w:rPr>
      </w:pPr>
    </w:p>
    <w:tbl>
      <w:tblPr>
        <w:tblStyle w:val="TableGrid"/>
        <w:tblW w:w="0" w:type="auto"/>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085"/>
        <w:gridCol w:w="6157"/>
      </w:tblGrid>
      <w:tr w:rsidR="00DF3C38" w:rsidRPr="00FD024B" w14:paraId="7F54F9F6" w14:textId="77777777" w:rsidTr="008424FD">
        <w:tc>
          <w:tcPr>
            <w:tcW w:w="3085" w:type="dxa"/>
          </w:tcPr>
          <w:p w14:paraId="4E0C2088" w14:textId="77777777" w:rsidR="00DF3C38" w:rsidRPr="00FD024B" w:rsidRDefault="00DF3C38" w:rsidP="008424FD">
            <w:r w:rsidRPr="00FD024B">
              <w:t xml:space="preserve">CCG </w:t>
            </w:r>
            <w:r>
              <w:t>2</w:t>
            </w:r>
          </w:p>
        </w:tc>
        <w:tc>
          <w:tcPr>
            <w:tcW w:w="6157" w:type="dxa"/>
          </w:tcPr>
          <w:p w14:paraId="4248D660" w14:textId="77777777" w:rsidR="00DF3C38" w:rsidRPr="00FD024B" w:rsidRDefault="00DF3C38" w:rsidP="008424FD"/>
        </w:tc>
      </w:tr>
      <w:tr w:rsidR="00DF3C38" w:rsidRPr="00FD024B" w14:paraId="4E8EF739" w14:textId="77777777" w:rsidTr="008424FD">
        <w:tc>
          <w:tcPr>
            <w:tcW w:w="3085" w:type="dxa"/>
          </w:tcPr>
          <w:p w14:paraId="7A065171" w14:textId="77777777" w:rsidR="00DF3C38" w:rsidRPr="00FD024B" w:rsidRDefault="00DF3C38" w:rsidP="008424FD">
            <w:r w:rsidRPr="00FD024B">
              <w:t xml:space="preserve">No. weeks Trust to prescribe </w:t>
            </w:r>
          </w:p>
        </w:tc>
        <w:tc>
          <w:tcPr>
            <w:tcW w:w="6157" w:type="dxa"/>
          </w:tcPr>
          <w:p w14:paraId="5F6F5EA6" w14:textId="77777777" w:rsidR="00DF3C38" w:rsidRPr="00FD024B" w:rsidRDefault="00DF3C38" w:rsidP="008424FD"/>
        </w:tc>
      </w:tr>
      <w:tr w:rsidR="00DF3C38" w:rsidRPr="00FD024B" w14:paraId="706402C6" w14:textId="77777777" w:rsidTr="008424FD">
        <w:tc>
          <w:tcPr>
            <w:tcW w:w="3085" w:type="dxa"/>
          </w:tcPr>
          <w:p w14:paraId="5DAF1548" w14:textId="77777777" w:rsidR="00DF3C38" w:rsidRPr="00FD024B" w:rsidRDefault="00DF3C38" w:rsidP="008424FD">
            <w:r w:rsidRPr="00FD024B">
              <w:t>Treatment reviews</w:t>
            </w:r>
            <w:r>
              <w:t xml:space="preserve"> to be conducted by trust</w:t>
            </w:r>
            <w:r w:rsidRPr="00FD024B">
              <w:t xml:space="preserve"> (frequency)</w:t>
            </w:r>
          </w:p>
        </w:tc>
        <w:tc>
          <w:tcPr>
            <w:tcW w:w="6157" w:type="dxa"/>
          </w:tcPr>
          <w:p w14:paraId="20D04140" w14:textId="77777777" w:rsidR="00DF3C38" w:rsidRPr="00FD024B" w:rsidRDefault="00DF3C38" w:rsidP="008424FD"/>
        </w:tc>
      </w:tr>
    </w:tbl>
    <w:p w14:paraId="47CB4D8E" w14:textId="77777777" w:rsidR="00DF3C38" w:rsidRPr="00FD024B" w:rsidRDefault="00DF3C38" w:rsidP="00DF3C38">
      <w:pPr>
        <w:rPr>
          <w:sz w:val="22"/>
          <w:szCs w:val="22"/>
        </w:rPr>
      </w:pPr>
    </w:p>
    <w:tbl>
      <w:tblPr>
        <w:tblStyle w:val="TableGrid"/>
        <w:tblW w:w="0" w:type="auto"/>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085"/>
        <w:gridCol w:w="6157"/>
      </w:tblGrid>
      <w:tr w:rsidR="00DF3C38" w:rsidRPr="00FD024B" w14:paraId="1F7671A6" w14:textId="77777777" w:rsidTr="008424FD">
        <w:tc>
          <w:tcPr>
            <w:tcW w:w="3085" w:type="dxa"/>
          </w:tcPr>
          <w:p w14:paraId="5D6B2284" w14:textId="77777777" w:rsidR="00DF3C38" w:rsidRPr="00FD024B" w:rsidRDefault="00DF3C38" w:rsidP="008424FD">
            <w:r w:rsidRPr="00FD024B">
              <w:t xml:space="preserve">CCG </w:t>
            </w:r>
            <w:r>
              <w:t>3</w:t>
            </w:r>
          </w:p>
        </w:tc>
        <w:tc>
          <w:tcPr>
            <w:tcW w:w="6157" w:type="dxa"/>
          </w:tcPr>
          <w:p w14:paraId="72180B4D" w14:textId="77777777" w:rsidR="00DF3C38" w:rsidRPr="00FD024B" w:rsidRDefault="00DF3C38" w:rsidP="008424FD"/>
        </w:tc>
      </w:tr>
      <w:tr w:rsidR="00DF3C38" w:rsidRPr="00FD024B" w14:paraId="1D6C1BB4" w14:textId="77777777" w:rsidTr="008424FD">
        <w:tc>
          <w:tcPr>
            <w:tcW w:w="3085" w:type="dxa"/>
          </w:tcPr>
          <w:p w14:paraId="1DF2BDB5" w14:textId="77777777" w:rsidR="00DF3C38" w:rsidRPr="00FD024B" w:rsidRDefault="00DF3C38" w:rsidP="008424FD">
            <w:r w:rsidRPr="00FD024B">
              <w:t xml:space="preserve">No. weeks Trust to prescribe </w:t>
            </w:r>
          </w:p>
        </w:tc>
        <w:tc>
          <w:tcPr>
            <w:tcW w:w="6157" w:type="dxa"/>
          </w:tcPr>
          <w:p w14:paraId="0464786A" w14:textId="77777777" w:rsidR="00DF3C38" w:rsidRPr="00FD024B" w:rsidRDefault="00DF3C38" w:rsidP="008424FD"/>
        </w:tc>
      </w:tr>
      <w:tr w:rsidR="00DF3C38" w:rsidRPr="00FD024B" w14:paraId="7F2E900B" w14:textId="77777777" w:rsidTr="008424FD">
        <w:tc>
          <w:tcPr>
            <w:tcW w:w="3085" w:type="dxa"/>
          </w:tcPr>
          <w:p w14:paraId="576F8DC6" w14:textId="77777777" w:rsidR="00DF3C38" w:rsidRPr="00FD024B" w:rsidRDefault="00DF3C38" w:rsidP="008424FD">
            <w:r w:rsidRPr="00FD024B">
              <w:t>Treatment reviews</w:t>
            </w:r>
            <w:r>
              <w:t xml:space="preserve"> to be conducted by trust</w:t>
            </w:r>
            <w:r w:rsidRPr="00FD024B">
              <w:t xml:space="preserve"> (frequency)</w:t>
            </w:r>
          </w:p>
        </w:tc>
        <w:tc>
          <w:tcPr>
            <w:tcW w:w="6157" w:type="dxa"/>
          </w:tcPr>
          <w:p w14:paraId="6D9EC669" w14:textId="77777777" w:rsidR="00DF3C38" w:rsidRPr="00FD024B" w:rsidRDefault="00DF3C38" w:rsidP="008424FD"/>
        </w:tc>
      </w:tr>
    </w:tbl>
    <w:p w14:paraId="3858F766" w14:textId="77777777" w:rsidR="00DF3C38" w:rsidRDefault="00DF3C38" w:rsidP="00DF3C38">
      <w:pPr>
        <w:rPr>
          <w:sz w:val="22"/>
          <w:szCs w:val="22"/>
        </w:rPr>
      </w:pPr>
    </w:p>
    <w:p w14:paraId="4817D234" w14:textId="77777777" w:rsidR="00DF3C38" w:rsidRPr="00FD024B" w:rsidRDefault="00DF3C38" w:rsidP="00DF3C38">
      <w:pPr>
        <w:rPr>
          <w:sz w:val="22"/>
          <w:szCs w:val="22"/>
        </w:rPr>
      </w:pPr>
    </w:p>
    <w:p w14:paraId="54E8000A" w14:textId="77777777" w:rsidR="00DF3C38" w:rsidRPr="00801EDB" w:rsidRDefault="00DF3C38" w:rsidP="00801EDB">
      <w:pPr>
        <w:spacing w:after="200" w:line="276" w:lineRule="auto"/>
        <w:rPr>
          <w:rFonts w:eastAsiaTheme="minorHAnsi" w:cs="Calibri"/>
          <w:sz w:val="22"/>
          <w:szCs w:val="22"/>
        </w:rPr>
      </w:pPr>
    </w:p>
    <w:sectPr w:rsidR="00DF3C38" w:rsidRPr="00801EDB" w:rsidSect="008A5E15">
      <w:footerReference w:type="default" r:id="rId16"/>
      <w:footerReference w:type="first" r:id="rId17"/>
      <w:footnotePr>
        <w:numFmt w:val="lowerLetter"/>
      </w:footnotePr>
      <w:pgSz w:w="11906" w:h="16838"/>
      <w:pgMar w:top="1134" w:right="1440" w:bottom="1440"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64775" w14:textId="77777777" w:rsidR="001105CB" w:rsidRDefault="001105CB" w:rsidP="00224B44">
      <w:r>
        <w:separator/>
      </w:r>
    </w:p>
  </w:endnote>
  <w:endnote w:type="continuationSeparator" w:id="0">
    <w:p w14:paraId="38B39FF6" w14:textId="77777777" w:rsidR="001105CB" w:rsidRDefault="001105CB" w:rsidP="00224B44">
      <w:r>
        <w:continuationSeparator/>
      </w:r>
    </w:p>
  </w:endnote>
  <w:endnote w:type="continuationNotice" w:id="1">
    <w:p w14:paraId="1D3B08A4" w14:textId="77777777" w:rsidR="001105CB" w:rsidRDefault="001105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8C38" w14:textId="77777777" w:rsidR="008424FD" w:rsidRDefault="008424FD" w:rsidP="00367357">
    <w:pPr>
      <w:pStyle w:val="Footer"/>
      <w:jc w:val="left"/>
    </w:pPr>
    <w:r>
      <w:t>North Central London Joint Formulary Committee</w:t>
    </w:r>
    <w:r>
      <w:tab/>
    </w:r>
    <w:r>
      <w:tab/>
    </w:r>
    <w:r>
      <w:fldChar w:fldCharType="begin"/>
    </w:r>
    <w:r>
      <w:instrText xml:space="preserve"> PAGE  \* Arabic  \* MERGEFORMAT </w:instrText>
    </w:r>
    <w:r>
      <w:fldChar w:fldCharType="separate"/>
    </w:r>
    <w:r w:rsidR="001A4E75">
      <w:rPr>
        <w:noProof/>
      </w:rPr>
      <w:t>2</w:t>
    </w:r>
    <w:r>
      <w:fldChar w:fldCharType="end"/>
    </w:r>
    <w:r>
      <w:t xml:space="preserve"> of </w:t>
    </w:r>
    <w:fldSimple w:instr="NUMPAGES  \* Arabic  \* MERGEFORMAT">
      <w:r w:rsidR="001A4E75">
        <w:rPr>
          <w:noProof/>
        </w:rPr>
        <w:t>11</w:t>
      </w:r>
    </w:fldSimple>
  </w:p>
  <w:p w14:paraId="0ED5250E" w14:textId="77777777" w:rsidR="008424FD" w:rsidRDefault="008424FD" w:rsidP="00367357">
    <w:pPr>
      <w:pStyle w:val="Footer"/>
      <w:jc w:val="left"/>
    </w:pPr>
  </w:p>
  <w:p w14:paraId="21FB3300" w14:textId="0B5E7BA4" w:rsidR="008424FD" w:rsidRDefault="006331DF" w:rsidP="00367357">
    <w:pPr>
      <w:pStyle w:val="Footer"/>
      <w:jc w:val="left"/>
    </w:pPr>
    <w:r>
      <w:t>Riluzole NCL</w:t>
    </w:r>
    <w:r w:rsidR="008424FD">
      <w:t xml:space="preserve"> Shared Care</w:t>
    </w:r>
    <w:r w:rsidR="008424FD">
      <w:tab/>
    </w:r>
    <w:r w:rsidR="008424FD">
      <w:tab/>
      <w:t xml:space="preserve">Approval date: </w:t>
    </w:r>
    <w:r w:rsidR="001C3C6F">
      <w:t>November 2023</w:t>
    </w:r>
  </w:p>
  <w:p w14:paraId="3CE04138" w14:textId="4EFE2F6B" w:rsidR="008424FD" w:rsidRDefault="008424FD" w:rsidP="00367357">
    <w:pPr>
      <w:pStyle w:val="Footer"/>
      <w:jc w:val="left"/>
    </w:pPr>
    <w:r>
      <w:t xml:space="preserve">Version </w:t>
    </w:r>
    <w:r w:rsidR="001C3C6F">
      <w:t>2.0</w:t>
    </w:r>
    <w:r>
      <w:tab/>
    </w:r>
    <w:r>
      <w:tab/>
      <w:t xml:space="preserve">Review date: </w:t>
    </w:r>
    <w:r w:rsidR="001C3C6F">
      <w:t>November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C2D2" w14:textId="77777777" w:rsidR="008424FD" w:rsidRDefault="008424FD" w:rsidP="00367357">
    <w:pPr>
      <w:pStyle w:val="Footer"/>
      <w:jc w:val="left"/>
    </w:pPr>
    <w:r>
      <w:t>North Central London Joint Formulary Committee</w:t>
    </w:r>
    <w:r>
      <w:tab/>
    </w:r>
    <w:r>
      <w:ptab w:relativeTo="margin" w:alignment="center" w:leader="none"/>
    </w:r>
    <w:r>
      <w:tab/>
    </w:r>
    <w:r>
      <w:fldChar w:fldCharType="begin"/>
    </w:r>
    <w:r>
      <w:instrText xml:space="preserve"> PAGE  \* Arabic  \* MERGEFORMAT </w:instrText>
    </w:r>
    <w:r>
      <w:fldChar w:fldCharType="separate"/>
    </w:r>
    <w:r>
      <w:rPr>
        <w:noProof/>
      </w:rPr>
      <w:t>1</w:t>
    </w:r>
    <w:r>
      <w:fldChar w:fldCharType="end"/>
    </w:r>
    <w:r>
      <w:t xml:space="preserve"> of </w:t>
    </w:r>
    <w:fldSimple w:instr="NUMPAGES  \* Arabic  \* MERGEFORMAT">
      <w:r w:rsidR="007B67B8">
        <w:rPr>
          <w:noProof/>
        </w:rPr>
        <w:t>3</w:t>
      </w:r>
    </w:fldSimple>
  </w:p>
  <w:p w14:paraId="479FE23C" w14:textId="77777777" w:rsidR="008424FD" w:rsidRDefault="008424FD" w:rsidP="00367357">
    <w:pPr>
      <w:pStyle w:val="Footer"/>
      <w:jc w:val="left"/>
    </w:pPr>
  </w:p>
  <w:p w14:paraId="5BB6F096" w14:textId="77777777" w:rsidR="008424FD" w:rsidRDefault="008424FD" w:rsidP="00367357">
    <w:pPr>
      <w:pStyle w:val="Footer"/>
      <w:jc w:val="left"/>
    </w:pPr>
    <w:r>
      <w:t>Document title</w:t>
    </w:r>
  </w:p>
  <w:p w14:paraId="14388DB3" w14:textId="77777777" w:rsidR="008424FD" w:rsidRDefault="008424FD" w:rsidP="00367357">
    <w:pPr>
      <w:pStyle w:val="Footer"/>
      <w:jc w:val="left"/>
    </w:pPr>
    <w:r>
      <w:t>Version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D5A70" w14:textId="77777777" w:rsidR="001105CB" w:rsidRDefault="001105CB" w:rsidP="00224B44">
      <w:r>
        <w:separator/>
      </w:r>
    </w:p>
  </w:footnote>
  <w:footnote w:type="continuationSeparator" w:id="0">
    <w:p w14:paraId="6B5FC661" w14:textId="77777777" w:rsidR="001105CB" w:rsidRDefault="001105CB" w:rsidP="00224B44">
      <w:r>
        <w:continuationSeparator/>
      </w:r>
    </w:p>
  </w:footnote>
  <w:footnote w:type="continuationNotice" w:id="1">
    <w:p w14:paraId="42C775FF" w14:textId="77777777" w:rsidR="001105CB" w:rsidRDefault="001105C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370"/>
    <w:multiLevelType w:val="hybridMultilevel"/>
    <w:tmpl w:val="7C344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C2096D"/>
    <w:multiLevelType w:val="hybridMultilevel"/>
    <w:tmpl w:val="78F6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3B6959"/>
    <w:multiLevelType w:val="hybridMultilevel"/>
    <w:tmpl w:val="9848A494"/>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3" w15:restartNumberingAfterBreak="0">
    <w:nsid w:val="1B7D35BA"/>
    <w:multiLevelType w:val="multilevel"/>
    <w:tmpl w:val="9C202792"/>
    <w:styleLink w:val="ReportHeadings"/>
    <w:lvl w:ilvl="0">
      <w:start w:val="1"/>
      <w:numFmt w:val="decimal"/>
      <w:pStyle w:val="NCLHeading1"/>
      <w:lvlText w:val="%1."/>
      <w:lvlJc w:val="left"/>
      <w:pPr>
        <w:ind w:left="851" w:hanging="851"/>
      </w:pPr>
      <w:rPr>
        <w:rFonts w:hint="default"/>
      </w:rPr>
    </w:lvl>
    <w:lvl w:ilvl="1">
      <w:start w:val="1"/>
      <w:numFmt w:val="decimal"/>
      <w:pStyle w:val="NCLHeading2"/>
      <w:lvlText w:val="%1.%2."/>
      <w:lvlJc w:val="left"/>
      <w:pPr>
        <w:ind w:left="851" w:hanging="851"/>
      </w:pPr>
      <w:rPr>
        <w:rFonts w:hint="default"/>
      </w:rPr>
    </w:lvl>
    <w:lvl w:ilvl="2">
      <w:start w:val="1"/>
      <w:numFmt w:val="decimal"/>
      <w:pStyle w:val="NCLHeading3"/>
      <w:lvlText w:val="%1.%2.%3."/>
      <w:lvlJc w:val="left"/>
      <w:pPr>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pStyle w:val="NCLTableheading"/>
      <w:suff w:val="nothing"/>
      <w:lvlText w:val=""/>
      <w:lvlJc w:val="left"/>
      <w:pPr>
        <w:ind w:left="0" w:firstLine="0"/>
      </w:pPr>
      <w:rPr>
        <w:rFonts w:hint="default"/>
      </w:rPr>
    </w:lvl>
    <w:lvl w:ilvl="5">
      <w:start w:val="1"/>
      <w:numFmt w:val="none"/>
      <w:pStyle w:val="ReportHeading6"/>
      <w:suff w:val="nothing"/>
      <w:lvlText w:val=""/>
      <w:lvlJc w:val="left"/>
      <w:pPr>
        <w:ind w:left="0" w:firstLine="0"/>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4" w15:restartNumberingAfterBreak="0">
    <w:nsid w:val="1C192BD7"/>
    <w:multiLevelType w:val="singleLevel"/>
    <w:tmpl w:val="1180BBB0"/>
    <w:lvl w:ilvl="0">
      <w:start w:val="1"/>
      <w:numFmt w:val="decimal"/>
      <w:lvlText w:val="%1."/>
      <w:lvlJc w:val="left"/>
      <w:pPr>
        <w:tabs>
          <w:tab w:val="num" w:pos="360"/>
        </w:tabs>
        <w:ind w:left="360" w:hanging="360"/>
      </w:pPr>
      <w:rPr>
        <w:sz w:val="22"/>
        <w:szCs w:val="22"/>
      </w:rPr>
    </w:lvl>
  </w:abstractNum>
  <w:abstractNum w:abstractNumId="5" w15:restartNumberingAfterBreak="0">
    <w:nsid w:val="26C21D3F"/>
    <w:multiLevelType w:val="hybridMultilevel"/>
    <w:tmpl w:val="656A2212"/>
    <w:lvl w:ilvl="0" w:tplc="B7F6E55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D5336"/>
    <w:multiLevelType w:val="hybridMultilevel"/>
    <w:tmpl w:val="E8D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9F40B3"/>
    <w:multiLevelType w:val="multilevel"/>
    <w:tmpl w:val="C62AAEC6"/>
    <w:styleLink w:val="ListNumbers"/>
    <w:lvl w:ilvl="0">
      <w:start w:val="1"/>
      <w:numFmt w:val="decimal"/>
      <w:pStyle w:val="ListNumber"/>
      <w:lvlText w:val="%1)"/>
      <w:lvlJc w:val="left"/>
      <w:pPr>
        <w:ind w:left="567" w:hanging="283"/>
      </w:pPr>
      <w:rPr>
        <w:rFonts w:hint="default"/>
      </w:rPr>
    </w:lvl>
    <w:lvl w:ilvl="1">
      <w:start w:val="1"/>
      <w:numFmt w:val="lowerLetter"/>
      <w:pStyle w:val="ListNumber2"/>
      <w:lvlText w:val="%2)"/>
      <w:lvlJc w:val="left"/>
      <w:pPr>
        <w:ind w:left="851" w:hanging="283"/>
      </w:pPr>
      <w:rPr>
        <w:rFonts w:hint="default"/>
      </w:rPr>
    </w:lvl>
    <w:lvl w:ilvl="2">
      <w:start w:val="1"/>
      <w:numFmt w:val="lowerRoman"/>
      <w:pStyle w:val="ListNumber3"/>
      <w:lvlText w:val="%3)"/>
      <w:lvlJc w:val="left"/>
      <w:pPr>
        <w:ind w:left="1135" w:hanging="283"/>
      </w:pPr>
      <w:rPr>
        <w:rFonts w:hint="default"/>
      </w:rPr>
    </w:lvl>
    <w:lvl w:ilvl="3">
      <w:start w:val="1"/>
      <w:numFmt w:val="none"/>
      <w:lvlText w:val=""/>
      <w:lvlJc w:val="left"/>
      <w:pPr>
        <w:ind w:left="1419" w:hanging="283"/>
      </w:pPr>
      <w:rPr>
        <w:rFonts w:hint="default"/>
      </w:rPr>
    </w:lvl>
    <w:lvl w:ilvl="4">
      <w:start w:val="1"/>
      <w:numFmt w:val="none"/>
      <w:lvlText w:val=""/>
      <w:lvlJc w:val="left"/>
      <w:pPr>
        <w:ind w:left="1703" w:hanging="283"/>
      </w:pPr>
      <w:rPr>
        <w:rFonts w:hint="default"/>
      </w:rPr>
    </w:lvl>
    <w:lvl w:ilvl="5">
      <w:start w:val="1"/>
      <w:numFmt w:val="none"/>
      <w:lvlText w:val=""/>
      <w:lvlJc w:val="left"/>
      <w:pPr>
        <w:ind w:left="1987" w:hanging="283"/>
      </w:pPr>
      <w:rPr>
        <w:rFonts w:hint="default"/>
      </w:rPr>
    </w:lvl>
    <w:lvl w:ilvl="6">
      <w:start w:val="1"/>
      <w:numFmt w:val="none"/>
      <w:lvlText w:val=""/>
      <w:lvlJc w:val="left"/>
      <w:pPr>
        <w:ind w:left="2271" w:hanging="283"/>
      </w:pPr>
      <w:rPr>
        <w:rFonts w:hint="default"/>
      </w:rPr>
    </w:lvl>
    <w:lvl w:ilvl="7">
      <w:start w:val="1"/>
      <w:numFmt w:val="none"/>
      <w:lvlText w:val=""/>
      <w:lvlJc w:val="left"/>
      <w:pPr>
        <w:ind w:left="2555" w:hanging="283"/>
      </w:pPr>
      <w:rPr>
        <w:rFonts w:hint="default"/>
      </w:rPr>
    </w:lvl>
    <w:lvl w:ilvl="8">
      <w:start w:val="1"/>
      <w:numFmt w:val="none"/>
      <w:lvlText w:val=""/>
      <w:lvlJc w:val="left"/>
      <w:pPr>
        <w:ind w:left="2839" w:hanging="283"/>
      </w:pPr>
      <w:rPr>
        <w:rFonts w:hint="default"/>
      </w:rPr>
    </w:lvl>
  </w:abstractNum>
  <w:abstractNum w:abstractNumId="8" w15:restartNumberingAfterBreak="0">
    <w:nsid w:val="3F236FD9"/>
    <w:multiLevelType w:val="multilevel"/>
    <w:tmpl w:val="1E6A1538"/>
    <w:lvl w:ilvl="0">
      <w:start w:val="1"/>
      <w:numFmt w:val="decimal"/>
      <w:pStyle w:val="Heading1"/>
      <w:lvlText w:val="%1"/>
      <w:lvlJc w:val="left"/>
      <w:pPr>
        <w:ind w:left="432" w:hanging="432"/>
      </w:pPr>
    </w:lvl>
    <w:lvl w:ilvl="1">
      <w:start w:val="1"/>
      <w:numFmt w:val="upperLetter"/>
      <w:pStyle w:val="Heading2"/>
      <w:lvlText w:val="%2."/>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708372B"/>
    <w:multiLevelType w:val="multilevel"/>
    <w:tmpl w:val="092054EE"/>
    <w:styleLink w:val="ListBullets"/>
    <w:lvl w:ilvl="0">
      <w:start w:val="1"/>
      <w:numFmt w:val="bullet"/>
      <w:pStyle w:val="ListBullet"/>
      <w:lvlText w:val=""/>
      <w:lvlJc w:val="left"/>
      <w:pPr>
        <w:ind w:left="567" w:hanging="283"/>
      </w:pPr>
      <w:rPr>
        <w:rFonts w:ascii="Symbol" w:hAnsi="Symbol" w:hint="default"/>
      </w:rPr>
    </w:lvl>
    <w:lvl w:ilvl="1">
      <w:start w:val="1"/>
      <w:numFmt w:val="bullet"/>
      <w:pStyle w:val="ListBullet2"/>
      <w:lvlText w:val="o"/>
      <w:lvlJc w:val="left"/>
      <w:pPr>
        <w:ind w:left="851" w:hanging="283"/>
      </w:pPr>
      <w:rPr>
        <w:rFonts w:ascii="Courier New" w:hAnsi="Courier New" w:hint="default"/>
      </w:rPr>
    </w:lvl>
    <w:lvl w:ilvl="2">
      <w:start w:val="1"/>
      <w:numFmt w:val="bullet"/>
      <w:pStyle w:val="ListBullet3"/>
      <w:lvlText w:val=""/>
      <w:lvlJc w:val="left"/>
      <w:pPr>
        <w:ind w:left="1135" w:hanging="283"/>
      </w:pPr>
      <w:rPr>
        <w:rFonts w:ascii="Wingdings" w:hAnsi="Wingdings" w:hint="default"/>
      </w:rPr>
    </w:lvl>
    <w:lvl w:ilvl="3">
      <w:start w:val="1"/>
      <w:numFmt w:val="bullet"/>
      <w:pStyle w:val="ListBullet4"/>
      <w:lvlText w:val=""/>
      <w:lvlJc w:val="left"/>
      <w:pPr>
        <w:ind w:left="1419" w:hanging="283"/>
      </w:pPr>
      <w:rPr>
        <w:rFonts w:ascii="Symbol" w:hAnsi="Symbol" w:hint="default"/>
      </w:rPr>
    </w:lvl>
    <w:lvl w:ilvl="4">
      <w:start w:val="1"/>
      <w:numFmt w:val="bullet"/>
      <w:pStyle w:val="ListBullet5"/>
      <w:lvlText w:val="o"/>
      <w:lvlJc w:val="left"/>
      <w:pPr>
        <w:ind w:left="1703" w:hanging="283"/>
      </w:pPr>
      <w:rPr>
        <w:rFonts w:ascii="Courier New" w:hAnsi="Courier New" w:hint="default"/>
      </w:rPr>
    </w:lvl>
    <w:lvl w:ilvl="5">
      <w:start w:val="1"/>
      <w:numFmt w:val="none"/>
      <w:lvlText w:val=""/>
      <w:lvlJc w:val="left"/>
      <w:pPr>
        <w:ind w:left="1987" w:hanging="286"/>
      </w:pPr>
      <w:rPr>
        <w:rFonts w:hint="default"/>
      </w:rPr>
    </w:lvl>
    <w:lvl w:ilvl="6">
      <w:start w:val="1"/>
      <w:numFmt w:val="none"/>
      <w:lvlText w:val="%7"/>
      <w:lvlJc w:val="left"/>
      <w:pPr>
        <w:ind w:left="2271" w:hanging="283"/>
      </w:pPr>
      <w:rPr>
        <w:rFonts w:hint="default"/>
      </w:rPr>
    </w:lvl>
    <w:lvl w:ilvl="7">
      <w:start w:val="1"/>
      <w:numFmt w:val="none"/>
      <w:lvlText w:val="%8"/>
      <w:lvlJc w:val="left"/>
      <w:pPr>
        <w:ind w:left="2555" w:hanging="283"/>
      </w:pPr>
      <w:rPr>
        <w:rFonts w:hint="default"/>
      </w:rPr>
    </w:lvl>
    <w:lvl w:ilvl="8">
      <w:start w:val="1"/>
      <w:numFmt w:val="none"/>
      <w:lvlText w:val="%9"/>
      <w:lvlJc w:val="left"/>
      <w:pPr>
        <w:ind w:left="2839" w:hanging="283"/>
      </w:pPr>
      <w:rPr>
        <w:rFonts w:hint="default"/>
      </w:rPr>
    </w:lvl>
  </w:abstractNum>
  <w:abstractNum w:abstractNumId="10" w15:restartNumberingAfterBreak="0">
    <w:nsid w:val="4F3C6DC3"/>
    <w:multiLevelType w:val="hybridMultilevel"/>
    <w:tmpl w:val="62A48C5E"/>
    <w:lvl w:ilvl="0" w:tplc="831EA7E4">
      <w:start w:val="1"/>
      <w:numFmt w:val="decimal"/>
      <w:lvlText w:val="%1."/>
      <w:lvlJc w:val="left"/>
      <w:pPr>
        <w:tabs>
          <w:tab w:val="num" w:pos="534"/>
        </w:tabs>
        <w:ind w:left="534" w:hanging="390"/>
      </w:pPr>
      <w:rPr>
        <w:rFonts w:hint="default"/>
      </w:rPr>
    </w:lvl>
    <w:lvl w:ilvl="1" w:tplc="6C462270">
      <w:start w:val="1"/>
      <w:numFmt w:val="lowerLetter"/>
      <w:lvlText w:val="%2."/>
      <w:lvlJc w:val="left"/>
      <w:pPr>
        <w:tabs>
          <w:tab w:val="num" w:pos="1224"/>
        </w:tabs>
        <w:ind w:left="1224" w:hanging="360"/>
      </w:pPr>
    </w:lvl>
    <w:lvl w:ilvl="2" w:tplc="A4FE48B2">
      <w:start w:val="1"/>
      <w:numFmt w:val="lowerRoman"/>
      <w:lvlText w:val="%3."/>
      <w:lvlJc w:val="right"/>
      <w:pPr>
        <w:tabs>
          <w:tab w:val="num" w:pos="1944"/>
        </w:tabs>
        <w:ind w:left="1944" w:hanging="180"/>
      </w:pPr>
    </w:lvl>
    <w:lvl w:ilvl="3" w:tplc="593A8482">
      <w:start w:val="1"/>
      <w:numFmt w:val="decimal"/>
      <w:lvlText w:val="%4."/>
      <w:lvlJc w:val="left"/>
      <w:pPr>
        <w:tabs>
          <w:tab w:val="num" w:pos="2664"/>
        </w:tabs>
        <w:ind w:left="2664" w:hanging="360"/>
      </w:pPr>
    </w:lvl>
    <w:lvl w:ilvl="4" w:tplc="E3D065F0">
      <w:start w:val="1"/>
      <w:numFmt w:val="lowerLetter"/>
      <w:lvlText w:val="%5."/>
      <w:lvlJc w:val="left"/>
      <w:pPr>
        <w:tabs>
          <w:tab w:val="num" w:pos="3384"/>
        </w:tabs>
        <w:ind w:left="3384" w:hanging="360"/>
      </w:pPr>
    </w:lvl>
    <w:lvl w:ilvl="5" w:tplc="12048B7C">
      <w:start w:val="1"/>
      <w:numFmt w:val="lowerRoman"/>
      <w:lvlText w:val="%6."/>
      <w:lvlJc w:val="right"/>
      <w:pPr>
        <w:tabs>
          <w:tab w:val="num" w:pos="4104"/>
        </w:tabs>
        <w:ind w:left="4104" w:hanging="180"/>
      </w:pPr>
    </w:lvl>
    <w:lvl w:ilvl="6" w:tplc="A442F12C">
      <w:start w:val="1"/>
      <w:numFmt w:val="decimal"/>
      <w:lvlText w:val="%7."/>
      <w:lvlJc w:val="left"/>
      <w:pPr>
        <w:tabs>
          <w:tab w:val="num" w:pos="4824"/>
        </w:tabs>
        <w:ind w:left="4824" w:hanging="360"/>
      </w:pPr>
    </w:lvl>
    <w:lvl w:ilvl="7" w:tplc="DF4C1C82">
      <w:start w:val="1"/>
      <w:numFmt w:val="lowerLetter"/>
      <w:lvlText w:val="%8."/>
      <w:lvlJc w:val="left"/>
      <w:pPr>
        <w:tabs>
          <w:tab w:val="num" w:pos="5544"/>
        </w:tabs>
        <w:ind w:left="5544" w:hanging="360"/>
      </w:pPr>
    </w:lvl>
    <w:lvl w:ilvl="8" w:tplc="1486DE90">
      <w:start w:val="1"/>
      <w:numFmt w:val="lowerRoman"/>
      <w:lvlText w:val="%9."/>
      <w:lvlJc w:val="right"/>
      <w:pPr>
        <w:tabs>
          <w:tab w:val="num" w:pos="6264"/>
        </w:tabs>
        <w:ind w:left="6264" w:hanging="180"/>
      </w:pPr>
    </w:lvl>
  </w:abstractNum>
  <w:abstractNum w:abstractNumId="11" w15:restartNumberingAfterBreak="0">
    <w:nsid w:val="53007789"/>
    <w:multiLevelType w:val="singleLevel"/>
    <w:tmpl w:val="9488CE46"/>
    <w:lvl w:ilvl="0">
      <w:start w:val="1"/>
      <w:numFmt w:val="decimal"/>
      <w:lvlText w:val="%1."/>
      <w:lvlJc w:val="left"/>
      <w:pPr>
        <w:tabs>
          <w:tab w:val="num" w:pos="360"/>
        </w:tabs>
        <w:ind w:left="360" w:hanging="360"/>
      </w:pPr>
      <w:rPr>
        <w:b w:val="0"/>
        <w:sz w:val="22"/>
        <w:szCs w:val="22"/>
      </w:rPr>
    </w:lvl>
  </w:abstractNum>
  <w:num w:numId="1" w16cid:durableId="42608580">
    <w:abstractNumId w:val="8"/>
  </w:num>
  <w:num w:numId="2" w16cid:durableId="1392583905">
    <w:abstractNumId w:val="9"/>
  </w:num>
  <w:num w:numId="3" w16cid:durableId="286858108">
    <w:abstractNumId w:val="7"/>
  </w:num>
  <w:num w:numId="4" w16cid:durableId="316108554">
    <w:abstractNumId w:val="3"/>
  </w:num>
  <w:num w:numId="5" w16cid:durableId="1057583484">
    <w:abstractNumId w:val="6"/>
  </w:num>
  <w:num w:numId="6" w16cid:durableId="2016348259">
    <w:abstractNumId w:val="5"/>
  </w:num>
  <w:num w:numId="7" w16cid:durableId="821387875">
    <w:abstractNumId w:val="1"/>
  </w:num>
  <w:num w:numId="8" w16cid:durableId="70742866">
    <w:abstractNumId w:val="2"/>
  </w:num>
  <w:num w:numId="9" w16cid:durableId="738095343">
    <w:abstractNumId w:val="11"/>
  </w:num>
  <w:num w:numId="10" w16cid:durableId="732049233">
    <w:abstractNumId w:val="4"/>
  </w:num>
  <w:num w:numId="11" w16cid:durableId="1732583200">
    <w:abstractNumId w:val="10"/>
  </w:num>
  <w:num w:numId="12" w16cid:durableId="553663030">
    <w:abstractNumId w:val="0"/>
  </w:num>
  <w:num w:numId="13" w16cid:durableId="3516149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80284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32309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1"/>
  <w:drawingGridVerticalSpacing w:val="181"/>
  <w:characterSpacingControl w:val="doNotCompress"/>
  <w:hdrShapeDefaults>
    <o:shapedefaults v:ext="edit" spidmax="2050"/>
  </w:hdrShapeDefaults>
  <w:footnotePr>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53"/>
    <w:rsid w:val="0000572E"/>
    <w:rsid w:val="00010673"/>
    <w:rsid w:val="00010BB2"/>
    <w:rsid w:val="00013367"/>
    <w:rsid w:val="00013FC5"/>
    <w:rsid w:val="00025E90"/>
    <w:rsid w:val="00026098"/>
    <w:rsid w:val="00030747"/>
    <w:rsid w:val="0003093A"/>
    <w:rsid w:val="0003213F"/>
    <w:rsid w:val="00032C7B"/>
    <w:rsid w:val="00035876"/>
    <w:rsid w:val="0004075A"/>
    <w:rsid w:val="00040B14"/>
    <w:rsid w:val="00041CE1"/>
    <w:rsid w:val="000427AC"/>
    <w:rsid w:val="00051962"/>
    <w:rsid w:val="0005242F"/>
    <w:rsid w:val="00057AE7"/>
    <w:rsid w:val="000604F1"/>
    <w:rsid w:val="00064B11"/>
    <w:rsid w:val="00064BC6"/>
    <w:rsid w:val="00064E4D"/>
    <w:rsid w:val="000718FD"/>
    <w:rsid w:val="00072624"/>
    <w:rsid w:val="00073487"/>
    <w:rsid w:val="00073FBD"/>
    <w:rsid w:val="0007648A"/>
    <w:rsid w:val="000776EC"/>
    <w:rsid w:val="000819FD"/>
    <w:rsid w:val="0008231C"/>
    <w:rsid w:val="00082711"/>
    <w:rsid w:val="00085AE7"/>
    <w:rsid w:val="0008657C"/>
    <w:rsid w:val="00086B95"/>
    <w:rsid w:val="00086E92"/>
    <w:rsid w:val="00097307"/>
    <w:rsid w:val="000A3FDE"/>
    <w:rsid w:val="000A6B54"/>
    <w:rsid w:val="000A7242"/>
    <w:rsid w:val="000B0DB0"/>
    <w:rsid w:val="000B322C"/>
    <w:rsid w:val="000B5E05"/>
    <w:rsid w:val="000C69A6"/>
    <w:rsid w:val="000C7631"/>
    <w:rsid w:val="000D1324"/>
    <w:rsid w:val="000D30FB"/>
    <w:rsid w:val="000D4C54"/>
    <w:rsid w:val="000E03C0"/>
    <w:rsid w:val="000F2983"/>
    <w:rsid w:val="00101928"/>
    <w:rsid w:val="0010557A"/>
    <w:rsid w:val="00106B63"/>
    <w:rsid w:val="001105CB"/>
    <w:rsid w:val="0011412C"/>
    <w:rsid w:val="00115D46"/>
    <w:rsid w:val="00121931"/>
    <w:rsid w:val="001223AA"/>
    <w:rsid w:val="00122516"/>
    <w:rsid w:val="00123AFD"/>
    <w:rsid w:val="00125BB6"/>
    <w:rsid w:val="00126AB8"/>
    <w:rsid w:val="00127046"/>
    <w:rsid w:val="00127F0E"/>
    <w:rsid w:val="0013244C"/>
    <w:rsid w:val="001331C1"/>
    <w:rsid w:val="00134B1C"/>
    <w:rsid w:val="00136811"/>
    <w:rsid w:val="00137260"/>
    <w:rsid w:val="001401DE"/>
    <w:rsid w:val="001420A0"/>
    <w:rsid w:val="001502EA"/>
    <w:rsid w:val="001558F8"/>
    <w:rsid w:val="00155D2D"/>
    <w:rsid w:val="00162C6F"/>
    <w:rsid w:val="001649D7"/>
    <w:rsid w:val="001650F5"/>
    <w:rsid w:val="00173126"/>
    <w:rsid w:val="00174110"/>
    <w:rsid w:val="00183071"/>
    <w:rsid w:val="00192DAE"/>
    <w:rsid w:val="00195AD8"/>
    <w:rsid w:val="00195C73"/>
    <w:rsid w:val="00196841"/>
    <w:rsid w:val="00197216"/>
    <w:rsid w:val="001A0E9D"/>
    <w:rsid w:val="001A160D"/>
    <w:rsid w:val="001A4E75"/>
    <w:rsid w:val="001B2A6E"/>
    <w:rsid w:val="001B7B5A"/>
    <w:rsid w:val="001C0713"/>
    <w:rsid w:val="001C138A"/>
    <w:rsid w:val="001C287C"/>
    <w:rsid w:val="001C3184"/>
    <w:rsid w:val="001C3C6F"/>
    <w:rsid w:val="001D077C"/>
    <w:rsid w:val="001D2777"/>
    <w:rsid w:val="001D3047"/>
    <w:rsid w:val="001E072D"/>
    <w:rsid w:val="001E6402"/>
    <w:rsid w:val="001E698E"/>
    <w:rsid w:val="00200942"/>
    <w:rsid w:val="00203497"/>
    <w:rsid w:val="0021029F"/>
    <w:rsid w:val="00210FCA"/>
    <w:rsid w:val="0021191D"/>
    <w:rsid w:val="00211CC0"/>
    <w:rsid w:val="00211FE6"/>
    <w:rsid w:val="00215CC9"/>
    <w:rsid w:val="002167D3"/>
    <w:rsid w:val="00224710"/>
    <w:rsid w:val="00224B44"/>
    <w:rsid w:val="00226FBE"/>
    <w:rsid w:val="00227927"/>
    <w:rsid w:val="00227DD9"/>
    <w:rsid w:val="00230CD4"/>
    <w:rsid w:val="0023231A"/>
    <w:rsid w:val="00233643"/>
    <w:rsid w:val="00235B49"/>
    <w:rsid w:val="00240FE6"/>
    <w:rsid w:val="002437D0"/>
    <w:rsid w:val="00246112"/>
    <w:rsid w:val="0025139A"/>
    <w:rsid w:val="00253966"/>
    <w:rsid w:val="00255815"/>
    <w:rsid w:val="00261D36"/>
    <w:rsid w:val="00262855"/>
    <w:rsid w:val="00264235"/>
    <w:rsid w:val="00267D74"/>
    <w:rsid w:val="0028120B"/>
    <w:rsid w:val="002935C3"/>
    <w:rsid w:val="00295077"/>
    <w:rsid w:val="002952BB"/>
    <w:rsid w:val="00297353"/>
    <w:rsid w:val="002A19DD"/>
    <w:rsid w:val="002A43D0"/>
    <w:rsid w:val="002A4C5B"/>
    <w:rsid w:val="002B4CCA"/>
    <w:rsid w:val="002C27D0"/>
    <w:rsid w:val="002C5769"/>
    <w:rsid w:val="002C7951"/>
    <w:rsid w:val="002D154C"/>
    <w:rsid w:val="002D2698"/>
    <w:rsid w:val="002D55AC"/>
    <w:rsid w:val="002E1E1A"/>
    <w:rsid w:val="002E2340"/>
    <w:rsid w:val="002E2BB0"/>
    <w:rsid w:val="002F04DD"/>
    <w:rsid w:val="002F48F2"/>
    <w:rsid w:val="00302ED1"/>
    <w:rsid w:val="00304EC2"/>
    <w:rsid w:val="00306369"/>
    <w:rsid w:val="00310689"/>
    <w:rsid w:val="003129B3"/>
    <w:rsid w:val="00313F95"/>
    <w:rsid w:val="00320A40"/>
    <w:rsid w:val="00321852"/>
    <w:rsid w:val="0032389F"/>
    <w:rsid w:val="003250D0"/>
    <w:rsid w:val="00325A5B"/>
    <w:rsid w:val="00327D98"/>
    <w:rsid w:val="0033133B"/>
    <w:rsid w:val="0033548B"/>
    <w:rsid w:val="0033552D"/>
    <w:rsid w:val="00336430"/>
    <w:rsid w:val="00336C03"/>
    <w:rsid w:val="003566C9"/>
    <w:rsid w:val="00357226"/>
    <w:rsid w:val="00363727"/>
    <w:rsid w:val="003650C3"/>
    <w:rsid w:val="00365159"/>
    <w:rsid w:val="00365827"/>
    <w:rsid w:val="00367357"/>
    <w:rsid w:val="00370777"/>
    <w:rsid w:val="003719EA"/>
    <w:rsid w:val="00371ED4"/>
    <w:rsid w:val="00373F02"/>
    <w:rsid w:val="0037439A"/>
    <w:rsid w:val="00376EFB"/>
    <w:rsid w:val="00380365"/>
    <w:rsid w:val="0038143E"/>
    <w:rsid w:val="0038661E"/>
    <w:rsid w:val="00387099"/>
    <w:rsid w:val="003940DE"/>
    <w:rsid w:val="003948CA"/>
    <w:rsid w:val="0039732F"/>
    <w:rsid w:val="003A1343"/>
    <w:rsid w:val="003A5141"/>
    <w:rsid w:val="003C4C0D"/>
    <w:rsid w:val="003C5DFA"/>
    <w:rsid w:val="003C73C5"/>
    <w:rsid w:val="003E0769"/>
    <w:rsid w:val="003E5AD5"/>
    <w:rsid w:val="003F02A7"/>
    <w:rsid w:val="003F1A54"/>
    <w:rsid w:val="003F54DD"/>
    <w:rsid w:val="00400EFF"/>
    <w:rsid w:val="0040183B"/>
    <w:rsid w:val="00407498"/>
    <w:rsid w:val="0041091F"/>
    <w:rsid w:val="00412B82"/>
    <w:rsid w:val="00413636"/>
    <w:rsid w:val="0042324C"/>
    <w:rsid w:val="0042399E"/>
    <w:rsid w:val="0042546D"/>
    <w:rsid w:val="00431162"/>
    <w:rsid w:val="004315E5"/>
    <w:rsid w:val="00433776"/>
    <w:rsid w:val="004361B7"/>
    <w:rsid w:val="00437C1A"/>
    <w:rsid w:val="00440763"/>
    <w:rsid w:val="0044091E"/>
    <w:rsid w:val="00441640"/>
    <w:rsid w:val="004429E4"/>
    <w:rsid w:val="0044330D"/>
    <w:rsid w:val="0044347E"/>
    <w:rsid w:val="0044494B"/>
    <w:rsid w:val="004461BF"/>
    <w:rsid w:val="0045043D"/>
    <w:rsid w:val="00450A6B"/>
    <w:rsid w:val="004550D4"/>
    <w:rsid w:val="00455C5A"/>
    <w:rsid w:val="00456AAA"/>
    <w:rsid w:val="00462472"/>
    <w:rsid w:val="00463795"/>
    <w:rsid w:val="00465AA6"/>
    <w:rsid w:val="004673C8"/>
    <w:rsid w:val="00474781"/>
    <w:rsid w:val="00481244"/>
    <w:rsid w:val="004814E3"/>
    <w:rsid w:val="00483BAC"/>
    <w:rsid w:val="00485DB6"/>
    <w:rsid w:val="00491DF5"/>
    <w:rsid w:val="00494FE4"/>
    <w:rsid w:val="004A626F"/>
    <w:rsid w:val="004A6A7B"/>
    <w:rsid w:val="004A6B60"/>
    <w:rsid w:val="004B5258"/>
    <w:rsid w:val="004B5DD3"/>
    <w:rsid w:val="004B7222"/>
    <w:rsid w:val="004B7FF7"/>
    <w:rsid w:val="004C0006"/>
    <w:rsid w:val="004C0221"/>
    <w:rsid w:val="004C49E0"/>
    <w:rsid w:val="004C79B4"/>
    <w:rsid w:val="004C7F72"/>
    <w:rsid w:val="004D4663"/>
    <w:rsid w:val="004D4FB7"/>
    <w:rsid w:val="004F3111"/>
    <w:rsid w:val="004F444E"/>
    <w:rsid w:val="004F5FD1"/>
    <w:rsid w:val="00500358"/>
    <w:rsid w:val="005036F0"/>
    <w:rsid w:val="005044F4"/>
    <w:rsid w:val="005110C1"/>
    <w:rsid w:val="0051225B"/>
    <w:rsid w:val="005160D9"/>
    <w:rsid w:val="00523C52"/>
    <w:rsid w:val="00532005"/>
    <w:rsid w:val="00533D38"/>
    <w:rsid w:val="005344DB"/>
    <w:rsid w:val="005376BB"/>
    <w:rsid w:val="00540816"/>
    <w:rsid w:val="00540E75"/>
    <w:rsid w:val="00542641"/>
    <w:rsid w:val="00542857"/>
    <w:rsid w:val="00542A5A"/>
    <w:rsid w:val="005434BE"/>
    <w:rsid w:val="00544450"/>
    <w:rsid w:val="0054702D"/>
    <w:rsid w:val="00555FD1"/>
    <w:rsid w:val="00556B19"/>
    <w:rsid w:val="00560B00"/>
    <w:rsid w:val="00561447"/>
    <w:rsid w:val="00567938"/>
    <w:rsid w:val="00570CA3"/>
    <w:rsid w:val="00571086"/>
    <w:rsid w:val="00571C34"/>
    <w:rsid w:val="00576A13"/>
    <w:rsid w:val="00591105"/>
    <w:rsid w:val="00592DE9"/>
    <w:rsid w:val="00593514"/>
    <w:rsid w:val="0059478A"/>
    <w:rsid w:val="005A08D2"/>
    <w:rsid w:val="005A0ED7"/>
    <w:rsid w:val="005A468C"/>
    <w:rsid w:val="005B2F03"/>
    <w:rsid w:val="005B3879"/>
    <w:rsid w:val="005B4FB8"/>
    <w:rsid w:val="005B551F"/>
    <w:rsid w:val="005C123C"/>
    <w:rsid w:val="005D172E"/>
    <w:rsid w:val="005D26A4"/>
    <w:rsid w:val="005D340B"/>
    <w:rsid w:val="005E0DA7"/>
    <w:rsid w:val="005E25C4"/>
    <w:rsid w:val="005E34CA"/>
    <w:rsid w:val="005F0373"/>
    <w:rsid w:val="005F2312"/>
    <w:rsid w:val="005F2FD7"/>
    <w:rsid w:val="005F55F5"/>
    <w:rsid w:val="005F7098"/>
    <w:rsid w:val="00602244"/>
    <w:rsid w:val="00602EB4"/>
    <w:rsid w:val="00602EF4"/>
    <w:rsid w:val="00604B2F"/>
    <w:rsid w:val="00612071"/>
    <w:rsid w:val="0061457A"/>
    <w:rsid w:val="00614D6C"/>
    <w:rsid w:val="00620DAA"/>
    <w:rsid w:val="00625CF2"/>
    <w:rsid w:val="006274B8"/>
    <w:rsid w:val="006308B5"/>
    <w:rsid w:val="00632CE8"/>
    <w:rsid w:val="006331DF"/>
    <w:rsid w:val="006404AF"/>
    <w:rsid w:val="00654147"/>
    <w:rsid w:val="00655533"/>
    <w:rsid w:val="00664225"/>
    <w:rsid w:val="0066557B"/>
    <w:rsid w:val="00666EA1"/>
    <w:rsid w:val="006806BF"/>
    <w:rsid w:val="00680819"/>
    <w:rsid w:val="006811B0"/>
    <w:rsid w:val="0068298D"/>
    <w:rsid w:val="00686276"/>
    <w:rsid w:val="00686DBA"/>
    <w:rsid w:val="00686FB6"/>
    <w:rsid w:val="00695A11"/>
    <w:rsid w:val="00695F99"/>
    <w:rsid w:val="006A0661"/>
    <w:rsid w:val="006A1C9B"/>
    <w:rsid w:val="006A24A5"/>
    <w:rsid w:val="006A3291"/>
    <w:rsid w:val="006A7DE0"/>
    <w:rsid w:val="006B15DA"/>
    <w:rsid w:val="006B587E"/>
    <w:rsid w:val="006C1A47"/>
    <w:rsid w:val="006C3284"/>
    <w:rsid w:val="006C58E4"/>
    <w:rsid w:val="006C68B7"/>
    <w:rsid w:val="006D671B"/>
    <w:rsid w:val="006E1C89"/>
    <w:rsid w:val="006E4754"/>
    <w:rsid w:val="006F0B9E"/>
    <w:rsid w:val="006F39CE"/>
    <w:rsid w:val="006F550A"/>
    <w:rsid w:val="006F5C79"/>
    <w:rsid w:val="006F6D5D"/>
    <w:rsid w:val="006F7049"/>
    <w:rsid w:val="007145D1"/>
    <w:rsid w:val="00715DA0"/>
    <w:rsid w:val="00722463"/>
    <w:rsid w:val="00733AED"/>
    <w:rsid w:val="00737FA9"/>
    <w:rsid w:val="007424B2"/>
    <w:rsid w:val="0074256D"/>
    <w:rsid w:val="0074323C"/>
    <w:rsid w:val="00745719"/>
    <w:rsid w:val="007542FA"/>
    <w:rsid w:val="00754F0F"/>
    <w:rsid w:val="00755DFE"/>
    <w:rsid w:val="00757E04"/>
    <w:rsid w:val="00762873"/>
    <w:rsid w:val="007629D8"/>
    <w:rsid w:val="007633A8"/>
    <w:rsid w:val="00764368"/>
    <w:rsid w:val="00770FEE"/>
    <w:rsid w:val="00772051"/>
    <w:rsid w:val="00772D7F"/>
    <w:rsid w:val="0077654D"/>
    <w:rsid w:val="00781DC9"/>
    <w:rsid w:val="00784AFA"/>
    <w:rsid w:val="00786037"/>
    <w:rsid w:val="00793088"/>
    <w:rsid w:val="00793C90"/>
    <w:rsid w:val="007974A8"/>
    <w:rsid w:val="007A194F"/>
    <w:rsid w:val="007A23E8"/>
    <w:rsid w:val="007A2BF6"/>
    <w:rsid w:val="007A2E6C"/>
    <w:rsid w:val="007A435C"/>
    <w:rsid w:val="007A5FDA"/>
    <w:rsid w:val="007A6BDC"/>
    <w:rsid w:val="007B0F9C"/>
    <w:rsid w:val="007B382F"/>
    <w:rsid w:val="007B4D49"/>
    <w:rsid w:val="007B67B8"/>
    <w:rsid w:val="007C4B50"/>
    <w:rsid w:val="007C4D7D"/>
    <w:rsid w:val="007C5064"/>
    <w:rsid w:val="007D2BF5"/>
    <w:rsid w:val="007D4581"/>
    <w:rsid w:val="007D4FA5"/>
    <w:rsid w:val="007E4B93"/>
    <w:rsid w:val="007E505F"/>
    <w:rsid w:val="007F637A"/>
    <w:rsid w:val="007F63FC"/>
    <w:rsid w:val="00801EDB"/>
    <w:rsid w:val="0080385B"/>
    <w:rsid w:val="00804052"/>
    <w:rsid w:val="008142B2"/>
    <w:rsid w:val="00814AAF"/>
    <w:rsid w:val="008153BD"/>
    <w:rsid w:val="00816691"/>
    <w:rsid w:val="00817B6C"/>
    <w:rsid w:val="00822551"/>
    <w:rsid w:val="00823480"/>
    <w:rsid w:val="0083035E"/>
    <w:rsid w:val="008306B9"/>
    <w:rsid w:val="00830959"/>
    <w:rsid w:val="0083250E"/>
    <w:rsid w:val="0083278E"/>
    <w:rsid w:val="00833857"/>
    <w:rsid w:val="008365E2"/>
    <w:rsid w:val="00837BE9"/>
    <w:rsid w:val="008424FD"/>
    <w:rsid w:val="0084531A"/>
    <w:rsid w:val="00850710"/>
    <w:rsid w:val="00852833"/>
    <w:rsid w:val="00854A01"/>
    <w:rsid w:val="00856B53"/>
    <w:rsid w:val="008667BC"/>
    <w:rsid w:val="00870F79"/>
    <w:rsid w:val="00872CF6"/>
    <w:rsid w:val="00877DA0"/>
    <w:rsid w:val="0088083B"/>
    <w:rsid w:val="00883B0F"/>
    <w:rsid w:val="008850AA"/>
    <w:rsid w:val="00893577"/>
    <w:rsid w:val="00895E04"/>
    <w:rsid w:val="008962F6"/>
    <w:rsid w:val="008A1EF0"/>
    <w:rsid w:val="008A3B23"/>
    <w:rsid w:val="008A5E15"/>
    <w:rsid w:val="008B06C2"/>
    <w:rsid w:val="008B40CB"/>
    <w:rsid w:val="008B4206"/>
    <w:rsid w:val="008B5D0A"/>
    <w:rsid w:val="008C1F8A"/>
    <w:rsid w:val="008C51D9"/>
    <w:rsid w:val="008C64FF"/>
    <w:rsid w:val="008C7299"/>
    <w:rsid w:val="008D2A45"/>
    <w:rsid w:val="008D71D9"/>
    <w:rsid w:val="008D7C26"/>
    <w:rsid w:val="008E6613"/>
    <w:rsid w:val="008F1339"/>
    <w:rsid w:val="008F6140"/>
    <w:rsid w:val="0090148E"/>
    <w:rsid w:val="00902608"/>
    <w:rsid w:val="00903CBF"/>
    <w:rsid w:val="00904231"/>
    <w:rsid w:val="00906F79"/>
    <w:rsid w:val="009119DA"/>
    <w:rsid w:val="00911DD8"/>
    <w:rsid w:val="00915D8E"/>
    <w:rsid w:val="00922068"/>
    <w:rsid w:val="00922E0C"/>
    <w:rsid w:val="0092660C"/>
    <w:rsid w:val="00930DB9"/>
    <w:rsid w:val="00937177"/>
    <w:rsid w:val="009407A2"/>
    <w:rsid w:val="0094797D"/>
    <w:rsid w:val="009546AB"/>
    <w:rsid w:val="009639CC"/>
    <w:rsid w:val="00965652"/>
    <w:rsid w:val="00966229"/>
    <w:rsid w:val="00967082"/>
    <w:rsid w:val="00990869"/>
    <w:rsid w:val="0099510D"/>
    <w:rsid w:val="009A10B9"/>
    <w:rsid w:val="009A682E"/>
    <w:rsid w:val="009B7A82"/>
    <w:rsid w:val="009C1E26"/>
    <w:rsid w:val="009C5D40"/>
    <w:rsid w:val="009C66CE"/>
    <w:rsid w:val="009D1C76"/>
    <w:rsid w:val="009D1DF8"/>
    <w:rsid w:val="009D2F4A"/>
    <w:rsid w:val="009D794B"/>
    <w:rsid w:val="009F595B"/>
    <w:rsid w:val="00A000DD"/>
    <w:rsid w:val="00A0078A"/>
    <w:rsid w:val="00A01A64"/>
    <w:rsid w:val="00A030A6"/>
    <w:rsid w:val="00A03E68"/>
    <w:rsid w:val="00A06838"/>
    <w:rsid w:val="00A139A6"/>
    <w:rsid w:val="00A20540"/>
    <w:rsid w:val="00A237DB"/>
    <w:rsid w:val="00A25444"/>
    <w:rsid w:val="00A339EE"/>
    <w:rsid w:val="00A3435B"/>
    <w:rsid w:val="00A34A0D"/>
    <w:rsid w:val="00A35CCE"/>
    <w:rsid w:val="00A36816"/>
    <w:rsid w:val="00A40B26"/>
    <w:rsid w:val="00A45152"/>
    <w:rsid w:val="00A458F5"/>
    <w:rsid w:val="00A5103D"/>
    <w:rsid w:val="00A630AA"/>
    <w:rsid w:val="00A63718"/>
    <w:rsid w:val="00A66A49"/>
    <w:rsid w:val="00A66BEB"/>
    <w:rsid w:val="00A77008"/>
    <w:rsid w:val="00A77F58"/>
    <w:rsid w:val="00A82D37"/>
    <w:rsid w:val="00A85025"/>
    <w:rsid w:val="00A86F8F"/>
    <w:rsid w:val="00A940B2"/>
    <w:rsid w:val="00AA1DF4"/>
    <w:rsid w:val="00AA6188"/>
    <w:rsid w:val="00AC02B8"/>
    <w:rsid w:val="00AC034C"/>
    <w:rsid w:val="00AC66EC"/>
    <w:rsid w:val="00AD1391"/>
    <w:rsid w:val="00AD78BC"/>
    <w:rsid w:val="00AE758F"/>
    <w:rsid w:val="00AF0522"/>
    <w:rsid w:val="00B00D5B"/>
    <w:rsid w:val="00B02F41"/>
    <w:rsid w:val="00B0784C"/>
    <w:rsid w:val="00B1226B"/>
    <w:rsid w:val="00B13B86"/>
    <w:rsid w:val="00B14608"/>
    <w:rsid w:val="00B1573E"/>
    <w:rsid w:val="00B20D28"/>
    <w:rsid w:val="00B221B5"/>
    <w:rsid w:val="00B23093"/>
    <w:rsid w:val="00B24D82"/>
    <w:rsid w:val="00B306E3"/>
    <w:rsid w:val="00B30C90"/>
    <w:rsid w:val="00B32D70"/>
    <w:rsid w:val="00B3609C"/>
    <w:rsid w:val="00B50413"/>
    <w:rsid w:val="00B57FC6"/>
    <w:rsid w:val="00B62837"/>
    <w:rsid w:val="00B630E2"/>
    <w:rsid w:val="00B644C8"/>
    <w:rsid w:val="00B66E54"/>
    <w:rsid w:val="00B71BFC"/>
    <w:rsid w:val="00B75378"/>
    <w:rsid w:val="00B76441"/>
    <w:rsid w:val="00B824FD"/>
    <w:rsid w:val="00B9206E"/>
    <w:rsid w:val="00B97A52"/>
    <w:rsid w:val="00BA0D57"/>
    <w:rsid w:val="00BA74DF"/>
    <w:rsid w:val="00BB011C"/>
    <w:rsid w:val="00BB36D0"/>
    <w:rsid w:val="00BB408B"/>
    <w:rsid w:val="00BB43E9"/>
    <w:rsid w:val="00BC564F"/>
    <w:rsid w:val="00BD187B"/>
    <w:rsid w:val="00BD4E0A"/>
    <w:rsid w:val="00BD75F9"/>
    <w:rsid w:val="00BE03D5"/>
    <w:rsid w:val="00BF01FE"/>
    <w:rsid w:val="00BF3718"/>
    <w:rsid w:val="00BF62A6"/>
    <w:rsid w:val="00BF68B6"/>
    <w:rsid w:val="00BF7BA9"/>
    <w:rsid w:val="00C0148E"/>
    <w:rsid w:val="00C040C7"/>
    <w:rsid w:val="00C04A9F"/>
    <w:rsid w:val="00C132C7"/>
    <w:rsid w:val="00C1571A"/>
    <w:rsid w:val="00C24315"/>
    <w:rsid w:val="00C24B81"/>
    <w:rsid w:val="00C251AC"/>
    <w:rsid w:val="00C2648F"/>
    <w:rsid w:val="00C27844"/>
    <w:rsid w:val="00C33BB0"/>
    <w:rsid w:val="00C36139"/>
    <w:rsid w:val="00C43B5D"/>
    <w:rsid w:val="00C43D44"/>
    <w:rsid w:val="00C44C11"/>
    <w:rsid w:val="00C45A15"/>
    <w:rsid w:val="00C510C5"/>
    <w:rsid w:val="00C559EB"/>
    <w:rsid w:val="00C56C94"/>
    <w:rsid w:val="00C578A4"/>
    <w:rsid w:val="00C61BEF"/>
    <w:rsid w:val="00C77C88"/>
    <w:rsid w:val="00C863AD"/>
    <w:rsid w:val="00C929BB"/>
    <w:rsid w:val="00C94007"/>
    <w:rsid w:val="00C9435E"/>
    <w:rsid w:val="00CA50A7"/>
    <w:rsid w:val="00CA635D"/>
    <w:rsid w:val="00CA7C32"/>
    <w:rsid w:val="00CB41B8"/>
    <w:rsid w:val="00CB5905"/>
    <w:rsid w:val="00CB5E92"/>
    <w:rsid w:val="00CB62CE"/>
    <w:rsid w:val="00CC0497"/>
    <w:rsid w:val="00CC0BCE"/>
    <w:rsid w:val="00CC212A"/>
    <w:rsid w:val="00CC2D79"/>
    <w:rsid w:val="00CC34C1"/>
    <w:rsid w:val="00CC5FD9"/>
    <w:rsid w:val="00CD0B9D"/>
    <w:rsid w:val="00CD44E2"/>
    <w:rsid w:val="00CD4E83"/>
    <w:rsid w:val="00CD5432"/>
    <w:rsid w:val="00CD65D5"/>
    <w:rsid w:val="00CE0EE7"/>
    <w:rsid w:val="00CE3EA1"/>
    <w:rsid w:val="00CE3FAD"/>
    <w:rsid w:val="00CE7508"/>
    <w:rsid w:val="00CF04B0"/>
    <w:rsid w:val="00CF198F"/>
    <w:rsid w:val="00CF26EF"/>
    <w:rsid w:val="00CF2D32"/>
    <w:rsid w:val="00D010D2"/>
    <w:rsid w:val="00D0322A"/>
    <w:rsid w:val="00D07C7A"/>
    <w:rsid w:val="00D1085A"/>
    <w:rsid w:val="00D133FD"/>
    <w:rsid w:val="00D14C23"/>
    <w:rsid w:val="00D15EC8"/>
    <w:rsid w:val="00D20D7E"/>
    <w:rsid w:val="00D22B16"/>
    <w:rsid w:val="00D24C2A"/>
    <w:rsid w:val="00D270A2"/>
    <w:rsid w:val="00D41B45"/>
    <w:rsid w:val="00D42D64"/>
    <w:rsid w:val="00D44566"/>
    <w:rsid w:val="00D44767"/>
    <w:rsid w:val="00D44BD0"/>
    <w:rsid w:val="00D46B50"/>
    <w:rsid w:val="00D507C5"/>
    <w:rsid w:val="00D51070"/>
    <w:rsid w:val="00D53FF1"/>
    <w:rsid w:val="00D57B89"/>
    <w:rsid w:val="00D62A47"/>
    <w:rsid w:val="00D65D67"/>
    <w:rsid w:val="00D665EA"/>
    <w:rsid w:val="00D747B7"/>
    <w:rsid w:val="00D75E8A"/>
    <w:rsid w:val="00D76124"/>
    <w:rsid w:val="00D77314"/>
    <w:rsid w:val="00D80745"/>
    <w:rsid w:val="00D830E9"/>
    <w:rsid w:val="00D831A5"/>
    <w:rsid w:val="00D83E3D"/>
    <w:rsid w:val="00D8445B"/>
    <w:rsid w:val="00D9230B"/>
    <w:rsid w:val="00D93CC9"/>
    <w:rsid w:val="00D93D3C"/>
    <w:rsid w:val="00DA0280"/>
    <w:rsid w:val="00DA6B72"/>
    <w:rsid w:val="00DA7390"/>
    <w:rsid w:val="00DB0129"/>
    <w:rsid w:val="00DB2A55"/>
    <w:rsid w:val="00DB2CAD"/>
    <w:rsid w:val="00DB5652"/>
    <w:rsid w:val="00DB6102"/>
    <w:rsid w:val="00DC40EE"/>
    <w:rsid w:val="00DC5B02"/>
    <w:rsid w:val="00DC6B0E"/>
    <w:rsid w:val="00DC7C2A"/>
    <w:rsid w:val="00DD3505"/>
    <w:rsid w:val="00DE3C41"/>
    <w:rsid w:val="00DF0D6A"/>
    <w:rsid w:val="00DF1A23"/>
    <w:rsid w:val="00DF3C38"/>
    <w:rsid w:val="00DF3C86"/>
    <w:rsid w:val="00E03581"/>
    <w:rsid w:val="00E1482F"/>
    <w:rsid w:val="00E15632"/>
    <w:rsid w:val="00E2081C"/>
    <w:rsid w:val="00E214B9"/>
    <w:rsid w:val="00E22B0E"/>
    <w:rsid w:val="00E22D03"/>
    <w:rsid w:val="00E24050"/>
    <w:rsid w:val="00E245B8"/>
    <w:rsid w:val="00E253FF"/>
    <w:rsid w:val="00E342DA"/>
    <w:rsid w:val="00E40FA7"/>
    <w:rsid w:val="00E41744"/>
    <w:rsid w:val="00E506C9"/>
    <w:rsid w:val="00E5091B"/>
    <w:rsid w:val="00E52B20"/>
    <w:rsid w:val="00E53615"/>
    <w:rsid w:val="00E56382"/>
    <w:rsid w:val="00E600F7"/>
    <w:rsid w:val="00E602CB"/>
    <w:rsid w:val="00E62EC8"/>
    <w:rsid w:val="00E647FA"/>
    <w:rsid w:val="00E67A18"/>
    <w:rsid w:val="00E70A99"/>
    <w:rsid w:val="00E71DF0"/>
    <w:rsid w:val="00E7362B"/>
    <w:rsid w:val="00E7453A"/>
    <w:rsid w:val="00E75372"/>
    <w:rsid w:val="00E823AF"/>
    <w:rsid w:val="00E833DA"/>
    <w:rsid w:val="00E84973"/>
    <w:rsid w:val="00EA00A4"/>
    <w:rsid w:val="00EA0921"/>
    <w:rsid w:val="00EA0DFA"/>
    <w:rsid w:val="00EA2572"/>
    <w:rsid w:val="00EA3680"/>
    <w:rsid w:val="00EA7F3F"/>
    <w:rsid w:val="00EB43AE"/>
    <w:rsid w:val="00EC00A4"/>
    <w:rsid w:val="00EC712F"/>
    <w:rsid w:val="00ED4819"/>
    <w:rsid w:val="00ED492D"/>
    <w:rsid w:val="00ED5B2E"/>
    <w:rsid w:val="00ED7A54"/>
    <w:rsid w:val="00EE13FE"/>
    <w:rsid w:val="00EE1482"/>
    <w:rsid w:val="00EE6750"/>
    <w:rsid w:val="00EE79AB"/>
    <w:rsid w:val="00EF2C66"/>
    <w:rsid w:val="00EF451B"/>
    <w:rsid w:val="00EF594D"/>
    <w:rsid w:val="00EF7832"/>
    <w:rsid w:val="00EF7C8F"/>
    <w:rsid w:val="00F05C65"/>
    <w:rsid w:val="00F068B7"/>
    <w:rsid w:val="00F1003C"/>
    <w:rsid w:val="00F10905"/>
    <w:rsid w:val="00F12092"/>
    <w:rsid w:val="00F123CC"/>
    <w:rsid w:val="00F151DD"/>
    <w:rsid w:val="00F167E2"/>
    <w:rsid w:val="00F176E3"/>
    <w:rsid w:val="00F20D98"/>
    <w:rsid w:val="00F21946"/>
    <w:rsid w:val="00F2676C"/>
    <w:rsid w:val="00F270CF"/>
    <w:rsid w:val="00F3154A"/>
    <w:rsid w:val="00F32652"/>
    <w:rsid w:val="00F3383C"/>
    <w:rsid w:val="00F3487F"/>
    <w:rsid w:val="00F45003"/>
    <w:rsid w:val="00F463CB"/>
    <w:rsid w:val="00F50D64"/>
    <w:rsid w:val="00F5262B"/>
    <w:rsid w:val="00F6177F"/>
    <w:rsid w:val="00F6445F"/>
    <w:rsid w:val="00F660DE"/>
    <w:rsid w:val="00F7358C"/>
    <w:rsid w:val="00F73AF3"/>
    <w:rsid w:val="00F73D41"/>
    <w:rsid w:val="00F766B0"/>
    <w:rsid w:val="00F7781A"/>
    <w:rsid w:val="00F900F1"/>
    <w:rsid w:val="00F93C9D"/>
    <w:rsid w:val="00F97BB5"/>
    <w:rsid w:val="00FA69D9"/>
    <w:rsid w:val="00FB29AA"/>
    <w:rsid w:val="00FB74FC"/>
    <w:rsid w:val="00FC05EF"/>
    <w:rsid w:val="00FC07E2"/>
    <w:rsid w:val="00FC2C3B"/>
    <w:rsid w:val="00FC6C05"/>
    <w:rsid w:val="00FC6E27"/>
    <w:rsid w:val="00FD4EF3"/>
    <w:rsid w:val="00FD538B"/>
    <w:rsid w:val="00FE30AC"/>
    <w:rsid w:val="00FE44A1"/>
    <w:rsid w:val="00FE5B78"/>
    <w:rsid w:val="00FE69EE"/>
    <w:rsid w:val="00FF1170"/>
    <w:rsid w:val="00FF12A0"/>
    <w:rsid w:val="00FF26CB"/>
    <w:rsid w:val="00FF7C56"/>
    <w:rsid w:val="01102373"/>
    <w:rsid w:val="02ABF3D4"/>
    <w:rsid w:val="091B3558"/>
    <w:rsid w:val="0D09DAE3"/>
    <w:rsid w:val="0DEA80D3"/>
    <w:rsid w:val="11819FE0"/>
    <w:rsid w:val="166424ED"/>
    <w:rsid w:val="1F8EE4C4"/>
    <w:rsid w:val="207B353C"/>
    <w:rsid w:val="21DFF6D9"/>
    <w:rsid w:val="289D77AB"/>
    <w:rsid w:val="2AB7D74F"/>
    <w:rsid w:val="2AB8EA19"/>
    <w:rsid w:val="2B53AD48"/>
    <w:rsid w:val="2BE6079B"/>
    <w:rsid w:val="323516ED"/>
    <w:rsid w:val="3C39E1A8"/>
    <w:rsid w:val="3D104386"/>
    <w:rsid w:val="3D1E7660"/>
    <w:rsid w:val="4190B0D5"/>
    <w:rsid w:val="41D5D14B"/>
    <w:rsid w:val="42DE4A03"/>
    <w:rsid w:val="45658D74"/>
    <w:rsid w:val="48CC8638"/>
    <w:rsid w:val="4B774724"/>
    <w:rsid w:val="51A7328B"/>
    <w:rsid w:val="521FE615"/>
    <w:rsid w:val="527BD9B3"/>
    <w:rsid w:val="5803E524"/>
    <w:rsid w:val="5B0A7FA3"/>
    <w:rsid w:val="6361143C"/>
    <w:rsid w:val="6391FC15"/>
    <w:rsid w:val="6E650F7F"/>
    <w:rsid w:val="7554459B"/>
    <w:rsid w:val="76474067"/>
    <w:rsid w:val="770BE770"/>
    <w:rsid w:val="78114E9A"/>
    <w:rsid w:val="7DC9F01B"/>
    <w:rsid w:val="7DD325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FB437"/>
  <w15:docId w15:val="{C6D4D458-0683-4A55-BED2-4754937F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8"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ssessment_Normal"/>
    <w:rsid w:val="00C27844"/>
    <w:pPr>
      <w:spacing w:after="120" w:line="240" w:lineRule="auto"/>
    </w:pPr>
    <w:rPr>
      <w:rFonts w:ascii="Calibri" w:eastAsia="Times New Roman" w:hAnsi="Calibri" w:cs="Times New Roman"/>
      <w:sz w:val="20"/>
      <w:szCs w:val="20"/>
    </w:rPr>
  </w:style>
  <w:style w:type="paragraph" w:styleId="Heading1">
    <w:name w:val="heading 1"/>
    <w:basedOn w:val="Normal"/>
    <w:next w:val="Normal"/>
    <w:link w:val="Heading1Char"/>
    <w:uiPriority w:val="9"/>
    <w:semiHidden/>
    <w:rsid w:val="007145D1"/>
    <w:pPr>
      <w:keepNext/>
      <w:keepLines/>
      <w:numPr>
        <w:numId w:val="1"/>
      </w:numPr>
      <w:spacing w:before="480" w:after="240" w:line="276" w:lineRule="auto"/>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rsid w:val="007145D1"/>
    <w:pPr>
      <w:keepNext/>
      <w:keepLines/>
      <w:numPr>
        <w:ilvl w:val="1"/>
        <w:numId w:val="1"/>
      </w:numPr>
      <w:spacing w:before="180" w:after="0" w:line="276" w:lineRule="auto"/>
      <w:outlineLvl w:val="1"/>
    </w:pPr>
    <w:rPr>
      <w:rFonts w:eastAsiaTheme="majorEastAsia" w:cstheme="majorBidi"/>
      <w:b/>
      <w:bCs/>
      <w:sz w:val="24"/>
      <w:szCs w:val="26"/>
    </w:rPr>
  </w:style>
  <w:style w:type="paragraph" w:styleId="Heading3">
    <w:name w:val="heading 3"/>
    <w:basedOn w:val="Normal"/>
    <w:next w:val="Normal"/>
    <w:link w:val="Heading3Char"/>
    <w:uiPriority w:val="9"/>
    <w:semiHidden/>
    <w:rsid w:val="007145D1"/>
    <w:pPr>
      <w:keepNext/>
      <w:keepLines/>
      <w:numPr>
        <w:ilvl w:val="2"/>
        <w:numId w:val="1"/>
      </w:numPr>
      <w:spacing w:before="200" w:after="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rsid w:val="007145D1"/>
    <w:pPr>
      <w:keepNext/>
      <w:keepLines/>
      <w:numPr>
        <w:ilvl w:val="3"/>
        <w:numId w:val="1"/>
      </w:numPr>
      <w:spacing w:before="200" w:after="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rsid w:val="007145D1"/>
    <w:pPr>
      <w:keepNext/>
      <w:keepLines/>
      <w:numPr>
        <w:ilvl w:val="4"/>
        <w:numId w:val="1"/>
      </w:numPr>
      <w:spacing w:before="200" w:after="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qFormat/>
    <w:rsid w:val="007145D1"/>
    <w:pPr>
      <w:keepNext/>
      <w:keepLines/>
      <w:numPr>
        <w:ilvl w:val="5"/>
        <w:numId w:val="1"/>
      </w:numPr>
      <w:spacing w:before="200" w:after="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qFormat/>
    <w:rsid w:val="007145D1"/>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qFormat/>
    <w:rsid w:val="007145D1"/>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7145D1"/>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145D1"/>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145D1"/>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semiHidden/>
    <w:rsid w:val="007145D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145D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145D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145D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145D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145D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145D1"/>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semiHidden/>
    <w:unhideWhenUsed/>
    <w:rsid w:val="007145D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semiHidden/>
    <w:rsid w:val="007145D1"/>
    <w:rPr>
      <w:rFonts w:eastAsiaTheme="minorEastAsia"/>
      <w:lang w:val="en-US" w:eastAsia="ja-JP"/>
    </w:rPr>
  </w:style>
  <w:style w:type="paragraph" w:styleId="BalloonText">
    <w:name w:val="Balloon Text"/>
    <w:basedOn w:val="Normal"/>
    <w:link w:val="BalloonTextChar"/>
    <w:uiPriority w:val="99"/>
    <w:semiHidden/>
    <w:unhideWhenUsed/>
    <w:rsid w:val="007145D1"/>
    <w:pPr>
      <w:spacing w:before="180" w:after="0" w:line="276"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145D1"/>
    <w:rPr>
      <w:rFonts w:ascii="Tahoma" w:hAnsi="Tahoma" w:cs="Tahoma"/>
      <w:sz w:val="16"/>
      <w:szCs w:val="16"/>
    </w:rPr>
  </w:style>
  <w:style w:type="paragraph" w:styleId="Header">
    <w:name w:val="header"/>
    <w:basedOn w:val="Normal"/>
    <w:link w:val="HeaderChar"/>
    <w:uiPriority w:val="9"/>
    <w:unhideWhenUsed/>
    <w:rsid w:val="007145D1"/>
    <w:pPr>
      <w:tabs>
        <w:tab w:val="center" w:pos="4513"/>
        <w:tab w:val="right" w:pos="9026"/>
      </w:tabs>
      <w:spacing w:after="0"/>
    </w:pPr>
    <w:rPr>
      <w:rFonts w:eastAsiaTheme="minorHAnsi" w:cstheme="minorBidi"/>
      <w:color w:val="595959" w:themeColor="text1" w:themeTint="A6"/>
      <w:sz w:val="22"/>
      <w:szCs w:val="22"/>
    </w:rPr>
  </w:style>
  <w:style w:type="character" w:customStyle="1" w:styleId="HeaderChar">
    <w:name w:val="Header Char"/>
    <w:basedOn w:val="DefaultParagraphFont"/>
    <w:link w:val="Header"/>
    <w:uiPriority w:val="9"/>
    <w:rsid w:val="007145D1"/>
    <w:rPr>
      <w:rFonts w:ascii="Calibri" w:hAnsi="Calibri"/>
      <w:color w:val="595959" w:themeColor="text1" w:themeTint="A6"/>
    </w:rPr>
  </w:style>
  <w:style w:type="paragraph" w:styleId="Footer">
    <w:name w:val="footer"/>
    <w:basedOn w:val="Normal"/>
    <w:link w:val="FooterChar"/>
    <w:uiPriority w:val="99"/>
    <w:unhideWhenUsed/>
    <w:rsid w:val="007145D1"/>
    <w:pPr>
      <w:pBdr>
        <w:top w:val="single" w:sz="12" w:space="1" w:color="A6A6A6"/>
      </w:pBdr>
      <w:tabs>
        <w:tab w:val="center" w:pos="4513"/>
        <w:tab w:val="right" w:pos="9026"/>
      </w:tabs>
      <w:spacing w:after="0"/>
      <w:jc w:val="center"/>
    </w:pPr>
    <w:rPr>
      <w:rFonts w:eastAsiaTheme="minorHAnsi" w:cstheme="minorHAnsi"/>
      <w:color w:val="595959"/>
    </w:rPr>
  </w:style>
  <w:style w:type="character" w:customStyle="1" w:styleId="FooterChar">
    <w:name w:val="Footer Char"/>
    <w:basedOn w:val="DefaultParagraphFont"/>
    <w:link w:val="Footer"/>
    <w:uiPriority w:val="99"/>
    <w:rsid w:val="007145D1"/>
    <w:rPr>
      <w:rFonts w:ascii="Calibri" w:hAnsi="Calibri" w:cstheme="minorHAnsi"/>
      <w:color w:val="595959"/>
      <w:sz w:val="20"/>
      <w:szCs w:val="20"/>
    </w:rPr>
  </w:style>
  <w:style w:type="paragraph" w:customStyle="1" w:styleId="ReportClientDetails">
    <w:name w:val="Report Client Details"/>
    <w:basedOn w:val="NCLTableText"/>
    <w:uiPriority w:val="3"/>
    <w:rsid w:val="007145D1"/>
    <w:rPr>
      <w:color w:val="595959" w:themeColor="text1" w:themeTint="A6"/>
    </w:rPr>
  </w:style>
  <w:style w:type="table" w:styleId="TableGrid">
    <w:name w:val="Table Grid"/>
    <w:basedOn w:val="TableNormal"/>
    <w:uiPriority w:val="59"/>
    <w:rsid w:val="0071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7145D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7145D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olourfulGridAccent1">
    <w:name w:val="Colorful Grid Accent 1"/>
    <w:basedOn w:val="TableNormal"/>
    <w:uiPriority w:val="73"/>
    <w:rsid w:val="007145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OCHeading">
    <w:name w:val="TOC Heading"/>
    <w:basedOn w:val="Heading1"/>
    <w:next w:val="Normal"/>
    <w:uiPriority w:val="39"/>
    <w:semiHidden/>
    <w:unhideWhenUsed/>
    <w:qFormat/>
    <w:rsid w:val="007145D1"/>
    <w:pPr>
      <w:numPr>
        <w:numId w:val="0"/>
      </w:numPr>
      <w:outlineLvl w:val="9"/>
    </w:pPr>
    <w:rPr>
      <w:lang w:eastAsia="ja-JP"/>
    </w:rPr>
  </w:style>
  <w:style w:type="paragraph" w:styleId="TOC1">
    <w:name w:val="toc 1"/>
    <w:basedOn w:val="NCLBodyText"/>
    <w:next w:val="NCLBodyText"/>
    <w:uiPriority w:val="39"/>
    <w:rsid w:val="007145D1"/>
    <w:pPr>
      <w:spacing w:after="60"/>
    </w:pPr>
  </w:style>
  <w:style w:type="paragraph" w:styleId="TOC3">
    <w:name w:val="toc 3"/>
    <w:basedOn w:val="Normal"/>
    <w:next w:val="NCLBodyText"/>
    <w:uiPriority w:val="39"/>
    <w:rsid w:val="007145D1"/>
    <w:pPr>
      <w:spacing w:before="60" w:after="60"/>
      <w:ind w:left="442"/>
    </w:pPr>
    <w:rPr>
      <w:rFonts w:eastAsiaTheme="minorHAnsi" w:cstheme="minorBidi"/>
      <w:sz w:val="22"/>
      <w:szCs w:val="22"/>
    </w:rPr>
  </w:style>
  <w:style w:type="character" w:styleId="Hyperlink">
    <w:name w:val="Hyperlink"/>
    <w:basedOn w:val="DefaultParagraphFont"/>
    <w:uiPriority w:val="99"/>
    <w:unhideWhenUsed/>
    <w:rsid w:val="007145D1"/>
    <w:rPr>
      <w:color w:val="0000FF" w:themeColor="hyperlink"/>
      <w:u w:val="single"/>
    </w:rPr>
  </w:style>
  <w:style w:type="table" w:styleId="MediumList2-Accent1">
    <w:name w:val="Medium List 2 Accent 1"/>
    <w:basedOn w:val="TableNormal"/>
    <w:uiPriority w:val="66"/>
    <w:rsid w:val="007145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ommentText">
    <w:name w:val="annotation text"/>
    <w:basedOn w:val="Normal"/>
    <w:link w:val="CommentTextChar"/>
    <w:uiPriority w:val="99"/>
    <w:unhideWhenUsed/>
    <w:rsid w:val="007145D1"/>
    <w:pPr>
      <w:spacing w:before="180" w:after="0" w:line="276" w:lineRule="auto"/>
    </w:pPr>
    <w:rPr>
      <w:rFonts w:eastAsiaTheme="minorHAnsi" w:cstheme="minorBidi"/>
    </w:rPr>
  </w:style>
  <w:style w:type="character" w:customStyle="1" w:styleId="CommentTextChar">
    <w:name w:val="Comment Text Char"/>
    <w:basedOn w:val="DefaultParagraphFont"/>
    <w:link w:val="CommentText"/>
    <w:uiPriority w:val="99"/>
    <w:rsid w:val="007145D1"/>
    <w:rPr>
      <w:rFonts w:ascii="Calibri" w:hAnsi="Calibri"/>
      <w:sz w:val="20"/>
      <w:szCs w:val="20"/>
    </w:rPr>
  </w:style>
  <w:style w:type="table" w:styleId="LightShading-Accent1">
    <w:name w:val="Light Shading Accent 1"/>
    <w:basedOn w:val="TableNormal"/>
    <w:uiPriority w:val="60"/>
    <w:rsid w:val="007145D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2">
    <w:name w:val="toc 2"/>
    <w:basedOn w:val="Normal"/>
    <w:next w:val="NCLBodyText"/>
    <w:uiPriority w:val="39"/>
    <w:rsid w:val="007145D1"/>
    <w:pPr>
      <w:spacing w:before="60" w:after="60"/>
      <w:ind w:left="221"/>
    </w:pPr>
    <w:rPr>
      <w:rFonts w:eastAsiaTheme="minorHAnsi" w:cstheme="minorBidi"/>
      <w:sz w:val="22"/>
      <w:szCs w:val="22"/>
    </w:rPr>
  </w:style>
  <w:style w:type="character" w:styleId="CommentReference">
    <w:name w:val="annotation reference"/>
    <w:basedOn w:val="DefaultParagraphFont"/>
    <w:uiPriority w:val="99"/>
    <w:semiHidden/>
    <w:unhideWhenUsed/>
    <w:rsid w:val="007145D1"/>
    <w:rPr>
      <w:sz w:val="16"/>
      <w:szCs w:val="16"/>
    </w:rPr>
  </w:style>
  <w:style w:type="paragraph" w:styleId="Caption">
    <w:name w:val="caption"/>
    <w:basedOn w:val="Normal"/>
    <w:next w:val="NCLBodyText"/>
    <w:uiPriority w:val="8"/>
    <w:unhideWhenUsed/>
    <w:rsid w:val="007145D1"/>
    <w:pPr>
      <w:keepNext/>
      <w:spacing w:before="180" w:after="0" w:line="276" w:lineRule="auto"/>
    </w:pPr>
    <w:rPr>
      <w:rFonts w:eastAsiaTheme="minorHAnsi" w:cstheme="minorBidi"/>
      <w:b/>
      <w:bCs/>
      <w:color w:val="000000" w:themeColor="text1"/>
      <w:szCs w:val="18"/>
    </w:rPr>
  </w:style>
  <w:style w:type="paragraph" w:styleId="TOC4">
    <w:name w:val="toc 4"/>
    <w:basedOn w:val="Normal"/>
    <w:next w:val="NCLBodyText"/>
    <w:uiPriority w:val="39"/>
    <w:semiHidden/>
    <w:rsid w:val="007145D1"/>
    <w:pPr>
      <w:spacing w:before="180" w:after="100" w:line="276" w:lineRule="auto"/>
      <w:ind w:left="660"/>
    </w:pPr>
    <w:rPr>
      <w:rFonts w:eastAsiaTheme="minorEastAsia" w:cstheme="minorBidi"/>
      <w:sz w:val="22"/>
      <w:szCs w:val="22"/>
      <w:lang w:eastAsia="en-GB"/>
    </w:rPr>
  </w:style>
  <w:style w:type="paragraph" w:styleId="TOC5">
    <w:name w:val="toc 5"/>
    <w:basedOn w:val="Normal"/>
    <w:next w:val="NCLBodyText"/>
    <w:uiPriority w:val="39"/>
    <w:semiHidden/>
    <w:rsid w:val="007145D1"/>
    <w:pPr>
      <w:spacing w:before="180" w:after="100" w:line="276" w:lineRule="auto"/>
      <w:ind w:left="880"/>
    </w:pPr>
    <w:rPr>
      <w:rFonts w:eastAsiaTheme="minorEastAsia" w:cstheme="minorBidi"/>
      <w:sz w:val="22"/>
      <w:szCs w:val="22"/>
      <w:lang w:eastAsia="en-GB"/>
    </w:rPr>
  </w:style>
  <w:style w:type="paragraph" w:styleId="TOC6">
    <w:name w:val="toc 6"/>
    <w:basedOn w:val="Normal"/>
    <w:next w:val="Normal"/>
    <w:autoRedefine/>
    <w:uiPriority w:val="39"/>
    <w:semiHidden/>
    <w:rsid w:val="007145D1"/>
    <w:pPr>
      <w:spacing w:before="180" w:after="100" w:line="276" w:lineRule="auto"/>
      <w:ind w:left="1100"/>
    </w:pPr>
    <w:rPr>
      <w:rFonts w:eastAsiaTheme="minorEastAsia" w:cstheme="minorBidi"/>
      <w:sz w:val="22"/>
      <w:szCs w:val="22"/>
      <w:lang w:eastAsia="en-GB"/>
    </w:rPr>
  </w:style>
  <w:style w:type="paragraph" w:styleId="TOC7">
    <w:name w:val="toc 7"/>
    <w:basedOn w:val="Normal"/>
    <w:next w:val="Normal"/>
    <w:autoRedefine/>
    <w:uiPriority w:val="39"/>
    <w:semiHidden/>
    <w:rsid w:val="007145D1"/>
    <w:pPr>
      <w:spacing w:before="180" w:after="100" w:line="276" w:lineRule="auto"/>
      <w:ind w:left="1320"/>
    </w:pPr>
    <w:rPr>
      <w:rFonts w:eastAsiaTheme="minorEastAsia" w:cstheme="minorBidi"/>
      <w:sz w:val="22"/>
      <w:szCs w:val="22"/>
      <w:lang w:eastAsia="en-GB"/>
    </w:rPr>
  </w:style>
  <w:style w:type="paragraph" w:styleId="TOC8">
    <w:name w:val="toc 8"/>
    <w:basedOn w:val="Normal"/>
    <w:next w:val="Normal"/>
    <w:autoRedefine/>
    <w:uiPriority w:val="39"/>
    <w:semiHidden/>
    <w:rsid w:val="007145D1"/>
    <w:pPr>
      <w:spacing w:before="180" w:after="100" w:line="276" w:lineRule="auto"/>
      <w:ind w:left="1540"/>
    </w:pPr>
    <w:rPr>
      <w:rFonts w:eastAsiaTheme="minorEastAsia" w:cstheme="minorBidi"/>
      <w:sz w:val="22"/>
      <w:szCs w:val="22"/>
      <w:lang w:eastAsia="en-GB"/>
    </w:rPr>
  </w:style>
  <w:style w:type="paragraph" w:styleId="TOC9">
    <w:name w:val="toc 9"/>
    <w:basedOn w:val="Normal"/>
    <w:next w:val="Normal"/>
    <w:autoRedefine/>
    <w:uiPriority w:val="39"/>
    <w:semiHidden/>
    <w:rsid w:val="007145D1"/>
    <w:pPr>
      <w:spacing w:before="180" w:after="100" w:line="276" w:lineRule="auto"/>
      <w:ind w:left="1760"/>
    </w:pPr>
    <w:rPr>
      <w:rFonts w:eastAsiaTheme="minorEastAsia" w:cstheme="minorBidi"/>
      <w:sz w:val="22"/>
      <w:szCs w:val="22"/>
      <w:lang w:eastAsia="en-GB"/>
    </w:rPr>
  </w:style>
  <w:style w:type="paragraph" w:styleId="CommentSubject">
    <w:name w:val="annotation subject"/>
    <w:basedOn w:val="CommentText"/>
    <w:next w:val="CommentText"/>
    <w:link w:val="CommentSubjectChar"/>
    <w:uiPriority w:val="99"/>
    <w:semiHidden/>
    <w:unhideWhenUsed/>
    <w:rsid w:val="007145D1"/>
    <w:rPr>
      <w:b/>
      <w:bCs/>
    </w:rPr>
  </w:style>
  <w:style w:type="character" w:customStyle="1" w:styleId="CommentSubjectChar">
    <w:name w:val="Comment Subject Char"/>
    <w:basedOn w:val="CommentTextChar"/>
    <w:link w:val="CommentSubject"/>
    <w:uiPriority w:val="99"/>
    <w:semiHidden/>
    <w:rsid w:val="007145D1"/>
    <w:rPr>
      <w:rFonts w:ascii="Calibri" w:hAnsi="Calibri"/>
      <w:b/>
      <w:bCs/>
      <w:sz w:val="20"/>
      <w:szCs w:val="20"/>
    </w:rPr>
  </w:style>
  <w:style w:type="table" w:styleId="MediumShading1-Accent1">
    <w:name w:val="Medium Shading 1 Accent 1"/>
    <w:basedOn w:val="TableNormal"/>
    <w:uiPriority w:val="63"/>
    <w:rsid w:val="007145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ableofFigures">
    <w:name w:val="table of figures"/>
    <w:basedOn w:val="Normal"/>
    <w:next w:val="NCLBodyText"/>
    <w:uiPriority w:val="99"/>
    <w:unhideWhenUsed/>
    <w:rsid w:val="007145D1"/>
    <w:pPr>
      <w:spacing w:before="60" w:after="60"/>
    </w:pPr>
    <w:rPr>
      <w:rFonts w:eastAsiaTheme="minorHAnsi" w:cstheme="minorBidi"/>
      <w:sz w:val="22"/>
      <w:szCs w:val="22"/>
    </w:rPr>
  </w:style>
  <w:style w:type="paragraph" w:styleId="ListBullet">
    <w:name w:val="List Bullet"/>
    <w:basedOn w:val="NCLBodyText"/>
    <w:uiPriority w:val="1"/>
    <w:unhideWhenUsed/>
    <w:qFormat/>
    <w:rsid w:val="007145D1"/>
    <w:pPr>
      <w:numPr>
        <w:numId w:val="2"/>
      </w:numPr>
      <w:spacing w:before="0"/>
      <w:contextualSpacing/>
    </w:pPr>
  </w:style>
  <w:style w:type="paragraph" w:styleId="ListBullet2">
    <w:name w:val="List Bullet 2"/>
    <w:basedOn w:val="ListBullet"/>
    <w:uiPriority w:val="1"/>
    <w:unhideWhenUsed/>
    <w:rsid w:val="007145D1"/>
    <w:pPr>
      <w:numPr>
        <w:ilvl w:val="1"/>
      </w:numPr>
    </w:pPr>
  </w:style>
  <w:style w:type="paragraph" w:styleId="ListBullet3">
    <w:name w:val="List Bullet 3"/>
    <w:basedOn w:val="ListBullet"/>
    <w:uiPriority w:val="1"/>
    <w:unhideWhenUsed/>
    <w:rsid w:val="007145D1"/>
    <w:pPr>
      <w:numPr>
        <w:ilvl w:val="2"/>
      </w:numPr>
    </w:pPr>
  </w:style>
  <w:style w:type="paragraph" w:styleId="ListBullet4">
    <w:name w:val="List Bullet 4"/>
    <w:basedOn w:val="ListBullet"/>
    <w:uiPriority w:val="1"/>
    <w:unhideWhenUsed/>
    <w:rsid w:val="007145D1"/>
    <w:pPr>
      <w:numPr>
        <w:ilvl w:val="3"/>
      </w:numPr>
    </w:pPr>
  </w:style>
  <w:style w:type="paragraph" w:styleId="ListBullet5">
    <w:name w:val="List Bullet 5"/>
    <w:basedOn w:val="ListBullet"/>
    <w:uiPriority w:val="1"/>
    <w:unhideWhenUsed/>
    <w:rsid w:val="007145D1"/>
    <w:pPr>
      <w:numPr>
        <w:ilvl w:val="4"/>
      </w:numPr>
    </w:pPr>
  </w:style>
  <w:style w:type="paragraph" w:styleId="ListNumber">
    <w:name w:val="List Number"/>
    <w:basedOn w:val="Normal"/>
    <w:uiPriority w:val="1"/>
    <w:unhideWhenUsed/>
    <w:qFormat/>
    <w:rsid w:val="007145D1"/>
    <w:pPr>
      <w:numPr>
        <w:numId w:val="3"/>
      </w:numPr>
      <w:spacing w:after="0" w:line="276" w:lineRule="auto"/>
      <w:contextualSpacing/>
    </w:pPr>
    <w:rPr>
      <w:rFonts w:eastAsiaTheme="minorHAnsi" w:cstheme="minorBidi"/>
      <w:sz w:val="22"/>
      <w:szCs w:val="22"/>
    </w:rPr>
  </w:style>
  <w:style w:type="paragraph" w:styleId="ListNumber2">
    <w:name w:val="List Number 2"/>
    <w:basedOn w:val="Normal"/>
    <w:uiPriority w:val="1"/>
    <w:unhideWhenUsed/>
    <w:rsid w:val="007145D1"/>
    <w:pPr>
      <w:numPr>
        <w:ilvl w:val="1"/>
        <w:numId w:val="3"/>
      </w:numPr>
      <w:spacing w:after="0" w:line="276" w:lineRule="auto"/>
      <w:contextualSpacing/>
    </w:pPr>
    <w:rPr>
      <w:rFonts w:eastAsiaTheme="minorHAnsi" w:cstheme="minorBidi"/>
      <w:sz w:val="22"/>
      <w:szCs w:val="22"/>
    </w:rPr>
  </w:style>
  <w:style w:type="paragraph" w:styleId="ListNumber3">
    <w:name w:val="List Number 3"/>
    <w:basedOn w:val="Normal"/>
    <w:uiPriority w:val="1"/>
    <w:unhideWhenUsed/>
    <w:rsid w:val="007145D1"/>
    <w:pPr>
      <w:numPr>
        <w:ilvl w:val="2"/>
        <w:numId w:val="3"/>
      </w:numPr>
      <w:spacing w:after="0" w:line="276" w:lineRule="auto"/>
      <w:contextualSpacing/>
    </w:pPr>
    <w:rPr>
      <w:rFonts w:eastAsiaTheme="minorHAnsi" w:cstheme="minorBidi"/>
      <w:sz w:val="22"/>
      <w:szCs w:val="22"/>
    </w:rPr>
  </w:style>
  <w:style w:type="paragraph" w:customStyle="1" w:styleId="NCLBodyText">
    <w:name w:val="NCL Body Text"/>
    <w:basedOn w:val="Normal"/>
    <w:link w:val="NCLBodyTextChar"/>
    <w:qFormat/>
    <w:rsid w:val="00F6177F"/>
    <w:pPr>
      <w:spacing w:before="60" w:after="0"/>
      <w:jc w:val="both"/>
    </w:pPr>
    <w:rPr>
      <w:rFonts w:eastAsiaTheme="minorHAnsi" w:cs="Calibri"/>
      <w:sz w:val="22"/>
      <w:szCs w:val="22"/>
    </w:rPr>
  </w:style>
  <w:style w:type="character" w:customStyle="1" w:styleId="NCLBodyTextChar">
    <w:name w:val="NCL Body Text Char"/>
    <w:basedOn w:val="DefaultParagraphFont"/>
    <w:link w:val="NCLBodyText"/>
    <w:rsid w:val="00F6177F"/>
    <w:rPr>
      <w:rFonts w:ascii="Calibri" w:hAnsi="Calibri" w:cs="Calibri"/>
    </w:rPr>
  </w:style>
  <w:style w:type="paragraph" w:customStyle="1" w:styleId="NCLHeading1">
    <w:name w:val="NCL Heading 1"/>
    <w:basedOn w:val="Heading1"/>
    <w:next w:val="NCLBodyText"/>
    <w:link w:val="NCLHeading1Char"/>
    <w:qFormat/>
    <w:rsid w:val="00D46B50"/>
    <w:pPr>
      <w:numPr>
        <w:numId w:val="4"/>
      </w:numPr>
      <w:shd w:val="clear" w:color="auto" w:fill="548DD4" w:themeFill="text2" w:themeFillTint="99"/>
      <w:spacing w:before="240" w:after="120" w:line="240" w:lineRule="auto"/>
      <w:ind w:left="567" w:hanging="567"/>
    </w:pPr>
    <w:rPr>
      <w:color w:val="FFFFFF" w:themeColor="background1"/>
    </w:rPr>
  </w:style>
  <w:style w:type="character" w:customStyle="1" w:styleId="NCLHeading1Char">
    <w:name w:val="NCL Heading 1 Char"/>
    <w:basedOn w:val="Heading1Char"/>
    <w:link w:val="NCLHeading1"/>
    <w:rsid w:val="00D46B50"/>
    <w:rPr>
      <w:rFonts w:ascii="Calibri" w:eastAsiaTheme="majorEastAsia" w:hAnsi="Calibri" w:cstheme="majorBidi"/>
      <w:b/>
      <w:bCs/>
      <w:color w:val="FFFFFF" w:themeColor="background1"/>
      <w:sz w:val="28"/>
      <w:szCs w:val="28"/>
      <w:shd w:val="clear" w:color="auto" w:fill="548DD4" w:themeFill="text2" w:themeFillTint="99"/>
    </w:rPr>
  </w:style>
  <w:style w:type="paragraph" w:customStyle="1" w:styleId="NCLHeading2">
    <w:name w:val="NCL Heading 2"/>
    <w:basedOn w:val="Heading2"/>
    <w:next w:val="NCLBodyText"/>
    <w:link w:val="NCLHeading2Char"/>
    <w:qFormat/>
    <w:rsid w:val="007C4B50"/>
    <w:pPr>
      <w:numPr>
        <w:numId w:val="4"/>
      </w:numPr>
      <w:spacing w:before="120" w:after="60"/>
      <w:ind w:left="0" w:firstLine="0"/>
      <w:jc w:val="both"/>
    </w:pPr>
    <w:rPr>
      <w:color w:val="000000" w:themeColor="text1"/>
    </w:rPr>
  </w:style>
  <w:style w:type="character" w:customStyle="1" w:styleId="NCLHeading2Char">
    <w:name w:val="NCL Heading 2 Char"/>
    <w:basedOn w:val="Heading2Char"/>
    <w:link w:val="NCLHeading2"/>
    <w:rsid w:val="007C4B50"/>
    <w:rPr>
      <w:rFonts w:ascii="Calibri" w:eastAsiaTheme="majorEastAsia" w:hAnsi="Calibri" w:cstheme="majorBidi"/>
      <w:b/>
      <w:bCs/>
      <w:color w:val="000000" w:themeColor="text1"/>
      <w:sz w:val="24"/>
      <w:szCs w:val="26"/>
    </w:rPr>
  </w:style>
  <w:style w:type="paragraph" w:customStyle="1" w:styleId="NCLHeading3">
    <w:name w:val="NCL Heading 3"/>
    <w:basedOn w:val="Heading3"/>
    <w:next w:val="NCLBodyText"/>
    <w:link w:val="NCLHeading3Char"/>
    <w:qFormat/>
    <w:rsid w:val="007C4B50"/>
    <w:pPr>
      <w:numPr>
        <w:numId w:val="4"/>
      </w:numPr>
      <w:spacing w:before="120" w:after="60"/>
    </w:pPr>
    <w:rPr>
      <w:rFonts w:ascii="Calibri" w:hAnsi="Calibri"/>
      <w:b w:val="0"/>
      <w:color w:val="000000" w:themeColor="text1"/>
    </w:rPr>
  </w:style>
  <w:style w:type="character" w:customStyle="1" w:styleId="NCLHeading3Char">
    <w:name w:val="NCL Heading 3 Char"/>
    <w:basedOn w:val="Heading3Char"/>
    <w:link w:val="NCLHeading3"/>
    <w:rsid w:val="007C4B50"/>
    <w:rPr>
      <w:rFonts w:ascii="Calibri" w:eastAsiaTheme="majorEastAsia" w:hAnsi="Calibri" w:cstheme="majorBidi"/>
      <w:b w:val="0"/>
      <w:bCs/>
      <w:color w:val="000000" w:themeColor="text1"/>
    </w:rPr>
  </w:style>
  <w:style w:type="paragraph" w:customStyle="1" w:styleId="NCLSubsection">
    <w:name w:val="NCL Subsection"/>
    <w:basedOn w:val="Heading4"/>
    <w:next w:val="NCLBodyText"/>
    <w:link w:val="NCLSubsectionChar"/>
    <w:qFormat/>
    <w:rsid w:val="007C4B50"/>
    <w:pPr>
      <w:numPr>
        <w:ilvl w:val="0"/>
        <w:numId w:val="0"/>
      </w:numPr>
      <w:spacing w:before="120" w:after="60"/>
    </w:pPr>
    <w:rPr>
      <w:rFonts w:ascii="Calibri" w:hAnsi="Calibri"/>
      <w:b w:val="0"/>
      <w:color w:val="000000" w:themeColor="text1"/>
      <w:u w:val="single"/>
    </w:rPr>
  </w:style>
  <w:style w:type="character" w:customStyle="1" w:styleId="NCLSubsectionChar">
    <w:name w:val="NCL Subsection Char"/>
    <w:basedOn w:val="Heading4Char"/>
    <w:link w:val="NCLSubsection"/>
    <w:rsid w:val="007C4B50"/>
    <w:rPr>
      <w:rFonts w:ascii="Calibri" w:eastAsiaTheme="majorEastAsia" w:hAnsi="Calibri" w:cstheme="majorBidi"/>
      <w:b w:val="0"/>
      <w:bCs/>
      <w:i/>
      <w:iCs/>
      <w:color w:val="000000" w:themeColor="text1"/>
      <w:u w:val="single"/>
    </w:rPr>
  </w:style>
  <w:style w:type="paragraph" w:customStyle="1" w:styleId="NCLTableheading">
    <w:name w:val="NCL Table heading"/>
    <w:basedOn w:val="Heading5"/>
    <w:next w:val="NCLBodyText"/>
    <w:link w:val="NCLTableheadingChar"/>
    <w:qFormat/>
    <w:rsid w:val="007145D1"/>
    <w:pPr>
      <w:numPr>
        <w:numId w:val="4"/>
      </w:numPr>
      <w:spacing w:before="240" w:after="180"/>
    </w:pPr>
    <w:rPr>
      <w:rFonts w:ascii="Calibri" w:hAnsi="Calibri"/>
      <w:b/>
      <w:color w:val="000000"/>
    </w:rPr>
  </w:style>
  <w:style w:type="character" w:customStyle="1" w:styleId="NCLTableheadingChar">
    <w:name w:val="NCL Table heading Char"/>
    <w:basedOn w:val="Heading5Char"/>
    <w:link w:val="NCLTableheading"/>
    <w:rsid w:val="007145D1"/>
    <w:rPr>
      <w:rFonts w:ascii="Calibri" w:eastAsiaTheme="majorEastAsia" w:hAnsi="Calibri" w:cstheme="majorBidi"/>
      <w:b/>
      <w:color w:val="000000"/>
    </w:rPr>
  </w:style>
  <w:style w:type="numbering" w:customStyle="1" w:styleId="ReportHeadings">
    <w:name w:val="Report Headings"/>
    <w:uiPriority w:val="99"/>
    <w:rsid w:val="007145D1"/>
    <w:pPr>
      <w:numPr>
        <w:numId w:val="4"/>
      </w:numPr>
    </w:pPr>
  </w:style>
  <w:style w:type="paragraph" w:customStyle="1" w:styleId="ReportNonTOCHeading">
    <w:name w:val="Report NonTOC Heading"/>
    <w:basedOn w:val="NCLBodyText"/>
    <w:next w:val="NCLBodyText"/>
    <w:link w:val="ReportNonTOCHeadingChar"/>
    <w:rsid w:val="007145D1"/>
    <w:pPr>
      <w:keepNext/>
    </w:pPr>
    <w:rPr>
      <w:b/>
      <w:color w:val="17365D" w:themeColor="text2" w:themeShade="BF"/>
      <w:sz w:val="28"/>
    </w:rPr>
  </w:style>
  <w:style w:type="character" w:customStyle="1" w:styleId="ReportNonTOCHeadingChar">
    <w:name w:val="Report NonTOC Heading Char"/>
    <w:basedOn w:val="DefaultParagraphFont"/>
    <w:link w:val="ReportNonTOCHeading"/>
    <w:rsid w:val="007145D1"/>
    <w:rPr>
      <w:rFonts w:ascii="Calibri" w:hAnsi="Calibri" w:cs="Calibri"/>
      <w:b/>
      <w:color w:val="17365D" w:themeColor="text2" w:themeShade="BF"/>
      <w:sz w:val="28"/>
    </w:rPr>
  </w:style>
  <w:style w:type="paragraph" w:styleId="FootnoteText">
    <w:name w:val="footnote text"/>
    <w:basedOn w:val="Normal"/>
    <w:link w:val="FootnoteTextChar"/>
    <w:uiPriority w:val="99"/>
    <w:rsid w:val="007145D1"/>
    <w:pPr>
      <w:spacing w:before="180" w:after="0" w:line="276" w:lineRule="auto"/>
    </w:pPr>
    <w:rPr>
      <w:rFonts w:eastAsiaTheme="minorHAnsi" w:cstheme="minorBidi"/>
    </w:rPr>
  </w:style>
  <w:style w:type="character" w:customStyle="1" w:styleId="FootnoteTextChar">
    <w:name w:val="Footnote Text Char"/>
    <w:basedOn w:val="DefaultParagraphFont"/>
    <w:link w:val="FootnoteText"/>
    <w:uiPriority w:val="99"/>
    <w:rsid w:val="007145D1"/>
    <w:rPr>
      <w:rFonts w:ascii="Calibri" w:hAnsi="Calibri"/>
      <w:sz w:val="20"/>
      <w:szCs w:val="20"/>
    </w:rPr>
  </w:style>
  <w:style w:type="character" w:styleId="FootnoteReference">
    <w:name w:val="footnote reference"/>
    <w:basedOn w:val="DefaultParagraphFont"/>
    <w:uiPriority w:val="99"/>
    <w:rsid w:val="007145D1"/>
    <w:rPr>
      <w:vertAlign w:val="superscript"/>
    </w:rPr>
  </w:style>
  <w:style w:type="paragraph" w:styleId="BodyText">
    <w:name w:val="Body Text"/>
    <w:basedOn w:val="Normal"/>
    <w:link w:val="BodyTextChar"/>
    <w:uiPriority w:val="99"/>
    <w:unhideWhenUsed/>
    <w:rsid w:val="007145D1"/>
    <w:pPr>
      <w:spacing w:before="180" w:after="0" w:line="276" w:lineRule="auto"/>
    </w:pPr>
    <w:rPr>
      <w:rFonts w:eastAsiaTheme="minorHAnsi" w:cstheme="minorBidi"/>
      <w:sz w:val="22"/>
      <w:szCs w:val="22"/>
    </w:rPr>
  </w:style>
  <w:style w:type="character" w:customStyle="1" w:styleId="BodyTextChar">
    <w:name w:val="Body Text Char"/>
    <w:basedOn w:val="DefaultParagraphFont"/>
    <w:link w:val="BodyText"/>
    <w:uiPriority w:val="99"/>
    <w:rsid w:val="007145D1"/>
    <w:rPr>
      <w:rFonts w:ascii="Calibri" w:hAnsi="Calibri"/>
    </w:rPr>
  </w:style>
  <w:style w:type="table" w:customStyle="1" w:styleId="ReportSummaryBox">
    <w:name w:val="Report_Summary_Box"/>
    <w:basedOn w:val="TableNormal"/>
    <w:uiPriority w:val="99"/>
    <w:rsid w:val="007145D1"/>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shd w:val="clear" w:color="auto" w:fill="BFBFBF" w:themeFill="background1" w:themeFillShade="BF"/>
    </w:tcPr>
  </w:style>
  <w:style w:type="paragraph" w:customStyle="1" w:styleId="NCLTableFootnote">
    <w:name w:val="NCL Table Footnote"/>
    <w:basedOn w:val="NCLBodyText"/>
    <w:next w:val="NCLBodyText"/>
    <w:link w:val="NCLTableFootnoteChar"/>
    <w:uiPriority w:val="3"/>
    <w:qFormat/>
    <w:rsid w:val="007145D1"/>
    <w:pPr>
      <w:spacing w:before="0" w:after="480"/>
      <w:contextualSpacing/>
    </w:pPr>
    <w:rPr>
      <w:sz w:val="18"/>
    </w:rPr>
  </w:style>
  <w:style w:type="character" w:customStyle="1" w:styleId="NCLTableFootnoteChar">
    <w:name w:val="NCL Table Footnote Char"/>
    <w:basedOn w:val="NCLBodyTextChar"/>
    <w:link w:val="NCLTableFootnote"/>
    <w:uiPriority w:val="3"/>
    <w:rsid w:val="007145D1"/>
    <w:rPr>
      <w:rFonts w:ascii="Calibri" w:hAnsi="Calibri" w:cs="Calibri"/>
      <w:sz w:val="18"/>
    </w:rPr>
  </w:style>
  <w:style w:type="paragraph" w:customStyle="1" w:styleId="ReportHeading6">
    <w:name w:val="Report Heading 6"/>
    <w:basedOn w:val="Heading6"/>
    <w:next w:val="NCLBodyText"/>
    <w:rsid w:val="007145D1"/>
    <w:pPr>
      <w:numPr>
        <w:numId w:val="4"/>
      </w:numPr>
      <w:spacing w:before="240" w:after="180"/>
    </w:pPr>
    <w:rPr>
      <w:rFonts w:ascii="Calibri" w:hAnsi="Calibri"/>
      <w:color w:val="1F497D" w:themeColor="text2"/>
    </w:rPr>
  </w:style>
  <w:style w:type="paragraph" w:styleId="Revision">
    <w:name w:val="Revision"/>
    <w:hidden/>
    <w:uiPriority w:val="99"/>
    <w:semiHidden/>
    <w:rsid w:val="00EE6750"/>
    <w:pPr>
      <w:spacing w:after="0" w:line="240" w:lineRule="auto"/>
    </w:pPr>
    <w:rPr>
      <w:rFonts w:ascii="Calibri" w:hAnsi="Calibri"/>
    </w:rPr>
  </w:style>
  <w:style w:type="paragraph" w:customStyle="1" w:styleId="ReportTag">
    <w:name w:val="Report Tag"/>
    <w:basedOn w:val="NCLBodyText"/>
    <w:uiPriority w:val="3"/>
    <w:rsid w:val="007145D1"/>
    <w:pPr>
      <w:spacing w:before="0"/>
      <w:jc w:val="right"/>
    </w:pPr>
    <w:rPr>
      <w:color w:val="595959" w:themeColor="text1" w:themeTint="A6"/>
      <w:sz w:val="72"/>
      <w:szCs w:val="72"/>
    </w:rPr>
  </w:style>
  <w:style w:type="paragraph" w:customStyle="1" w:styleId="ReportTitle">
    <w:name w:val="Report Title"/>
    <w:basedOn w:val="NCLBodyText"/>
    <w:uiPriority w:val="3"/>
    <w:rsid w:val="00A0078A"/>
    <w:pPr>
      <w:spacing w:before="0"/>
    </w:pPr>
    <w:rPr>
      <w:color w:val="17365D" w:themeColor="text2" w:themeShade="BF"/>
      <w:sz w:val="48"/>
      <w:szCs w:val="48"/>
    </w:rPr>
  </w:style>
  <w:style w:type="paragraph" w:customStyle="1" w:styleId="NCLTableText">
    <w:name w:val="NCL Table Text"/>
    <w:basedOn w:val="NCLBodyText"/>
    <w:uiPriority w:val="3"/>
    <w:qFormat/>
    <w:rsid w:val="007145D1"/>
    <w:pPr>
      <w:spacing w:after="60"/>
    </w:pPr>
    <w:rPr>
      <w:sz w:val="20"/>
    </w:rPr>
  </w:style>
  <w:style w:type="paragraph" w:customStyle="1" w:styleId="ReportFrontPageTitle">
    <w:name w:val="Report Front Page Title"/>
    <w:basedOn w:val="NCLBodyText"/>
    <w:uiPriority w:val="3"/>
    <w:rsid w:val="007145D1"/>
    <w:pPr>
      <w:spacing w:before="0"/>
    </w:pPr>
    <w:rPr>
      <w:color w:val="17365D" w:themeColor="text2" w:themeShade="BF"/>
      <w:sz w:val="48"/>
      <w:szCs w:val="48"/>
    </w:rPr>
  </w:style>
  <w:style w:type="paragraph" w:customStyle="1" w:styleId="ReportSummaryBoxHeading">
    <w:name w:val="Report Summary Box Heading"/>
    <w:basedOn w:val="NCLBodyText"/>
    <w:uiPriority w:val="3"/>
    <w:rsid w:val="007145D1"/>
    <w:pPr>
      <w:spacing w:after="120"/>
    </w:pPr>
    <w:rPr>
      <w:b/>
      <w:i/>
    </w:rPr>
  </w:style>
  <w:style w:type="character" w:styleId="FollowedHyperlink">
    <w:name w:val="FollowedHyperlink"/>
    <w:basedOn w:val="DefaultParagraphFont"/>
    <w:uiPriority w:val="99"/>
    <w:semiHidden/>
    <w:unhideWhenUsed/>
    <w:rsid w:val="007145D1"/>
    <w:rPr>
      <w:color w:val="800080" w:themeColor="followedHyperlink"/>
      <w:u w:val="single"/>
    </w:rPr>
  </w:style>
  <w:style w:type="numbering" w:customStyle="1" w:styleId="ListBullets">
    <w:name w:val="List Bullets"/>
    <w:uiPriority w:val="99"/>
    <w:rsid w:val="007145D1"/>
    <w:pPr>
      <w:numPr>
        <w:numId w:val="2"/>
      </w:numPr>
    </w:pPr>
  </w:style>
  <w:style w:type="numbering" w:customStyle="1" w:styleId="ListNumbers">
    <w:name w:val="List Numbers"/>
    <w:uiPriority w:val="99"/>
    <w:rsid w:val="007145D1"/>
    <w:pPr>
      <w:numPr>
        <w:numId w:val="3"/>
      </w:numPr>
    </w:pPr>
  </w:style>
  <w:style w:type="table" w:customStyle="1" w:styleId="ReportTable">
    <w:name w:val="Report_Table"/>
    <w:basedOn w:val="TableNormal"/>
    <w:uiPriority w:val="99"/>
    <w:rsid w:val="00544450"/>
    <w:pPr>
      <w:spacing w:before="60" w:after="60" w:line="240" w:lineRule="auto"/>
      <w:jc w:val="center"/>
    </w:pPr>
    <w:rPr>
      <w:rFonts w:ascii="Calibri" w:hAnsi="Calibri"/>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Theme="minorHAnsi" w:hAnsiTheme="minorHAnsi"/>
        <w:b/>
        <w:sz w:val="20"/>
      </w:rPr>
      <w:tblPr/>
      <w:trPr>
        <w:cantSplit/>
      </w:trPr>
      <w:tcPr>
        <w:shd w:val="clear" w:color="auto" w:fill="BFBFBF" w:themeFill="background1" w:themeFillShade="BF"/>
      </w:tcPr>
    </w:tblStylePr>
    <w:tblStylePr w:type="firstCol">
      <w:pPr>
        <w:jc w:val="left"/>
      </w:pPr>
      <w:rPr>
        <w:rFonts w:asciiTheme="minorHAnsi" w:hAnsiTheme="minorHAnsi"/>
        <w:sz w:val="20"/>
      </w:rPr>
    </w:tblStylePr>
  </w:style>
  <w:style w:type="character" w:styleId="PlaceholderText">
    <w:name w:val="Placeholder Text"/>
    <w:basedOn w:val="DefaultParagraphFont"/>
    <w:uiPriority w:val="99"/>
    <w:semiHidden/>
    <w:rsid w:val="00325A5B"/>
    <w:rPr>
      <w:color w:val="808080"/>
    </w:rPr>
  </w:style>
  <w:style w:type="paragraph" w:customStyle="1" w:styleId="NCLAppendix">
    <w:name w:val="NCL Appendix"/>
    <w:basedOn w:val="NCLHeading1"/>
    <w:link w:val="NCLAppendixChar"/>
    <w:qFormat/>
    <w:rsid w:val="004C79B4"/>
    <w:pPr>
      <w:numPr>
        <w:numId w:val="0"/>
      </w:numPr>
      <w:ind w:left="567" w:hanging="567"/>
    </w:pPr>
  </w:style>
  <w:style w:type="character" w:customStyle="1" w:styleId="NCLAppendixChar">
    <w:name w:val="NCL Appendix Char"/>
    <w:basedOn w:val="NCLHeading1Char"/>
    <w:link w:val="NCLAppendix"/>
    <w:rsid w:val="004C79B4"/>
    <w:rPr>
      <w:rFonts w:ascii="Calibri" w:eastAsiaTheme="majorEastAsia" w:hAnsi="Calibri" w:cstheme="majorBidi"/>
      <w:b/>
      <w:bCs/>
      <w:color w:val="365F91" w:themeColor="accent1" w:themeShade="BF"/>
      <w:sz w:val="28"/>
      <w:szCs w:val="28"/>
      <w:shd w:val="clear" w:color="auto" w:fill="548DD4" w:themeFill="text2" w:themeFillTint="99"/>
    </w:rPr>
  </w:style>
  <w:style w:type="paragraph" w:customStyle="1" w:styleId="ReportHeading1">
    <w:name w:val="Report Heading 1"/>
    <w:basedOn w:val="Heading1"/>
    <w:next w:val="Normal"/>
    <w:link w:val="ReportHeading1Char"/>
    <w:rsid w:val="008962F6"/>
    <w:pPr>
      <w:numPr>
        <w:numId w:val="0"/>
      </w:numPr>
      <w:ind w:left="851" w:hanging="851"/>
    </w:pPr>
    <w:rPr>
      <w:color w:val="17365D" w:themeColor="text2" w:themeShade="BF"/>
      <w:sz w:val="32"/>
    </w:rPr>
  </w:style>
  <w:style w:type="character" w:customStyle="1" w:styleId="ReportHeading1Char">
    <w:name w:val="Report Heading 1 Char"/>
    <w:basedOn w:val="Heading1Char"/>
    <w:link w:val="ReportHeading1"/>
    <w:rsid w:val="008962F6"/>
    <w:rPr>
      <w:rFonts w:ascii="Calibri" w:eastAsiaTheme="majorEastAsia" w:hAnsi="Calibri" w:cstheme="majorBidi"/>
      <w:b/>
      <w:bCs/>
      <w:color w:val="17365D" w:themeColor="text2" w:themeShade="BF"/>
      <w:sz w:val="32"/>
      <w:szCs w:val="28"/>
    </w:rPr>
  </w:style>
  <w:style w:type="paragraph" w:customStyle="1" w:styleId="ReportHeading2">
    <w:name w:val="Report Heading 2"/>
    <w:basedOn w:val="Heading2"/>
    <w:next w:val="Normal"/>
    <w:link w:val="ReportHeading2Char"/>
    <w:rsid w:val="008962F6"/>
    <w:pPr>
      <w:numPr>
        <w:ilvl w:val="0"/>
        <w:numId w:val="0"/>
      </w:numPr>
      <w:spacing w:before="240" w:after="180"/>
      <w:ind w:left="851" w:hanging="851"/>
      <w:jc w:val="both"/>
    </w:pPr>
    <w:rPr>
      <w:color w:val="000000" w:themeColor="text1"/>
      <w:sz w:val="28"/>
    </w:rPr>
  </w:style>
  <w:style w:type="character" w:customStyle="1" w:styleId="ReportHeading2Char">
    <w:name w:val="Report Heading 2 Char"/>
    <w:basedOn w:val="Heading2Char"/>
    <w:link w:val="ReportHeading2"/>
    <w:rsid w:val="008962F6"/>
    <w:rPr>
      <w:rFonts w:ascii="Calibri" w:eastAsiaTheme="majorEastAsia" w:hAnsi="Calibri" w:cstheme="majorBidi"/>
      <w:b/>
      <w:bCs/>
      <w:color w:val="000000" w:themeColor="text1"/>
      <w:sz w:val="28"/>
      <w:szCs w:val="26"/>
    </w:rPr>
  </w:style>
  <w:style w:type="paragraph" w:customStyle="1" w:styleId="ReportHeading4">
    <w:name w:val="Report Heading 4"/>
    <w:basedOn w:val="Heading4"/>
    <w:next w:val="Normal"/>
    <w:link w:val="ReportHeading4Char"/>
    <w:rsid w:val="008962F6"/>
    <w:pPr>
      <w:numPr>
        <w:ilvl w:val="0"/>
        <w:numId w:val="0"/>
      </w:numPr>
      <w:tabs>
        <w:tab w:val="num" w:pos="851"/>
      </w:tabs>
      <w:spacing w:before="240" w:after="180"/>
      <w:ind w:left="851" w:hanging="851"/>
    </w:pPr>
    <w:rPr>
      <w:rFonts w:ascii="Calibri" w:hAnsi="Calibri"/>
      <w:color w:val="000000" w:themeColor="text1"/>
    </w:rPr>
  </w:style>
  <w:style w:type="character" w:customStyle="1" w:styleId="ReportHeading4Char">
    <w:name w:val="Report Heading 4 Char"/>
    <w:basedOn w:val="Heading4Char"/>
    <w:link w:val="ReportHeading4"/>
    <w:rsid w:val="008962F6"/>
    <w:rPr>
      <w:rFonts w:ascii="Calibri" w:eastAsiaTheme="majorEastAsia" w:hAnsi="Calibri" w:cstheme="majorBidi"/>
      <w:b/>
      <w:bCs/>
      <w:i/>
      <w:iCs/>
      <w:color w:val="000000" w:themeColor="text1"/>
    </w:rPr>
  </w:style>
  <w:style w:type="paragraph" w:customStyle="1" w:styleId="ReportHeading5">
    <w:name w:val="Report Heading 5"/>
    <w:basedOn w:val="Heading5"/>
    <w:next w:val="Normal"/>
    <w:rsid w:val="008962F6"/>
    <w:pPr>
      <w:numPr>
        <w:ilvl w:val="0"/>
        <w:numId w:val="0"/>
      </w:numPr>
      <w:spacing w:before="240" w:after="180"/>
    </w:pPr>
    <w:rPr>
      <w:rFonts w:ascii="Calibri" w:hAnsi="Calibri"/>
      <w:b/>
      <w:color w:val="000000"/>
    </w:rPr>
  </w:style>
  <w:style w:type="paragraph" w:styleId="NormalWeb">
    <w:name w:val="Normal (Web)"/>
    <w:basedOn w:val="Normal"/>
    <w:uiPriority w:val="99"/>
    <w:semiHidden/>
    <w:unhideWhenUsed/>
    <w:rsid w:val="006274B8"/>
    <w:pPr>
      <w:spacing w:before="100" w:beforeAutospacing="1" w:after="100" w:afterAutospacing="1"/>
    </w:pPr>
    <w:rPr>
      <w:rFonts w:ascii="Times New Roman" w:eastAsiaTheme="minorEastAsia" w:hAnsi="Times New Roman"/>
      <w:sz w:val="24"/>
      <w:szCs w:val="24"/>
      <w:lang w:eastAsia="en-GB"/>
    </w:rPr>
  </w:style>
  <w:style w:type="paragraph" w:styleId="Title">
    <w:name w:val="Title"/>
    <w:basedOn w:val="Normal"/>
    <w:link w:val="TitleChar"/>
    <w:rsid w:val="00D46B50"/>
    <w:pPr>
      <w:spacing w:after="0"/>
      <w:jc w:val="center"/>
    </w:pPr>
    <w:rPr>
      <w:rFonts w:ascii="Times New Roman" w:hAnsi="Times New Roman"/>
      <w:b/>
      <w:sz w:val="24"/>
      <w:u w:val="single"/>
      <w:lang w:eastAsia="en-GB"/>
    </w:rPr>
  </w:style>
  <w:style w:type="character" w:customStyle="1" w:styleId="TitleChar">
    <w:name w:val="Title Char"/>
    <w:basedOn w:val="DefaultParagraphFont"/>
    <w:link w:val="Title"/>
    <w:rsid w:val="00D46B50"/>
    <w:rPr>
      <w:rFonts w:ascii="Times New Roman" w:eastAsia="Times New Roman" w:hAnsi="Times New Roman" w:cs="Times New Roman"/>
      <w:b/>
      <w:sz w:val="24"/>
      <w:szCs w:val="20"/>
      <w:u w:val="single"/>
      <w:lang w:eastAsia="en-GB"/>
    </w:rPr>
  </w:style>
  <w:style w:type="paragraph" w:customStyle="1" w:styleId="NormalSCG">
    <w:name w:val="Normal_SCG"/>
    <w:basedOn w:val="Normal"/>
    <w:link w:val="NormalSCGChar"/>
    <w:qFormat/>
    <w:rsid w:val="00D46B50"/>
    <w:pPr>
      <w:tabs>
        <w:tab w:val="left" w:pos="-180"/>
      </w:tabs>
      <w:spacing w:after="0"/>
      <w:ind w:left="-426" w:right="-514"/>
      <w:jc w:val="both"/>
    </w:pPr>
    <w:rPr>
      <w:rFonts w:asciiTheme="minorHAnsi" w:hAnsiTheme="minorHAnsi"/>
      <w:sz w:val="22"/>
      <w:szCs w:val="22"/>
    </w:rPr>
  </w:style>
  <w:style w:type="character" w:customStyle="1" w:styleId="NormalSCGChar">
    <w:name w:val="Normal_SCG Char"/>
    <w:basedOn w:val="DefaultParagraphFont"/>
    <w:link w:val="NormalSCG"/>
    <w:rsid w:val="00D46B50"/>
    <w:rPr>
      <w:rFonts w:eastAsia="Times New Roman" w:cs="Times New Roman"/>
    </w:rPr>
  </w:style>
  <w:style w:type="paragraph" w:customStyle="1" w:styleId="Default">
    <w:name w:val="Default"/>
    <w:rsid w:val="00226FBE"/>
    <w:pPr>
      <w:widowControl w:val="0"/>
      <w:autoSpaceDE w:val="0"/>
      <w:autoSpaceDN w:val="0"/>
      <w:adjustRightInd w:val="0"/>
      <w:spacing w:after="0" w:line="240" w:lineRule="auto"/>
    </w:pPr>
    <w:rPr>
      <w:rFonts w:ascii="Helvetica" w:eastAsiaTheme="minorEastAsia" w:hAnsi="Helvetica" w:cs="Helvetica"/>
      <w:color w:val="000000"/>
      <w:sz w:val="24"/>
      <w:szCs w:val="24"/>
      <w:lang w:eastAsia="en-GB"/>
    </w:rPr>
  </w:style>
  <w:style w:type="paragraph" w:customStyle="1" w:styleId="CM13">
    <w:name w:val="CM13"/>
    <w:basedOn w:val="Default"/>
    <w:next w:val="Default"/>
    <w:uiPriority w:val="99"/>
    <w:rsid w:val="00226FBE"/>
    <w:pPr>
      <w:spacing w:after="113"/>
    </w:pPr>
    <w:rPr>
      <w:rFonts w:cstheme="minorBidi"/>
      <w:color w:val="auto"/>
    </w:rPr>
  </w:style>
  <w:style w:type="character" w:styleId="UnresolvedMention">
    <w:name w:val="Unresolved Mention"/>
    <w:basedOn w:val="DefaultParagraphFont"/>
    <w:uiPriority w:val="99"/>
    <w:semiHidden/>
    <w:unhideWhenUsed/>
    <w:rsid w:val="00261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57386">
      <w:bodyDiv w:val="1"/>
      <w:marLeft w:val="0"/>
      <w:marRight w:val="0"/>
      <w:marTop w:val="0"/>
      <w:marBottom w:val="0"/>
      <w:divBdr>
        <w:top w:val="none" w:sz="0" w:space="0" w:color="auto"/>
        <w:left w:val="none" w:sz="0" w:space="0" w:color="auto"/>
        <w:bottom w:val="none" w:sz="0" w:space="0" w:color="auto"/>
        <w:right w:val="none" w:sz="0" w:space="0" w:color="auto"/>
      </w:divBdr>
    </w:div>
    <w:div w:id="504781967">
      <w:bodyDiv w:val="1"/>
      <w:marLeft w:val="0"/>
      <w:marRight w:val="0"/>
      <w:marTop w:val="0"/>
      <w:marBottom w:val="0"/>
      <w:divBdr>
        <w:top w:val="none" w:sz="0" w:space="0" w:color="auto"/>
        <w:left w:val="none" w:sz="0" w:space="0" w:color="auto"/>
        <w:bottom w:val="none" w:sz="0" w:space="0" w:color="auto"/>
        <w:right w:val="none" w:sz="0" w:space="0" w:color="auto"/>
      </w:divBdr>
    </w:div>
    <w:div w:id="517237362">
      <w:bodyDiv w:val="1"/>
      <w:marLeft w:val="0"/>
      <w:marRight w:val="0"/>
      <w:marTop w:val="0"/>
      <w:marBottom w:val="0"/>
      <w:divBdr>
        <w:top w:val="none" w:sz="0" w:space="0" w:color="auto"/>
        <w:left w:val="none" w:sz="0" w:space="0" w:color="auto"/>
        <w:bottom w:val="none" w:sz="0" w:space="0" w:color="auto"/>
        <w:right w:val="none" w:sz="0" w:space="0" w:color="auto"/>
      </w:divBdr>
    </w:div>
    <w:div w:id="823472431">
      <w:bodyDiv w:val="1"/>
      <w:marLeft w:val="0"/>
      <w:marRight w:val="0"/>
      <w:marTop w:val="0"/>
      <w:marBottom w:val="0"/>
      <w:divBdr>
        <w:top w:val="none" w:sz="0" w:space="0" w:color="auto"/>
        <w:left w:val="none" w:sz="0" w:space="0" w:color="auto"/>
        <w:bottom w:val="none" w:sz="0" w:space="0" w:color="auto"/>
        <w:right w:val="none" w:sz="0" w:space="0" w:color="auto"/>
      </w:divBdr>
    </w:div>
    <w:div w:id="848566913">
      <w:bodyDiv w:val="1"/>
      <w:marLeft w:val="0"/>
      <w:marRight w:val="0"/>
      <w:marTop w:val="0"/>
      <w:marBottom w:val="0"/>
      <w:divBdr>
        <w:top w:val="none" w:sz="0" w:space="0" w:color="auto"/>
        <w:left w:val="none" w:sz="0" w:space="0" w:color="auto"/>
        <w:bottom w:val="none" w:sz="0" w:space="0" w:color="auto"/>
        <w:right w:val="none" w:sz="0" w:space="0" w:color="auto"/>
      </w:divBdr>
    </w:div>
    <w:div w:id="894050586">
      <w:bodyDiv w:val="1"/>
      <w:marLeft w:val="0"/>
      <w:marRight w:val="0"/>
      <w:marTop w:val="0"/>
      <w:marBottom w:val="0"/>
      <w:divBdr>
        <w:top w:val="none" w:sz="0" w:space="0" w:color="auto"/>
        <w:left w:val="none" w:sz="0" w:space="0" w:color="auto"/>
        <w:bottom w:val="none" w:sz="0" w:space="0" w:color="auto"/>
        <w:right w:val="none" w:sz="0" w:space="0" w:color="auto"/>
      </w:divBdr>
    </w:div>
    <w:div w:id="944656103">
      <w:bodyDiv w:val="1"/>
      <w:marLeft w:val="0"/>
      <w:marRight w:val="0"/>
      <w:marTop w:val="0"/>
      <w:marBottom w:val="0"/>
      <w:divBdr>
        <w:top w:val="none" w:sz="0" w:space="0" w:color="auto"/>
        <w:left w:val="none" w:sz="0" w:space="0" w:color="auto"/>
        <w:bottom w:val="none" w:sz="0" w:space="0" w:color="auto"/>
        <w:right w:val="none" w:sz="0" w:space="0" w:color="auto"/>
      </w:divBdr>
    </w:div>
    <w:div w:id="953095197">
      <w:bodyDiv w:val="1"/>
      <w:marLeft w:val="0"/>
      <w:marRight w:val="0"/>
      <w:marTop w:val="0"/>
      <w:marBottom w:val="0"/>
      <w:divBdr>
        <w:top w:val="none" w:sz="0" w:space="0" w:color="auto"/>
        <w:left w:val="none" w:sz="0" w:space="0" w:color="auto"/>
        <w:bottom w:val="none" w:sz="0" w:space="0" w:color="auto"/>
        <w:right w:val="none" w:sz="0" w:space="0" w:color="auto"/>
      </w:divBdr>
    </w:div>
    <w:div w:id="1059086281">
      <w:bodyDiv w:val="1"/>
      <w:marLeft w:val="0"/>
      <w:marRight w:val="0"/>
      <w:marTop w:val="0"/>
      <w:marBottom w:val="0"/>
      <w:divBdr>
        <w:top w:val="none" w:sz="0" w:space="0" w:color="auto"/>
        <w:left w:val="none" w:sz="0" w:space="0" w:color="auto"/>
        <w:bottom w:val="none" w:sz="0" w:space="0" w:color="auto"/>
        <w:right w:val="none" w:sz="0" w:space="0" w:color="auto"/>
      </w:divBdr>
    </w:div>
    <w:div w:id="1101611634">
      <w:bodyDiv w:val="1"/>
      <w:marLeft w:val="0"/>
      <w:marRight w:val="0"/>
      <w:marTop w:val="0"/>
      <w:marBottom w:val="0"/>
      <w:divBdr>
        <w:top w:val="none" w:sz="0" w:space="0" w:color="auto"/>
        <w:left w:val="none" w:sz="0" w:space="0" w:color="auto"/>
        <w:bottom w:val="none" w:sz="0" w:space="0" w:color="auto"/>
        <w:right w:val="none" w:sz="0" w:space="0" w:color="auto"/>
      </w:divBdr>
    </w:div>
    <w:div w:id="1150748999">
      <w:bodyDiv w:val="1"/>
      <w:marLeft w:val="0"/>
      <w:marRight w:val="0"/>
      <w:marTop w:val="0"/>
      <w:marBottom w:val="0"/>
      <w:divBdr>
        <w:top w:val="none" w:sz="0" w:space="0" w:color="auto"/>
        <w:left w:val="none" w:sz="0" w:space="0" w:color="auto"/>
        <w:bottom w:val="none" w:sz="0" w:space="0" w:color="auto"/>
        <w:right w:val="none" w:sz="0" w:space="0" w:color="auto"/>
      </w:divBdr>
    </w:div>
    <w:div w:id="1420444671">
      <w:bodyDiv w:val="1"/>
      <w:marLeft w:val="0"/>
      <w:marRight w:val="0"/>
      <w:marTop w:val="0"/>
      <w:marBottom w:val="0"/>
      <w:divBdr>
        <w:top w:val="none" w:sz="0" w:space="0" w:color="auto"/>
        <w:left w:val="none" w:sz="0" w:space="0" w:color="auto"/>
        <w:bottom w:val="none" w:sz="0" w:space="0" w:color="auto"/>
        <w:right w:val="none" w:sz="0" w:space="0" w:color="auto"/>
      </w:divBdr>
    </w:div>
    <w:div w:id="1508012618">
      <w:bodyDiv w:val="1"/>
      <w:marLeft w:val="0"/>
      <w:marRight w:val="0"/>
      <w:marTop w:val="0"/>
      <w:marBottom w:val="0"/>
      <w:divBdr>
        <w:top w:val="none" w:sz="0" w:space="0" w:color="auto"/>
        <w:left w:val="none" w:sz="0" w:space="0" w:color="auto"/>
        <w:bottom w:val="none" w:sz="0" w:space="0" w:color="auto"/>
        <w:right w:val="none" w:sz="0" w:space="0" w:color="auto"/>
      </w:divBdr>
    </w:div>
    <w:div w:id="1664046497">
      <w:bodyDiv w:val="1"/>
      <w:marLeft w:val="0"/>
      <w:marRight w:val="0"/>
      <w:marTop w:val="0"/>
      <w:marBottom w:val="0"/>
      <w:divBdr>
        <w:top w:val="none" w:sz="0" w:space="0" w:color="auto"/>
        <w:left w:val="none" w:sz="0" w:space="0" w:color="auto"/>
        <w:bottom w:val="none" w:sz="0" w:space="0" w:color="auto"/>
        <w:right w:val="none" w:sz="0" w:space="0" w:color="auto"/>
      </w:divBdr>
    </w:div>
    <w:div w:id="1735278165">
      <w:bodyDiv w:val="1"/>
      <w:marLeft w:val="0"/>
      <w:marRight w:val="0"/>
      <w:marTop w:val="0"/>
      <w:marBottom w:val="0"/>
      <w:divBdr>
        <w:top w:val="none" w:sz="0" w:space="0" w:color="auto"/>
        <w:left w:val="none" w:sz="0" w:space="0" w:color="auto"/>
        <w:bottom w:val="none" w:sz="0" w:space="0" w:color="auto"/>
        <w:right w:val="none" w:sz="0" w:space="0" w:color="auto"/>
      </w:divBdr>
    </w:div>
    <w:div w:id="1750689251">
      <w:bodyDiv w:val="1"/>
      <w:marLeft w:val="0"/>
      <w:marRight w:val="0"/>
      <w:marTop w:val="0"/>
      <w:marBottom w:val="0"/>
      <w:divBdr>
        <w:top w:val="none" w:sz="0" w:space="0" w:color="auto"/>
        <w:left w:val="none" w:sz="0" w:space="0" w:color="auto"/>
        <w:bottom w:val="none" w:sz="0" w:space="0" w:color="auto"/>
        <w:right w:val="none" w:sz="0" w:space="0" w:color="auto"/>
      </w:divBdr>
    </w:div>
    <w:div w:id="1823812549">
      <w:bodyDiv w:val="1"/>
      <w:marLeft w:val="0"/>
      <w:marRight w:val="0"/>
      <w:marTop w:val="0"/>
      <w:marBottom w:val="0"/>
      <w:divBdr>
        <w:top w:val="none" w:sz="0" w:space="0" w:color="auto"/>
        <w:left w:val="none" w:sz="0" w:space="0" w:color="auto"/>
        <w:bottom w:val="none" w:sz="0" w:space="0" w:color="auto"/>
        <w:right w:val="none" w:sz="0" w:space="0" w:color="auto"/>
      </w:divBdr>
    </w:div>
    <w:div w:id="1839533830">
      <w:bodyDiv w:val="1"/>
      <w:marLeft w:val="0"/>
      <w:marRight w:val="0"/>
      <w:marTop w:val="0"/>
      <w:marBottom w:val="0"/>
      <w:divBdr>
        <w:top w:val="none" w:sz="0" w:space="0" w:color="auto"/>
        <w:left w:val="none" w:sz="0" w:space="0" w:color="auto"/>
        <w:bottom w:val="none" w:sz="0" w:space="0" w:color="auto"/>
        <w:right w:val="none" w:sz="0" w:space="0" w:color="auto"/>
      </w:divBdr>
    </w:div>
    <w:div w:id="194487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dicines.org.uk/em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guidance/ta20/chapter/1-Guid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bnf.nice.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icines.org.uk/em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rps\Desktop\NHS\(ClinS)%20Pharmacy%20Department%20-%20MEP%20and%20JFC%20-%20MEP\JFC\Templates\NCL%20JFC%20Shared%20Care%20Guideline%20Template_v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0904F1CA799A4EB2B8E1B37AAB5F88" ma:contentTypeVersion="14" ma:contentTypeDescription="Create a new document." ma:contentTypeScope="" ma:versionID="bdc6f49b99f8292c351139f851ddb608">
  <xsd:schema xmlns:xsd="http://www.w3.org/2001/XMLSchema" xmlns:xs="http://www.w3.org/2001/XMLSchema" xmlns:p="http://schemas.microsoft.com/office/2006/metadata/properties" xmlns:ns1="http://schemas.microsoft.com/sharepoint/v3" xmlns:ns2="de37781b-99aa-4df2-92c5-14938be939e3" xmlns:ns3="c3ed8bc8-98dc-4f3f-bb05-b9d1322e6f3e" targetNamespace="http://schemas.microsoft.com/office/2006/metadata/properties" ma:root="true" ma:fieldsID="2f1227ec761c6f793b06b29b10f03659" ns1:_="" ns2:_="" ns3:_="">
    <xsd:import namespace="http://schemas.microsoft.com/sharepoint/v3"/>
    <xsd:import namespace="de37781b-99aa-4df2-92c5-14938be939e3"/>
    <xsd:import namespace="c3ed8bc8-98dc-4f3f-bb05-b9d1322e6f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37781b-99aa-4df2-92c5-14938be9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d8bc8-98dc-4f3f-bb05-b9d1322e6f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de37781b-99aa-4df2-92c5-14938be939e3" xsi:nil="true"/>
    <_ip_UnifiedCompliancePolicyUIAction xmlns="http://schemas.microsoft.com/sharepoint/v3" xsi:nil="true"/>
    <_ip_UnifiedCompliancePolicyProperties xmlns="http://schemas.microsoft.com/sharepoint/v3" xsi:nil="true"/>
    <lcf76f155ced4ddcb4097134ff3c332f xmlns="de37781b-99aa-4df2-92c5-14938be939e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EC081-B7DC-4877-9A63-B50D699DA27C}">
  <ds:schemaRefs>
    <ds:schemaRef ds:uri="http://schemas.openxmlformats.org/officeDocument/2006/bibliography"/>
  </ds:schemaRefs>
</ds:datastoreItem>
</file>

<file path=customXml/itemProps2.xml><?xml version="1.0" encoding="utf-8"?>
<ds:datastoreItem xmlns:ds="http://schemas.openxmlformats.org/officeDocument/2006/customXml" ds:itemID="{EE89978D-A762-45B3-B31F-FBB172D0E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37781b-99aa-4df2-92c5-14938be939e3"/>
    <ds:schemaRef ds:uri="c3ed8bc8-98dc-4f3f-bb05-b9d1322e6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66A7F-9802-4292-8511-A855721FCF69}">
  <ds:schemaRefs>
    <ds:schemaRef ds:uri="http://schemas.microsoft.com/office/2006/metadata/properties"/>
    <ds:schemaRef ds:uri="http://schemas.microsoft.com/office/infopath/2007/PartnerControls"/>
    <ds:schemaRef ds:uri="de37781b-99aa-4df2-92c5-14938be939e3"/>
    <ds:schemaRef ds:uri="http://schemas.microsoft.com/sharepoint/v3"/>
  </ds:schemaRefs>
</ds:datastoreItem>
</file>

<file path=customXml/itemProps4.xml><?xml version="1.0" encoding="utf-8"?>
<ds:datastoreItem xmlns:ds="http://schemas.openxmlformats.org/officeDocument/2006/customXml" ds:itemID="{D15B1435-A961-454F-B70B-43F3DE329929}">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NCL JFC Shared Care Guideline Template_v4.1.dotx</Template>
  <TotalTime>3</TotalTime>
  <Pages>11</Pages>
  <Words>2862</Words>
  <Characters>16314</Characters>
  <Application>Microsoft Office Word</Application>
  <DocSecurity>0</DocSecurity>
  <Lines>135</Lines>
  <Paragraphs>38</Paragraphs>
  <ScaleCrop>false</ScaleCrop>
  <Company>Abacus International</Company>
  <LinksUpToDate>false</LinksUpToDate>
  <CharactersWithSpaces>19138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&lt;&lt;Add Title. Not more than 4 lines. Drop font size as necessary to fit in box&gt;&gt;</dc:title>
  <dc:subject>….</dc:subject>
  <dc:creator>Maru,Saloni</dc:creator>
  <cp:keywords/>
  <cp:lastModifiedBy>MARU, Saloni (UNIVERSITY COLLEGE LONDON HOSPITALS NHS FOUNDATION TRUST)</cp:lastModifiedBy>
  <cp:revision>33</cp:revision>
  <cp:lastPrinted>2023-12-04T09:24:00Z</cp:lastPrinted>
  <dcterms:created xsi:type="dcterms:W3CDTF">2023-11-24T09:56:00Z</dcterms:created>
  <dcterms:modified xsi:type="dcterms:W3CDTF">2023-12-05T09:19:00Z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0x0101002D0904F1CA799A4EB2B8E1B37AAB5F88</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