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530"/>
        <w:rPr>
          <w:rFonts w:ascii="Times New Roman"/>
        </w:rPr>
      </w:pPr>
      <w:r>
        <w:rPr>
          <w:rFonts w:ascii="Times New Roman"/>
        </w:rPr>
        <w:drawing>
          <wp:inline distT="0" distB="0" distL="0" distR="0">
            <wp:extent cx="890899" cy="35966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890899" cy="359664"/>
                    </a:xfrm>
                    <a:prstGeom prst="rect">
                      <a:avLst/>
                    </a:prstGeom>
                  </pic:spPr>
                </pic:pic>
              </a:graphicData>
            </a:graphic>
          </wp:inline>
        </w:drawing>
      </w:r>
      <w:r>
        <w:rPr>
          <w:rFonts w:ascii="Times New Roman"/>
        </w:rPr>
      </w:r>
    </w:p>
    <w:p>
      <w:pPr>
        <w:pStyle w:val="BodyText"/>
        <w:rPr>
          <w:rFonts w:ascii="Times New Roman"/>
        </w:rPr>
      </w:pPr>
    </w:p>
    <w:p>
      <w:pPr>
        <w:pStyle w:val="BodyText"/>
        <w:spacing w:before="5"/>
        <w:rPr>
          <w:rFonts w:ascii="Times New Roman"/>
          <w:sz w:val="16"/>
        </w:rPr>
      </w:pPr>
    </w:p>
    <w:p>
      <w:pPr>
        <w:pStyle w:val="Heading1"/>
        <w:spacing w:before="92"/>
        <w:ind w:left="7825" w:right="752" w:firstLine="639"/>
        <w:jc w:val="right"/>
      </w:pPr>
      <w:r>
        <w:rPr>
          <w:color w:val="0071C5"/>
        </w:rPr>
        <w:t>North Central London</w:t>
      </w:r>
      <w:r>
        <w:rPr>
          <w:color w:val="0071C5"/>
          <w:w w:val="100"/>
        </w:rPr>
        <w:t> </w:t>
      </w:r>
      <w:r>
        <w:rPr>
          <w:color w:val="0071C5"/>
        </w:rPr>
        <w:t>Joint Formulary Committee</w:t>
      </w:r>
    </w:p>
    <w:p>
      <w:pPr>
        <w:pStyle w:val="BodyText"/>
        <w:rPr>
          <w:b/>
        </w:rPr>
      </w:pPr>
    </w:p>
    <w:p>
      <w:pPr>
        <w:pStyle w:val="BodyText"/>
        <w:spacing w:before="4"/>
        <w:rPr>
          <w:b/>
          <w:sz w:val="17"/>
        </w:rPr>
      </w:pPr>
      <w:r>
        <w:rPr/>
        <w:pict>
          <v:group style="position:absolute;margin-left:13.44pt;margin-top:11.965078pt;width:573.7pt;height:77.45pt;mso-position-horizontal-relative:page;mso-position-vertical-relative:paragraph;z-index:-1000;mso-wrap-distance-left:0;mso-wrap-distance-right:0" coordorigin="269,239" coordsize="11474,1549">
            <v:rect style="position:absolute;left:268;top:239;width:11474;height:450" filled="true" fillcolor="#538dd3" stroked="false">
              <v:fill type="solid"/>
            </v:rect>
            <v:rect style="position:absolute;left:268;top:688;width:11474;height:650" filled="true" fillcolor="#538dd3" stroked="false">
              <v:fill type="solid"/>
            </v:rect>
            <v:rect style="position:absolute;left:268;top:1337;width:11474;height:450" filled="true" fillcolor="#538dd3" stroked="false">
              <v:fill type="solid"/>
            </v:rect>
            <v:shape style="position:absolute;left:268;top:239;width:11474;height:1549" type="#_x0000_t202" filled="false" stroked="false">
              <v:textbox inset="0,0,0,0">
                <w:txbxContent>
                  <w:p>
                    <w:pPr>
                      <w:spacing w:before="0"/>
                      <w:ind w:left="771" w:right="772" w:firstLine="0"/>
                      <w:jc w:val="center"/>
                      <w:rPr>
                        <w:rFonts w:ascii="Calibri"/>
                        <w:b/>
                        <w:sz w:val="32"/>
                      </w:rPr>
                    </w:pPr>
                    <w:r>
                      <w:rPr>
                        <w:rFonts w:ascii="Calibri"/>
                        <w:b/>
                        <w:color w:val="FFFFFF"/>
                        <w:sz w:val="32"/>
                      </w:rPr>
                      <w:t>Shared Care</w:t>
                    </w:r>
                    <w:r>
                      <w:rPr>
                        <w:rFonts w:ascii="Calibri"/>
                        <w:b/>
                        <w:color w:val="FFFFFF"/>
                        <w:spacing w:val="-5"/>
                        <w:sz w:val="32"/>
                      </w:rPr>
                      <w:t> </w:t>
                    </w:r>
                    <w:r>
                      <w:rPr>
                        <w:rFonts w:ascii="Calibri"/>
                        <w:b/>
                        <w:color w:val="FFFFFF"/>
                        <w:sz w:val="32"/>
                      </w:rPr>
                      <w:t>Guideline</w:t>
                    </w:r>
                  </w:p>
                  <w:p>
                    <w:pPr>
                      <w:spacing w:line="276" w:lineRule="auto" w:before="259"/>
                      <w:ind w:left="773" w:right="772" w:firstLine="0"/>
                      <w:jc w:val="center"/>
                      <w:rPr>
                        <w:rFonts w:ascii="Calibri"/>
                        <w:b/>
                        <w:sz w:val="32"/>
                      </w:rPr>
                    </w:pPr>
                    <w:r>
                      <w:rPr>
                        <w:rFonts w:ascii="Calibri"/>
                        <w:b/>
                        <w:color w:val="FFFFFF"/>
                        <w:sz w:val="32"/>
                      </w:rPr>
                      <w:t>Prescribing and Monitoring of oral METHOTREXATE 2.5mg tablets in adults Licensed and off-label indications</w:t>
                    </w:r>
                  </w:p>
                </w:txbxContent>
              </v:textbox>
              <w10:wrap type="none"/>
            </v:shape>
            <w10:wrap type="topAndBottom"/>
          </v:group>
        </w:pict>
      </w:r>
      <w:r>
        <w:rPr/>
        <w:pict>
          <v:shape style="position:absolute;margin-left:31.947001pt;margin-top:100.569275pt;width:536.65pt;height:29.7pt;mso-position-horizontal-relative:page;mso-position-vertical-relative:paragraph;z-index:-976;mso-wrap-distance-left:0;mso-wrap-distance-right:0" type="#_x0000_t202" filled="false" stroked="true" strokeweight="1pt" strokecolor="#ff0000">
            <v:textbox inset="0,0,0,0">
              <w:txbxContent>
                <w:p>
                  <w:pPr>
                    <w:spacing w:line="222" w:lineRule="exact" w:before="0"/>
                    <w:ind w:left="437" w:right="437" w:firstLine="0"/>
                    <w:jc w:val="center"/>
                    <w:rPr>
                      <w:rFonts w:ascii="Calibri"/>
                      <w:b/>
                      <w:i/>
                      <w:sz w:val="20"/>
                    </w:rPr>
                  </w:pPr>
                  <w:r>
                    <w:rPr>
                      <w:rFonts w:ascii="Calibri"/>
                      <w:b/>
                      <w:i/>
                      <w:color w:val="FF0000"/>
                      <w:sz w:val="20"/>
                    </w:rPr>
                    <w:t>This document is currently under review - as some of the content may be out of date, it should be viewed as an archive</w:t>
                  </w:r>
                </w:p>
                <w:p>
                  <w:pPr>
                    <w:spacing w:line="242" w:lineRule="exact" w:before="0"/>
                    <w:ind w:left="437" w:right="436" w:firstLine="0"/>
                    <w:jc w:val="center"/>
                    <w:rPr>
                      <w:rFonts w:ascii="Calibri"/>
                      <w:b/>
                      <w:i/>
                      <w:sz w:val="20"/>
                    </w:rPr>
                  </w:pPr>
                  <w:r>
                    <w:rPr>
                      <w:rFonts w:ascii="Calibri"/>
                      <w:b/>
                      <w:i/>
                      <w:color w:val="FF0000"/>
                      <w:sz w:val="20"/>
                    </w:rPr>
                    <w:t>document for information only. If you have any queries, please emai</w:t>
                  </w:r>
                  <w:hyperlink r:id="rId7">
                    <w:r>
                      <w:rPr>
                        <w:rFonts w:ascii="Calibri"/>
                        <w:b/>
                        <w:i/>
                        <w:color w:val="FF0000"/>
                        <w:sz w:val="20"/>
                      </w:rPr>
                      <w:t>l admin.ncl-mon@nhs.net</w:t>
                    </w:r>
                  </w:hyperlink>
                </w:p>
              </w:txbxContent>
            </v:textbox>
            <v:stroke dashstyle="solid"/>
            <w10:wrap type="topAndBottom"/>
          </v:shape>
        </w:pict>
      </w:r>
    </w:p>
    <w:p>
      <w:pPr>
        <w:pStyle w:val="BodyText"/>
        <w:spacing w:before="7"/>
        <w:rPr>
          <w:b/>
          <w:sz w:val="12"/>
        </w:rPr>
      </w:pPr>
    </w:p>
    <w:p>
      <w:pPr>
        <w:pStyle w:val="BodyText"/>
        <w:rPr>
          <w:b/>
          <w:sz w:val="19"/>
        </w:rPr>
      </w:pPr>
    </w:p>
    <w:p>
      <w:pPr>
        <w:pStyle w:val="BodyText"/>
        <w:spacing w:before="94"/>
        <w:ind w:left="678"/>
      </w:pPr>
      <w:r>
        <w:rPr/>
        <w:t>Dear GP,</w:t>
      </w:r>
    </w:p>
    <w:p>
      <w:pPr>
        <w:pStyle w:val="BodyText"/>
        <w:rPr>
          <w:sz w:val="19"/>
        </w:rPr>
      </w:pPr>
    </w:p>
    <w:p>
      <w:pPr>
        <w:pStyle w:val="BodyText"/>
        <w:ind w:left="678" w:right="1112"/>
        <w:jc w:val="both"/>
      </w:pPr>
      <w:r>
        <w:rPr/>
        <w:t>Progressing to a stable, optimal dose usually takes about three months. Once achieved, a Shared Care arrangement with you will be requested. It will clarify responsibilities between the specialist and general practitioner (GP) for managing the prescribing of methotrexate such as:</w:t>
      </w:r>
    </w:p>
    <w:p>
      <w:pPr>
        <w:pStyle w:val="ListParagraph"/>
        <w:numPr>
          <w:ilvl w:val="0"/>
          <w:numId w:val="1"/>
        </w:numPr>
        <w:tabs>
          <w:tab w:pos="1322" w:val="left" w:leader="none"/>
        </w:tabs>
        <w:spacing w:line="225" w:lineRule="exact" w:before="0" w:after="0"/>
        <w:ind w:left="1322" w:right="0" w:hanging="359"/>
        <w:jc w:val="left"/>
        <w:rPr>
          <w:sz w:val="20"/>
        </w:rPr>
      </w:pPr>
      <w:r>
        <w:rPr>
          <w:sz w:val="20"/>
        </w:rPr>
        <w:t>Who will</w:t>
      </w:r>
      <w:r>
        <w:rPr>
          <w:spacing w:val="-2"/>
          <w:sz w:val="20"/>
        </w:rPr>
        <w:t> </w:t>
      </w:r>
      <w:r>
        <w:rPr>
          <w:sz w:val="20"/>
        </w:rPr>
        <w:t>prescribe:</w:t>
      </w:r>
    </w:p>
    <w:p>
      <w:pPr>
        <w:pStyle w:val="ListParagraph"/>
        <w:numPr>
          <w:ilvl w:val="0"/>
          <w:numId w:val="1"/>
        </w:numPr>
        <w:tabs>
          <w:tab w:pos="1322" w:val="left" w:leader="none"/>
        </w:tabs>
        <w:spacing w:line="228" w:lineRule="exact" w:before="0" w:after="0"/>
        <w:ind w:left="1322" w:right="0" w:hanging="359"/>
        <w:jc w:val="left"/>
        <w:rPr>
          <w:sz w:val="20"/>
        </w:rPr>
      </w:pPr>
      <w:r>
        <w:rPr>
          <w:sz w:val="20"/>
        </w:rPr>
        <w:t>Who will</w:t>
      </w:r>
      <w:r>
        <w:rPr>
          <w:spacing w:val="-2"/>
          <w:sz w:val="20"/>
        </w:rPr>
        <w:t> </w:t>
      </w:r>
      <w:r>
        <w:rPr>
          <w:sz w:val="20"/>
        </w:rPr>
        <w:t>monitor;</w:t>
      </w:r>
    </w:p>
    <w:p>
      <w:pPr>
        <w:pStyle w:val="ListParagraph"/>
        <w:numPr>
          <w:ilvl w:val="0"/>
          <w:numId w:val="1"/>
        </w:numPr>
        <w:tabs>
          <w:tab w:pos="1324" w:val="left" w:leader="none"/>
        </w:tabs>
        <w:spacing w:line="228" w:lineRule="exact" w:before="4" w:after="0"/>
        <w:ind w:left="1323" w:right="0" w:hanging="360"/>
        <w:jc w:val="left"/>
        <w:rPr>
          <w:sz w:val="20"/>
        </w:rPr>
      </w:pPr>
      <w:r>
        <w:rPr>
          <w:sz w:val="20"/>
        </w:rPr>
        <w:t>How often blood tests will be conducted and in which</w:t>
      </w:r>
      <w:r>
        <w:rPr>
          <w:spacing w:val="-10"/>
          <w:sz w:val="20"/>
        </w:rPr>
        <w:t> </w:t>
      </w:r>
      <w:r>
        <w:rPr>
          <w:sz w:val="20"/>
        </w:rPr>
        <w:t>location;</w:t>
      </w:r>
    </w:p>
    <w:p>
      <w:pPr>
        <w:pStyle w:val="ListParagraph"/>
        <w:numPr>
          <w:ilvl w:val="0"/>
          <w:numId w:val="1"/>
        </w:numPr>
        <w:tabs>
          <w:tab w:pos="1324" w:val="left" w:leader="none"/>
        </w:tabs>
        <w:spacing w:line="228" w:lineRule="exact" w:before="0" w:after="0"/>
        <w:ind w:left="1323" w:right="0" w:hanging="360"/>
        <w:jc w:val="left"/>
        <w:rPr>
          <w:sz w:val="20"/>
        </w:rPr>
      </w:pPr>
      <w:r>
        <w:rPr>
          <w:sz w:val="20"/>
        </w:rPr>
        <w:t>Which clinician will be responsible for receipt and review of the</w:t>
      </w:r>
      <w:r>
        <w:rPr>
          <w:spacing w:val="-9"/>
          <w:sz w:val="20"/>
        </w:rPr>
        <w:t> </w:t>
      </w:r>
      <w:r>
        <w:rPr>
          <w:sz w:val="20"/>
        </w:rPr>
        <w:t>results;</w:t>
      </w:r>
    </w:p>
    <w:p>
      <w:pPr>
        <w:pStyle w:val="ListParagraph"/>
        <w:numPr>
          <w:ilvl w:val="0"/>
          <w:numId w:val="1"/>
        </w:numPr>
        <w:tabs>
          <w:tab w:pos="1322" w:val="left" w:leader="none"/>
        </w:tabs>
        <w:spacing w:line="240" w:lineRule="auto" w:before="3" w:after="0"/>
        <w:ind w:left="1322" w:right="0" w:hanging="359"/>
        <w:jc w:val="left"/>
        <w:rPr>
          <w:sz w:val="20"/>
        </w:rPr>
      </w:pPr>
      <w:r>
        <w:rPr>
          <w:sz w:val="20"/>
        </w:rPr>
        <w:t>Who will communicate any necessary changes in dose to the patient and the</w:t>
      </w:r>
      <w:r>
        <w:rPr>
          <w:spacing w:val="-16"/>
          <w:sz w:val="20"/>
        </w:rPr>
        <w:t> </w:t>
      </w:r>
      <w:r>
        <w:rPr>
          <w:sz w:val="20"/>
        </w:rPr>
        <w:t>GP;</w:t>
      </w:r>
    </w:p>
    <w:p>
      <w:pPr>
        <w:pStyle w:val="ListParagraph"/>
        <w:numPr>
          <w:ilvl w:val="0"/>
          <w:numId w:val="1"/>
        </w:numPr>
        <w:tabs>
          <w:tab w:pos="1324" w:val="left" w:leader="none"/>
        </w:tabs>
        <w:spacing w:line="240" w:lineRule="auto" w:before="0" w:after="0"/>
        <w:ind w:left="1323" w:right="0" w:hanging="360"/>
        <w:jc w:val="left"/>
        <w:rPr>
          <w:sz w:val="20"/>
        </w:rPr>
      </w:pPr>
      <w:r>
        <w:rPr>
          <w:sz w:val="20"/>
        </w:rPr>
        <w:t>Who will record test results in the Patient-Held Monitoring and Dosage Record</w:t>
      </w:r>
      <w:r>
        <w:rPr>
          <w:spacing w:val="-13"/>
          <w:sz w:val="20"/>
        </w:rPr>
        <w:t> </w:t>
      </w:r>
      <w:r>
        <w:rPr>
          <w:sz w:val="20"/>
        </w:rPr>
        <w:t>booklet.</w:t>
      </w:r>
    </w:p>
    <w:p>
      <w:pPr>
        <w:pStyle w:val="BodyText"/>
      </w:pPr>
    </w:p>
    <w:p>
      <w:pPr>
        <w:pStyle w:val="BodyText"/>
        <w:ind w:left="678" w:right="1111"/>
        <w:jc w:val="both"/>
      </w:pPr>
      <w:r>
        <w:rPr/>
        <w:t>GPs</w:t>
      </w:r>
      <w:r>
        <w:rPr>
          <w:spacing w:val="-6"/>
        </w:rPr>
        <w:t> </w:t>
      </w:r>
      <w:r>
        <w:rPr/>
        <w:t>are</w:t>
      </w:r>
      <w:r>
        <w:rPr>
          <w:spacing w:val="-6"/>
        </w:rPr>
        <w:t> </w:t>
      </w:r>
      <w:r>
        <w:rPr/>
        <w:t>asked</w:t>
      </w:r>
      <w:r>
        <w:rPr>
          <w:spacing w:val="-5"/>
        </w:rPr>
        <w:t> </w:t>
      </w:r>
      <w:r>
        <w:rPr/>
        <w:t>to</w:t>
      </w:r>
      <w:r>
        <w:rPr>
          <w:spacing w:val="-6"/>
        </w:rPr>
        <w:t> </w:t>
      </w:r>
      <w:r>
        <w:rPr/>
        <w:t>participate</w:t>
      </w:r>
      <w:r>
        <w:rPr>
          <w:spacing w:val="-6"/>
        </w:rPr>
        <w:t> </w:t>
      </w:r>
      <w:r>
        <w:rPr/>
        <w:t>in</w:t>
      </w:r>
      <w:r>
        <w:rPr>
          <w:spacing w:val="-8"/>
        </w:rPr>
        <w:t> </w:t>
      </w:r>
      <w:r>
        <w:rPr/>
        <w:t>this</w:t>
      </w:r>
      <w:r>
        <w:rPr>
          <w:spacing w:val="-9"/>
        </w:rPr>
        <w:t> </w:t>
      </w:r>
      <w:r>
        <w:rPr/>
        <w:t>shared</w:t>
      </w:r>
      <w:r>
        <w:rPr>
          <w:spacing w:val="-7"/>
        </w:rPr>
        <w:t> </w:t>
      </w:r>
      <w:r>
        <w:rPr/>
        <w:t>care</w:t>
      </w:r>
      <w:r>
        <w:rPr>
          <w:spacing w:val="-8"/>
        </w:rPr>
        <w:t> </w:t>
      </w:r>
      <w:r>
        <w:rPr/>
        <w:t>arrangement.</w:t>
      </w:r>
      <w:r>
        <w:rPr>
          <w:spacing w:val="41"/>
        </w:rPr>
        <w:t> </w:t>
      </w:r>
      <w:r>
        <w:rPr/>
        <w:t>If</w:t>
      </w:r>
      <w:r>
        <w:rPr>
          <w:spacing w:val="-6"/>
        </w:rPr>
        <w:t> </w:t>
      </w:r>
      <w:r>
        <w:rPr/>
        <w:t>the</w:t>
      </w:r>
      <w:r>
        <w:rPr>
          <w:spacing w:val="-6"/>
        </w:rPr>
        <w:t> </w:t>
      </w:r>
      <w:r>
        <w:rPr/>
        <w:t>GP</w:t>
      </w:r>
      <w:r>
        <w:rPr>
          <w:spacing w:val="-6"/>
        </w:rPr>
        <w:t> </w:t>
      </w:r>
      <w:r>
        <w:rPr/>
        <w:t>is</w:t>
      </w:r>
      <w:r>
        <w:rPr>
          <w:spacing w:val="-6"/>
        </w:rPr>
        <w:t> </w:t>
      </w:r>
      <w:r>
        <w:rPr/>
        <w:t>not</w:t>
      </w:r>
      <w:r>
        <w:rPr>
          <w:spacing w:val="-9"/>
        </w:rPr>
        <w:t> </w:t>
      </w:r>
      <w:r>
        <w:rPr/>
        <w:t>confident</w:t>
      </w:r>
      <w:r>
        <w:rPr>
          <w:spacing w:val="-5"/>
        </w:rPr>
        <w:t> </w:t>
      </w:r>
      <w:r>
        <w:rPr/>
        <w:t>to</w:t>
      </w:r>
      <w:r>
        <w:rPr>
          <w:spacing w:val="-5"/>
        </w:rPr>
        <w:t> </w:t>
      </w:r>
      <w:r>
        <w:rPr/>
        <w:t>undertake</w:t>
      </w:r>
      <w:r>
        <w:rPr>
          <w:spacing w:val="-6"/>
        </w:rPr>
        <w:t> </w:t>
      </w:r>
      <w:r>
        <w:rPr/>
        <w:t>these</w:t>
      </w:r>
      <w:r>
        <w:rPr>
          <w:spacing w:val="-6"/>
        </w:rPr>
        <w:t> </w:t>
      </w:r>
      <w:r>
        <w:rPr/>
        <w:t>roles, the</w:t>
      </w:r>
      <w:r>
        <w:rPr>
          <w:spacing w:val="-7"/>
        </w:rPr>
        <w:t> </w:t>
      </w:r>
      <w:r>
        <w:rPr/>
        <w:t>total</w:t>
      </w:r>
      <w:r>
        <w:rPr>
          <w:spacing w:val="-7"/>
        </w:rPr>
        <w:t> </w:t>
      </w:r>
      <w:r>
        <w:rPr/>
        <w:t>clinical</w:t>
      </w:r>
      <w:r>
        <w:rPr>
          <w:spacing w:val="-7"/>
        </w:rPr>
        <w:t> </w:t>
      </w:r>
      <w:r>
        <w:rPr/>
        <w:t>responsibility</w:t>
      </w:r>
      <w:r>
        <w:rPr>
          <w:spacing w:val="-7"/>
        </w:rPr>
        <w:t> </w:t>
      </w:r>
      <w:r>
        <w:rPr/>
        <w:t>for</w:t>
      </w:r>
      <w:r>
        <w:rPr>
          <w:spacing w:val="-6"/>
        </w:rPr>
        <w:t> </w:t>
      </w:r>
      <w:r>
        <w:rPr/>
        <w:t>the</w:t>
      </w:r>
      <w:r>
        <w:rPr>
          <w:spacing w:val="-7"/>
        </w:rPr>
        <w:t> </w:t>
      </w:r>
      <w:r>
        <w:rPr/>
        <w:t>patient</w:t>
      </w:r>
      <w:r>
        <w:rPr>
          <w:spacing w:val="-7"/>
        </w:rPr>
        <w:t> </w:t>
      </w:r>
      <w:r>
        <w:rPr/>
        <w:t>for</w:t>
      </w:r>
      <w:r>
        <w:rPr>
          <w:spacing w:val="-7"/>
        </w:rPr>
        <w:t> </w:t>
      </w:r>
      <w:r>
        <w:rPr/>
        <w:t>the</w:t>
      </w:r>
      <w:r>
        <w:rPr>
          <w:spacing w:val="-7"/>
        </w:rPr>
        <w:t> </w:t>
      </w:r>
      <w:r>
        <w:rPr/>
        <w:t>diagnosed</w:t>
      </w:r>
      <w:r>
        <w:rPr>
          <w:spacing w:val="-4"/>
        </w:rPr>
        <w:t> </w:t>
      </w:r>
      <w:r>
        <w:rPr/>
        <w:t>condition</w:t>
      </w:r>
      <w:r>
        <w:rPr>
          <w:spacing w:val="-7"/>
        </w:rPr>
        <w:t> </w:t>
      </w:r>
      <w:r>
        <w:rPr/>
        <w:t>remains</w:t>
      </w:r>
      <w:r>
        <w:rPr>
          <w:spacing w:val="-6"/>
        </w:rPr>
        <w:t> </w:t>
      </w:r>
      <w:r>
        <w:rPr/>
        <w:t>with</w:t>
      </w:r>
      <w:r>
        <w:rPr>
          <w:spacing w:val="-7"/>
        </w:rPr>
        <w:t> </w:t>
      </w:r>
      <w:r>
        <w:rPr/>
        <w:t>the</w:t>
      </w:r>
      <w:r>
        <w:rPr>
          <w:spacing w:val="-6"/>
        </w:rPr>
        <w:t> </w:t>
      </w:r>
      <w:r>
        <w:rPr/>
        <w:t>specialist.</w:t>
      </w:r>
      <w:r>
        <w:rPr>
          <w:spacing w:val="-7"/>
        </w:rPr>
        <w:t> </w:t>
      </w:r>
      <w:r>
        <w:rPr/>
        <w:t>However,</w:t>
      </w:r>
      <w:r>
        <w:rPr>
          <w:spacing w:val="-7"/>
        </w:rPr>
        <w:t> </w:t>
      </w:r>
      <w:r>
        <w:rPr/>
        <w:t>the GP is encouraged to contact the consultant to discuss their concerns and consider if further support can be provided to enable shared</w:t>
      </w:r>
      <w:r>
        <w:rPr>
          <w:spacing w:val="-5"/>
        </w:rPr>
        <w:t> </w:t>
      </w:r>
      <w:r>
        <w:rPr/>
        <w:t>care.</w:t>
      </w:r>
    </w:p>
    <w:p>
      <w:pPr>
        <w:pStyle w:val="BodyText"/>
        <w:spacing w:before="2"/>
        <w:rPr>
          <w:sz w:val="19"/>
        </w:rPr>
      </w:pPr>
    </w:p>
    <w:p>
      <w:pPr>
        <w:pStyle w:val="BodyText"/>
        <w:ind w:left="678" w:right="751"/>
      </w:pPr>
      <w:r>
        <w:rPr/>
        <w:t>Sharing of care assumes communication between the specialist, GP and patient. The intention to share care should be explained to the patient by the Consultant / specialist nurse when treatment is initiated. It is important that patients are consulted about treatment and are in agreement with it.</w:t>
      </w:r>
    </w:p>
    <w:p>
      <w:pPr>
        <w:pStyle w:val="BodyText"/>
        <w:spacing w:before="1"/>
        <w:rPr>
          <w:sz w:val="19"/>
        </w:rPr>
      </w:pPr>
    </w:p>
    <w:p>
      <w:pPr>
        <w:pStyle w:val="Heading3"/>
      </w:pPr>
      <w:r>
        <w:rPr/>
        <w:t>Shared Care Criteria</w:t>
      </w:r>
    </w:p>
    <w:p>
      <w:pPr>
        <w:pStyle w:val="BodyText"/>
        <w:spacing w:before="98"/>
        <w:ind w:left="678" w:right="1114"/>
        <w:jc w:val="both"/>
      </w:pPr>
      <w:r>
        <w:rPr/>
        <w:t>Patients who are stabilised on methotrexate 2.5mg tablets and have been monitored appropriately at baseline and after initiation of treatment with no problems identified during this period. Methotrexate 10mg tablets should </w:t>
      </w:r>
      <w:r>
        <w:rPr>
          <w:b/>
          <w:u w:val="thick"/>
        </w:rPr>
        <w:t>not</w:t>
      </w:r>
      <w:r>
        <w:rPr>
          <w:b/>
        </w:rPr>
        <w:t> </w:t>
      </w:r>
      <w:r>
        <w:rPr/>
        <w:t>be prescribed.</w:t>
      </w:r>
    </w:p>
    <w:p>
      <w:pPr>
        <w:spacing w:after="0"/>
        <w:jc w:val="both"/>
        <w:sectPr>
          <w:footerReference w:type="default" r:id="rId5"/>
          <w:type w:val="continuous"/>
          <w:pgSz w:w="11910" w:h="16840"/>
          <w:pgMar w:footer="1240" w:top="280" w:bottom="1440" w:left="160" w:right="40"/>
          <w:pgNumType w:start="1"/>
        </w:sectPr>
      </w:pPr>
    </w:p>
    <w:p>
      <w:pPr>
        <w:pStyle w:val="BodyText"/>
        <w:spacing w:before="2"/>
        <w:rPr>
          <w:sz w:val="11"/>
        </w:rPr>
      </w:pPr>
    </w:p>
    <w:p>
      <w:pPr>
        <w:pStyle w:val="Heading1"/>
        <w:tabs>
          <w:tab w:pos="11087" w:val="left" w:leader="none"/>
        </w:tabs>
        <w:spacing w:before="92"/>
      </w:pPr>
      <w:r>
        <w:rPr>
          <w:color w:val="FFFFFF"/>
          <w:shd w:fill="538DD3" w:color="auto" w:val="clear"/>
        </w:rPr>
        <w:t>RESPONSIBILITIES and</w:t>
      </w:r>
      <w:r>
        <w:rPr>
          <w:color w:val="FFFFFF"/>
          <w:spacing w:val="-5"/>
          <w:shd w:fill="538DD3" w:color="auto" w:val="clear"/>
        </w:rPr>
        <w:t> </w:t>
      </w:r>
      <w:r>
        <w:rPr>
          <w:color w:val="FFFFFF"/>
          <w:shd w:fill="538DD3" w:color="auto" w:val="clear"/>
        </w:rPr>
        <w:t>ROLES</w:t>
        <w:tab/>
      </w:r>
    </w:p>
    <w:p>
      <w:pPr>
        <w:spacing w:before="121"/>
        <w:ind w:left="678" w:right="0" w:firstLine="0"/>
        <w:jc w:val="left"/>
        <w:rPr>
          <w:b/>
          <w:sz w:val="24"/>
        </w:rPr>
      </w:pPr>
      <w:r>
        <w:rPr>
          <w:b/>
          <w:sz w:val="24"/>
        </w:rPr>
        <w:t>Specialist team</w:t>
      </w:r>
    </w:p>
    <w:p>
      <w:pPr>
        <w:pStyle w:val="ListParagraph"/>
        <w:numPr>
          <w:ilvl w:val="0"/>
          <w:numId w:val="2"/>
        </w:numPr>
        <w:tabs>
          <w:tab w:pos="1399" w:val="left" w:leader="none"/>
        </w:tabs>
        <w:spacing w:line="230" w:lineRule="exact" w:before="162" w:after="0"/>
        <w:ind w:left="1398" w:right="0" w:hanging="360"/>
        <w:jc w:val="left"/>
        <w:rPr>
          <w:sz w:val="20"/>
        </w:rPr>
      </w:pPr>
      <w:r>
        <w:rPr>
          <w:sz w:val="20"/>
        </w:rPr>
        <w:t>Perform baseline tests (FBC, LFTs, U&amp;Es, creatinine, chest</w:t>
      </w:r>
      <w:r>
        <w:rPr>
          <w:spacing w:val="-7"/>
          <w:sz w:val="20"/>
        </w:rPr>
        <w:t> </w:t>
      </w:r>
      <w:r>
        <w:rPr>
          <w:sz w:val="20"/>
        </w:rPr>
        <w:t>X-ray).</w:t>
      </w:r>
    </w:p>
    <w:p>
      <w:pPr>
        <w:pStyle w:val="ListParagraph"/>
        <w:numPr>
          <w:ilvl w:val="0"/>
          <w:numId w:val="2"/>
        </w:numPr>
        <w:tabs>
          <w:tab w:pos="1399" w:val="left" w:leader="none"/>
        </w:tabs>
        <w:spacing w:line="240" w:lineRule="auto" w:before="0" w:after="0"/>
        <w:ind w:left="1398" w:right="1035" w:hanging="360"/>
        <w:jc w:val="left"/>
        <w:rPr>
          <w:sz w:val="20"/>
        </w:rPr>
      </w:pPr>
      <w:r>
        <w:rPr>
          <w:sz w:val="20"/>
        </w:rPr>
        <w:t>Before prescribing methotrexate, ensure the patient is able to understand and comply with once-weekly dosing.</w:t>
      </w:r>
    </w:p>
    <w:p>
      <w:pPr>
        <w:pStyle w:val="ListParagraph"/>
        <w:numPr>
          <w:ilvl w:val="0"/>
          <w:numId w:val="2"/>
        </w:numPr>
        <w:tabs>
          <w:tab w:pos="1399" w:val="left" w:leader="none"/>
        </w:tabs>
        <w:spacing w:line="240" w:lineRule="auto" w:before="0" w:after="0"/>
        <w:ind w:left="1398" w:right="1040" w:hanging="360"/>
        <w:jc w:val="left"/>
        <w:rPr>
          <w:sz w:val="20"/>
        </w:rPr>
      </w:pPr>
      <w:r>
        <w:rPr>
          <w:sz w:val="20"/>
        </w:rPr>
        <w:t>Decide with the patient which day of the week they will take their methotrexate and note this day down in full on the</w:t>
      </w:r>
      <w:r>
        <w:rPr>
          <w:spacing w:val="-1"/>
          <w:sz w:val="20"/>
        </w:rPr>
        <w:t> </w:t>
      </w:r>
      <w:r>
        <w:rPr>
          <w:sz w:val="20"/>
        </w:rPr>
        <w:t>prescription.</w:t>
      </w:r>
    </w:p>
    <w:p>
      <w:pPr>
        <w:pStyle w:val="ListParagraph"/>
        <w:numPr>
          <w:ilvl w:val="0"/>
          <w:numId w:val="2"/>
        </w:numPr>
        <w:tabs>
          <w:tab w:pos="1399" w:val="left" w:leader="none"/>
        </w:tabs>
        <w:spacing w:line="240" w:lineRule="auto" w:before="0" w:after="0"/>
        <w:ind w:left="1398" w:right="1037" w:hanging="360"/>
        <w:jc w:val="both"/>
        <w:rPr>
          <w:sz w:val="20"/>
        </w:rPr>
      </w:pPr>
      <w:r>
        <w:rPr>
          <w:sz w:val="20"/>
        </w:rPr>
        <w:t>Discuss the benefits and side effects of treatment with the patient (including the potentially fatal risk of accidental</w:t>
      </w:r>
      <w:r>
        <w:rPr>
          <w:spacing w:val="-4"/>
          <w:sz w:val="20"/>
        </w:rPr>
        <w:t> </w:t>
      </w:r>
      <w:r>
        <w:rPr>
          <w:sz w:val="20"/>
        </w:rPr>
        <w:t>overdose</w:t>
      </w:r>
      <w:r>
        <w:rPr>
          <w:spacing w:val="-3"/>
          <w:sz w:val="20"/>
        </w:rPr>
        <w:t> </w:t>
      </w:r>
      <w:r>
        <w:rPr>
          <w:sz w:val="20"/>
        </w:rPr>
        <w:t>if</w:t>
      </w:r>
      <w:r>
        <w:rPr>
          <w:spacing w:val="-4"/>
          <w:sz w:val="20"/>
        </w:rPr>
        <w:t> </w:t>
      </w:r>
      <w:r>
        <w:rPr>
          <w:sz w:val="20"/>
        </w:rPr>
        <w:t>methotrexate</w:t>
      </w:r>
      <w:r>
        <w:rPr>
          <w:spacing w:val="-3"/>
          <w:sz w:val="20"/>
        </w:rPr>
        <w:t> </w:t>
      </w:r>
      <w:r>
        <w:rPr>
          <w:sz w:val="20"/>
        </w:rPr>
        <w:t>is</w:t>
      </w:r>
      <w:r>
        <w:rPr>
          <w:spacing w:val="-2"/>
          <w:sz w:val="20"/>
        </w:rPr>
        <w:t> </w:t>
      </w:r>
      <w:r>
        <w:rPr>
          <w:sz w:val="20"/>
        </w:rPr>
        <w:t>taken</w:t>
      </w:r>
      <w:r>
        <w:rPr>
          <w:spacing w:val="-3"/>
          <w:sz w:val="20"/>
        </w:rPr>
        <w:t> </w:t>
      </w:r>
      <w:r>
        <w:rPr>
          <w:sz w:val="20"/>
        </w:rPr>
        <w:t>more</w:t>
      </w:r>
      <w:r>
        <w:rPr>
          <w:spacing w:val="-3"/>
          <w:sz w:val="20"/>
        </w:rPr>
        <w:t> </w:t>
      </w:r>
      <w:r>
        <w:rPr>
          <w:sz w:val="20"/>
        </w:rPr>
        <w:t>frequently</w:t>
      </w:r>
      <w:r>
        <w:rPr>
          <w:spacing w:val="-3"/>
          <w:sz w:val="20"/>
        </w:rPr>
        <w:t> </w:t>
      </w:r>
      <w:r>
        <w:rPr>
          <w:sz w:val="20"/>
        </w:rPr>
        <w:t>than</w:t>
      </w:r>
      <w:r>
        <w:rPr>
          <w:spacing w:val="-4"/>
          <w:sz w:val="20"/>
        </w:rPr>
        <w:t> </w:t>
      </w:r>
      <w:r>
        <w:rPr>
          <w:sz w:val="20"/>
        </w:rPr>
        <w:t>once</w:t>
      </w:r>
      <w:r>
        <w:rPr>
          <w:spacing w:val="-3"/>
          <w:sz w:val="20"/>
        </w:rPr>
        <w:t> </w:t>
      </w:r>
      <w:r>
        <w:rPr>
          <w:sz w:val="20"/>
        </w:rPr>
        <w:t>a</w:t>
      </w:r>
      <w:r>
        <w:rPr>
          <w:spacing w:val="-3"/>
          <w:sz w:val="20"/>
        </w:rPr>
        <w:t> </w:t>
      </w:r>
      <w:r>
        <w:rPr>
          <w:sz w:val="20"/>
        </w:rPr>
        <w:t>week;</w:t>
      </w:r>
      <w:r>
        <w:rPr>
          <w:spacing w:val="-5"/>
          <w:sz w:val="20"/>
        </w:rPr>
        <w:t> </w:t>
      </w:r>
      <w:r>
        <w:rPr>
          <w:sz w:val="20"/>
        </w:rPr>
        <w:t>specifically,</w:t>
      </w:r>
      <w:r>
        <w:rPr>
          <w:spacing w:val="-2"/>
          <w:sz w:val="20"/>
        </w:rPr>
        <w:t> </w:t>
      </w:r>
      <w:r>
        <w:rPr>
          <w:sz w:val="20"/>
        </w:rPr>
        <w:t>that</w:t>
      </w:r>
      <w:r>
        <w:rPr>
          <w:spacing w:val="-3"/>
          <w:sz w:val="20"/>
        </w:rPr>
        <w:t> </w:t>
      </w:r>
      <w:r>
        <w:rPr>
          <w:sz w:val="20"/>
        </w:rPr>
        <w:t>it</w:t>
      </w:r>
      <w:r>
        <w:rPr>
          <w:spacing w:val="-4"/>
          <w:sz w:val="20"/>
        </w:rPr>
        <w:t> </w:t>
      </w:r>
      <w:r>
        <w:rPr>
          <w:sz w:val="20"/>
        </w:rPr>
        <w:t>should not be taken</w:t>
      </w:r>
      <w:r>
        <w:rPr>
          <w:spacing w:val="-1"/>
          <w:sz w:val="20"/>
        </w:rPr>
        <w:t> </w:t>
      </w:r>
      <w:r>
        <w:rPr>
          <w:sz w:val="20"/>
        </w:rPr>
        <w:t>daily).</w:t>
      </w:r>
    </w:p>
    <w:p>
      <w:pPr>
        <w:pStyle w:val="ListParagraph"/>
        <w:numPr>
          <w:ilvl w:val="0"/>
          <w:numId w:val="2"/>
        </w:numPr>
        <w:tabs>
          <w:tab w:pos="1399" w:val="left" w:leader="none"/>
        </w:tabs>
        <w:spacing w:line="240" w:lineRule="auto" w:before="0" w:after="0"/>
        <w:ind w:left="1398" w:right="1035" w:hanging="360"/>
        <w:jc w:val="left"/>
        <w:rPr>
          <w:sz w:val="20"/>
        </w:rPr>
      </w:pPr>
      <w:r>
        <w:rPr>
          <w:sz w:val="20"/>
        </w:rPr>
        <w:t>Provide</w:t>
      </w:r>
      <w:r>
        <w:rPr>
          <w:spacing w:val="-5"/>
          <w:sz w:val="20"/>
        </w:rPr>
        <w:t> </w:t>
      </w:r>
      <w:r>
        <w:rPr>
          <w:sz w:val="20"/>
        </w:rPr>
        <w:t>the</w:t>
      </w:r>
      <w:r>
        <w:rPr>
          <w:spacing w:val="-6"/>
          <w:sz w:val="20"/>
        </w:rPr>
        <w:t> </w:t>
      </w:r>
      <w:r>
        <w:rPr>
          <w:sz w:val="20"/>
        </w:rPr>
        <w:t>patient</w:t>
      </w:r>
      <w:r>
        <w:rPr>
          <w:spacing w:val="-5"/>
          <w:sz w:val="20"/>
        </w:rPr>
        <w:t> </w:t>
      </w:r>
      <w:r>
        <w:rPr>
          <w:sz w:val="20"/>
        </w:rPr>
        <w:t>with</w:t>
      </w:r>
      <w:r>
        <w:rPr>
          <w:spacing w:val="-4"/>
          <w:sz w:val="20"/>
        </w:rPr>
        <w:t> </w:t>
      </w:r>
      <w:r>
        <w:rPr>
          <w:sz w:val="20"/>
        </w:rPr>
        <w:t>a</w:t>
      </w:r>
      <w:r>
        <w:rPr>
          <w:spacing w:val="-6"/>
          <w:sz w:val="20"/>
        </w:rPr>
        <w:t> </w:t>
      </w:r>
      <w:r>
        <w:rPr>
          <w:sz w:val="20"/>
        </w:rPr>
        <w:t>Patient</w:t>
      </w:r>
      <w:r>
        <w:rPr>
          <w:spacing w:val="-5"/>
          <w:sz w:val="20"/>
        </w:rPr>
        <w:t> </w:t>
      </w:r>
      <w:r>
        <w:rPr>
          <w:sz w:val="20"/>
        </w:rPr>
        <w:t>Information</w:t>
      </w:r>
      <w:r>
        <w:rPr>
          <w:spacing w:val="-5"/>
          <w:sz w:val="20"/>
        </w:rPr>
        <w:t> </w:t>
      </w:r>
      <w:r>
        <w:rPr>
          <w:sz w:val="20"/>
        </w:rPr>
        <w:t>Leaflet,</w:t>
      </w:r>
      <w:r>
        <w:rPr>
          <w:spacing w:val="-5"/>
          <w:sz w:val="20"/>
        </w:rPr>
        <w:t> </w:t>
      </w:r>
      <w:r>
        <w:rPr>
          <w:sz w:val="20"/>
        </w:rPr>
        <w:t>and</w:t>
      </w:r>
      <w:r>
        <w:rPr>
          <w:spacing w:val="-4"/>
          <w:sz w:val="20"/>
        </w:rPr>
        <w:t> </w:t>
      </w:r>
      <w:r>
        <w:rPr>
          <w:sz w:val="20"/>
        </w:rPr>
        <w:t>encourage</w:t>
      </w:r>
      <w:r>
        <w:rPr>
          <w:spacing w:val="-4"/>
          <w:sz w:val="20"/>
        </w:rPr>
        <w:t> </w:t>
      </w:r>
      <w:r>
        <w:rPr>
          <w:sz w:val="20"/>
        </w:rPr>
        <w:t>the</w:t>
      </w:r>
      <w:r>
        <w:rPr>
          <w:spacing w:val="-6"/>
          <w:sz w:val="20"/>
        </w:rPr>
        <w:t> </w:t>
      </w:r>
      <w:r>
        <w:rPr>
          <w:sz w:val="20"/>
        </w:rPr>
        <w:t>patient</w:t>
      </w:r>
      <w:r>
        <w:rPr>
          <w:spacing w:val="-5"/>
          <w:sz w:val="20"/>
        </w:rPr>
        <w:t> </w:t>
      </w:r>
      <w:r>
        <w:rPr>
          <w:sz w:val="20"/>
        </w:rPr>
        <w:t>to</w:t>
      </w:r>
      <w:r>
        <w:rPr>
          <w:spacing w:val="-5"/>
          <w:sz w:val="20"/>
        </w:rPr>
        <w:t> </w:t>
      </w:r>
      <w:r>
        <w:rPr>
          <w:sz w:val="20"/>
        </w:rPr>
        <w:t>carry</w:t>
      </w:r>
      <w:r>
        <w:rPr>
          <w:spacing w:val="-4"/>
          <w:sz w:val="20"/>
        </w:rPr>
        <w:t> </w:t>
      </w:r>
      <w:r>
        <w:rPr>
          <w:sz w:val="20"/>
        </w:rPr>
        <w:t>the</w:t>
      </w:r>
      <w:r>
        <w:rPr>
          <w:spacing w:val="-6"/>
          <w:sz w:val="20"/>
        </w:rPr>
        <w:t> </w:t>
      </w:r>
      <w:r>
        <w:rPr>
          <w:sz w:val="20"/>
        </w:rPr>
        <w:t>warning</w:t>
      </w:r>
      <w:r>
        <w:rPr>
          <w:spacing w:val="-5"/>
          <w:sz w:val="20"/>
        </w:rPr>
        <w:t> </w:t>
      </w:r>
      <w:r>
        <w:rPr>
          <w:sz w:val="20"/>
        </w:rPr>
        <w:t>card that comes with each dispensing of methotrexate upon their person (e.g. in their wallet or</w:t>
      </w:r>
      <w:r>
        <w:rPr>
          <w:spacing w:val="-12"/>
          <w:sz w:val="20"/>
        </w:rPr>
        <w:t> </w:t>
      </w:r>
      <w:r>
        <w:rPr>
          <w:sz w:val="20"/>
        </w:rPr>
        <w:t>purse).</w:t>
      </w:r>
    </w:p>
    <w:p>
      <w:pPr>
        <w:pStyle w:val="ListParagraph"/>
        <w:numPr>
          <w:ilvl w:val="0"/>
          <w:numId w:val="2"/>
        </w:numPr>
        <w:tabs>
          <w:tab w:pos="1399" w:val="left" w:leader="none"/>
        </w:tabs>
        <w:spacing w:line="230" w:lineRule="exact" w:before="0" w:after="0"/>
        <w:ind w:left="1398" w:right="0" w:hanging="360"/>
        <w:jc w:val="left"/>
        <w:rPr>
          <w:sz w:val="20"/>
        </w:rPr>
      </w:pPr>
      <w:r>
        <w:rPr>
          <w:sz w:val="20"/>
        </w:rPr>
        <w:t>Advise the patient to promptly seek medical advice if they think they have taken too</w:t>
      </w:r>
      <w:r>
        <w:rPr>
          <w:spacing w:val="-10"/>
          <w:sz w:val="20"/>
        </w:rPr>
        <w:t> </w:t>
      </w:r>
      <w:r>
        <w:rPr>
          <w:sz w:val="20"/>
        </w:rPr>
        <w:t>much.</w:t>
      </w:r>
    </w:p>
    <w:p>
      <w:pPr>
        <w:pStyle w:val="ListParagraph"/>
        <w:numPr>
          <w:ilvl w:val="0"/>
          <w:numId w:val="2"/>
        </w:numPr>
        <w:tabs>
          <w:tab w:pos="1399" w:val="left" w:leader="none"/>
        </w:tabs>
        <w:spacing w:line="240" w:lineRule="auto" w:before="1" w:after="0"/>
        <w:ind w:left="1398" w:right="1039" w:hanging="360"/>
        <w:jc w:val="left"/>
        <w:rPr>
          <w:sz w:val="20"/>
        </w:rPr>
      </w:pPr>
      <w:r>
        <w:rPr>
          <w:sz w:val="20"/>
        </w:rPr>
        <w:t>Initiate and stabilise treatment with methotrexate and continue to prescribe until the GP formally takes over shared care.</w:t>
      </w:r>
    </w:p>
    <w:p>
      <w:pPr>
        <w:pStyle w:val="Heading3"/>
        <w:numPr>
          <w:ilvl w:val="0"/>
          <w:numId w:val="2"/>
        </w:numPr>
        <w:tabs>
          <w:tab w:pos="1399" w:val="left" w:leader="none"/>
        </w:tabs>
        <w:spacing w:line="230" w:lineRule="exact" w:before="0" w:after="0"/>
        <w:ind w:left="1398" w:right="0" w:hanging="360"/>
        <w:jc w:val="left"/>
      </w:pPr>
      <w:r>
        <w:rPr/>
        <w:t>Issue</w:t>
      </w:r>
      <w:r>
        <w:rPr>
          <w:spacing w:val="21"/>
        </w:rPr>
        <w:t> </w:t>
      </w:r>
      <w:r>
        <w:rPr/>
        <w:t>a</w:t>
      </w:r>
      <w:r>
        <w:rPr>
          <w:spacing w:val="23"/>
        </w:rPr>
        <w:t> </w:t>
      </w:r>
      <w:r>
        <w:rPr/>
        <w:t>Methotrexate</w:t>
      </w:r>
      <w:r>
        <w:rPr>
          <w:spacing w:val="21"/>
        </w:rPr>
        <w:t> </w:t>
      </w:r>
      <w:r>
        <w:rPr/>
        <w:t>Monitoring</w:t>
      </w:r>
      <w:r>
        <w:rPr>
          <w:spacing w:val="21"/>
        </w:rPr>
        <w:t> </w:t>
      </w:r>
      <w:r>
        <w:rPr/>
        <w:t>Booklet</w:t>
      </w:r>
      <w:r>
        <w:rPr>
          <w:spacing w:val="22"/>
        </w:rPr>
        <w:t> </w:t>
      </w:r>
      <w:r>
        <w:rPr/>
        <w:t>to</w:t>
      </w:r>
      <w:r>
        <w:rPr>
          <w:spacing w:val="23"/>
        </w:rPr>
        <w:t> </w:t>
      </w:r>
      <w:r>
        <w:rPr/>
        <w:t>the</w:t>
      </w:r>
      <w:r>
        <w:rPr>
          <w:spacing w:val="23"/>
        </w:rPr>
        <w:t> </w:t>
      </w:r>
      <w:r>
        <w:rPr/>
        <w:t>patient</w:t>
      </w:r>
      <w:r>
        <w:rPr>
          <w:spacing w:val="21"/>
        </w:rPr>
        <w:t> </w:t>
      </w:r>
      <w:r>
        <w:rPr/>
        <w:t>and</w:t>
      </w:r>
      <w:r>
        <w:rPr>
          <w:spacing w:val="22"/>
        </w:rPr>
        <w:t> </w:t>
      </w:r>
      <w:r>
        <w:rPr/>
        <w:t>explain</w:t>
      </w:r>
      <w:r>
        <w:rPr>
          <w:spacing w:val="20"/>
        </w:rPr>
        <w:t> </w:t>
      </w:r>
      <w:r>
        <w:rPr/>
        <w:t>monitoring</w:t>
      </w:r>
      <w:r>
        <w:rPr>
          <w:spacing w:val="21"/>
        </w:rPr>
        <w:t> </w:t>
      </w:r>
      <w:r>
        <w:rPr/>
        <w:t>schedule.</w:t>
      </w:r>
    </w:p>
    <w:p>
      <w:pPr>
        <w:pStyle w:val="BodyText"/>
        <w:spacing w:line="230" w:lineRule="exact"/>
        <w:ind w:left="1398"/>
      </w:pPr>
      <w:r>
        <w:rPr/>
        <w:t>Emphasise the importance of carrying the booklet and showing it to healthcare professionals at all times.</w:t>
      </w:r>
    </w:p>
    <w:p>
      <w:pPr>
        <w:pStyle w:val="ListParagraph"/>
        <w:numPr>
          <w:ilvl w:val="0"/>
          <w:numId w:val="2"/>
        </w:numPr>
        <w:tabs>
          <w:tab w:pos="1399" w:val="left" w:leader="none"/>
        </w:tabs>
        <w:spacing w:line="240" w:lineRule="auto" w:before="0" w:after="0"/>
        <w:ind w:left="1398" w:right="1035" w:hanging="360"/>
        <w:jc w:val="both"/>
        <w:rPr>
          <w:sz w:val="20"/>
        </w:rPr>
      </w:pPr>
      <w:r>
        <w:rPr>
          <w:sz w:val="20"/>
        </w:rPr>
        <w:t>Write</w:t>
      </w:r>
      <w:r>
        <w:rPr>
          <w:spacing w:val="-6"/>
          <w:sz w:val="20"/>
        </w:rPr>
        <w:t> </w:t>
      </w:r>
      <w:r>
        <w:rPr>
          <w:sz w:val="20"/>
        </w:rPr>
        <w:t>to</w:t>
      </w:r>
      <w:r>
        <w:rPr>
          <w:spacing w:val="-6"/>
          <w:sz w:val="20"/>
        </w:rPr>
        <w:t> </w:t>
      </w:r>
      <w:r>
        <w:rPr>
          <w:sz w:val="20"/>
        </w:rPr>
        <w:t>the</w:t>
      </w:r>
      <w:r>
        <w:rPr>
          <w:spacing w:val="-5"/>
          <w:sz w:val="20"/>
        </w:rPr>
        <w:t> </w:t>
      </w:r>
      <w:r>
        <w:rPr>
          <w:sz w:val="20"/>
        </w:rPr>
        <w:t>GP</w:t>
      </w:r>
      <w:r>
        <w:rPr>
          <w:spacing w:val="-6"/>
          <w:sz w:val="20"/>
        </w:rPr>
        <w:t> </w:t>
      </w:r>
      <w:r>
        <w:rPr>
          <w:sz w:val="20"/>
        </w:rPr>
        <w:t>with</w:t>
      </w:r>
      <w:r>
        <w:rPr>
          <w:spacing w:val="-5"/>
          <w:sz w:val="20"/>
        </w:rPr>
        <w:t> </w:t>
      </w:r>
      <w:r>
        <w:rPr>
          <w:sz w:val="20"/>
        </w:rPr>
        <w:t>a</w:t>
      </w:r>
      <w:r>
        <w:rPr>
          <w:spacing w:val="-6"/>
          <w:sz w:val="20"/>
        </w:rPr>
        <w:t> </w:t>
      </w:r>
      <w:r>
        <w:rPr>
          <w:sz w:val="20"/>
        </w:rPr>
        <w:t>standard</w:t>
      </w:r>
      <w:r>
        <w:rPr>
          <w:spacing w:val="-5"/>
          <w:sz w:val="20"/>
        </w:rPr>
        <w:t> </w:t>
      </w:r>
      <w:r>
        <w:rPr>
          <w:sz w:val="20"/>
        </w:rPr>
        <w:t>letter</w:t>
      </w:r>
      <w:r>
        <w:rPr>
          <w:spacing w:val="-5"/>
          <w:sz w:val="20"/>
        </w:rPr>
        <w:t> </w:t>
      </w:r>
      <w:r>
        <w:rPr>
          <w:sz w:val="20"/>
        </w:rPr>
        <w:t>asking</w:t>
      </w:r>
      <w:r>
        <w:rPr>
          <w:spacing w:val="-4"/>
          <w:sz w:val="20"/>
        </w:rPr>
        <w:t> </w:t>
      </w:r>
      <w:r>
        <w:rPr>
          <w:sz w:val="20"/>
        </w:rPr>
        <w:t>whether</w:t>
      </w:r>
      <w:r>
        <w:rPr>
          <w:spacing w:val="-5"/>
          <w:sz w:val="20"/>
        </w:rPr>
        <w:t> </w:t>
      </w:r>
      <w:r>
        <w:rPr>
          <w:sz w:val="20"/>
        </w:rPr>
        <w:t>he</w:t>
      </w:r>
      <w:r>
        <w:rPr>
          <w:spacing w:val="-4"/>
          <w:sz w:val="20"/>
        </w:rPr>
        <w:t> </w:t>
      </w:r>
      <w:r>
        <w:rPr>
          <w:sz w:val="20"/>
        </w:rPr>
        <w:t>or</w:t>
      </w:r>
      <w:r>
        <w:rPr>
          <w:spacing w:val="-5"/>
          <w:sz w:val="20"/>
        </w:rPr>
        <w:t> </w:t>
      </w:r>
      <w:r>
        <w:rPr>
          <w:sz w:val="20"/>
        </w:rPr>
        <w:t>she</w:t>
      </w:r>
      <w:r>
        <w:rPr>
          <w:spacing w:val="-5"/>
          <w:sz w:val="20"/>
        </w:rPr>
        <w:t> </w:t>
      </w:r>
      <w:r>
        <w:rPr>
          <w:sz w:val="20"/>
        </w:rPr>
        <w:t>is</w:t>
      </w:r>
      <w:r>
        <w:rPr>
          <w:spacing w:val="-5"/>
          <w:sz w:val="20"/>
        </w:rPr>
        <w:t> </w:t>
      </w:r>
      <w:r>
        <w:rPr>
          <w:sz w:val="20"/>
        </w:rPr>
        <w:t>willing</w:t>
      </w:r>
      <w:r>
        <w:rPr>
          <w:spacing w:val="-5"/>
          <w:sz w:val="20"/>
        </w:rPr>
        <w:t> </w:t>
      </w:r>
      <w:r>
        <w:rPr>
          <w:sz w:val="20"/>
        </w:rPr>
        <w:t>to</w:t>
      </w:r>
      <w:r>
        <w:rPr>
          <w:spacing w:val="-6"/>
          <w:sz w:val="20"/>
        </w:rPr>
        <w:t> </w:t>
      </w:r>
      <w:r>
        <w:rPr>
          <w:sz w:val="20"/>
        </w:rPr>
        <w:t>participate</w:t>
      </w:r>
      <w:r>
        <w:rPr>
          <w:spacing w:val="-5"/>
          <w:sz w:val="20"/>
        </w:rPr>
        <w:t> </w:t>
      </w:r>
      <w:r>
        <w:rPr>
          <w:sz w:val="20"/>
        </w:rPr>
        <w:t>in</w:t>
      </w:r>
      <w:r>
        <w:rPr>
          <w:spacing w:val="-6"/>
          <w:sz w:val="20"/>
        </w:rPr>
        <w:t> </w:t>
      </w:r>
      <w:r>
        <w:rPr>
          <w:sz w:val="20"/>
        </w:rPr>
        <w:t>shared</w:t>
      </w:r>
      <w:r>
        <w:rPr>
          <w:spacing w:val="-5"/>
          <w:sz w:val="20"/>
        </w:rPr>
        <w:t> </w:t>
      </w:r>
      <w:r>
        <w:rPr>
          <w:sz w:val="20"/>
        </w:rPr>
        <w:t>care.</w:t>
      </w:r>
      <w:r>
        <w:rPr>
          <w:spacing w:val="-6"/>
          <w:sz w:val="20"/>
        </w:rPr>
        <w:t> </w:t>
      </w:r>
      <w:r>
        <w:rPr>
          <w:sz w:val="20"/>
        </w:rPr>
        <w:t>The consultant should ensure that contact details are included within the request to enable the GP to contact them for further support or advice if needed. It is encouraged that, where possible, the specialist informs the GP of the dose of oral methotrexate in terms of the number of tablets to be taken and the day of the week agreed with the patient (where it is not specified, the total dose should be assumed to be given in multiples of 2.5mg</w:t>
      </w:r>
      <w:r>
        <w:rPr>
          <w:spacing w:val="-2"/>
          <w:sz w:val="20"/>
        </w:rPr>
        <w:t> </w:t>
      </w:r>
      <w:r>
        <w:rPr>
          <w:sz w:val="20"/>
        </w:rPr>
        <w:t>tablets).</w:t>
      </w:r>
    </w:p>
    <w:p>
      <w:pPr>
        <w:pStyle w:val="ListParagraph"/>
        <w:numPr>
          <w:ilvl w:val="0"/>
          <w:numId w:val="2"/>
        </w:numPr>
        <w:tabs>
          <w:tab w:pos="1399" w:val="left" w:leader="none"/>
        </w:tabs>
        <w:spacing w:line="240" w:lineRule="auto" w:before="0" w:after="0"/>
        <w:ind w:left="1398" w:right="0" w:hanging="360"/>
        <w:jc w:val="left"/>
        <w:rPr>
          <w:sz w:val="20"/>
        </w:rPr>
      </w:pPr>
      <w:r>
        <w:rPr>
          <w:sz w:val="20"/>
        </w:rPr>
        <w:t>Discuss the shared care arrangement with the</w:t>
      </w:r>
      <w:r>
        <w:rPr>
          <w:spacing w:val="-4"/>
          <w:sz w:val="20"/>
        </w:rPr>
        <w:t> </w:t>
      </w:r>
      <w:r>
        <w:rPr>
          <w:sz w:val="20"/>
        </w:rPr>
        <w:t>patient.</w:t>
      </w:r>
    </w:p>
    <w:p>
      <w:pPr>
        <w:pStyle w:val="ListParagraph"/>
        <w:numPr>
          <w:ilvl w:val="0"/>
          <w:numId w:val="2"/>
        </w:numPr>
        <w:tabs>
          <w:tab w:pos="1399" w:val="left" w:leader="none"/>
        </w:tabs>
        <w:spacing w:line="240" w:lineRule="auto" w:before="0" w:after="0"/>
        <w:ind w:left="1398" w:right="1035" w:hanging="360"/>
        <w:jc w:val="both"/>
        <w:rPr>
          <w:sz w:val="20"/>
        </w:rPr>
      </w:pPr>
      <w:r>
        <w:rPr>
          <w:sz w:val="20"/>
        </w:rPr>
        <w:t>Provide results of baseline tests and recommend frequency of monitoring to GP. Record results in the patient’s Methotrexate Monitoring Booklet as appropriate. Recommend dose and timing of concomitant folic acid.</w:t>
      </w:r>
    </w:p>
    <w:p>
      <w:pPr>
        <w:pStyle w:val="ListParagraph"/>
        <w:numPr>
          <w:ilvl w:val="0"/>
          <w:numId w:val="2"/>
        </w:numPr>
        <w:tabs>
          <w:tab w:pos="1399" w:val="left" w:leader="none"/>
        </w:tabs>
        <w:spacing w:line="240" w:lineRule="auto" w:before="1" w:after="0"/>
        <w:ind w:left="1398" w:right="1036" w:hanging="360"/>
        <w:jc w:val="both"/>
        <w:rPr>
          <w:sz w:val="20"/>
        </w:rPr>
      </w:pPr>
      <w:r>
        <w:rPr>
          <w:sz w:val="20"/>
        </w:rPr>
        <w:t>Periodically review the patient’s condition and communicate promptly with the GP when treatment is changed. Counsel the patient on any dose changes that are made during clinic appointments and update the methotrexate</w:t>
      </w:r>
      <w:r>
        <w:rPr>
          <w:spacing w:val="-2"/>
          <w:sz w:val="20"/>
        </w:rPr>
        <w:t> </w:t>
      </w:r>
      <w:r>
        <w:rPr>
          <w:sz w:val="20"/>
        </w:rPr>
        <w:t>booklet.</w:t>
      </w:r>
    </w:p>
    <w:p>
      <w:pPr>
        <w:pStyle w:val="ListParagraph"/>
        <w:numPr>
          <w:ilvl w:val="0"/>
          <w:numId w:val="2"/>
        </w:numPr>
        <w:tabs>
          <w:tab w:pos="1399" w:val="left" w:leader="none"/>
        </w:tabs>
        <w:spacing w:line="240" w:lineRule="auto" w:before="0" w:after="0"/>
        <w:ind w:left="1398" w:right="1036" w:hanging="360"/>
        <w:jc w:val="left"/>
        <w:rPr>
          <w:sz w:val="20"/>
        </w:rPr>
      </w:pPr>
      <w:r>
        <w:rPr>
          <w:sz w:val="20"/>
        </w:rPr>
        <w:t>Inform</w:t>
      </w:r>
      <w:r>
        <w:rPr>
          <w:spacing w:val="-6"/>
          <w:sz w:val="20"/>
        </w:rPr>
        <w:t> </w:t>
      </w:r>
      <w:r>
        <w:rPr>
          <w:sz w:val="20"/>
        </w:rPr>
        <w:t>GP</w:t>
      </w:r>
      <w:r>
        <w:rPr>
          <w:spacing w:val="-5"/>
          <w:sz w:val="20"/>
        </w:rPr>
        <w:t> </w:t>
      </w:r>
      <w:r>
        <w:rPr>
          <w:sz w:val="20"/>
        </w:rPr>
        <w:t>of</w:t>
      </w:r>
      <w:r>
        <w:rPr>
          <w:spacing w:val="-5"/>
          <w:sz w:val="20"/>
        </w:rPr>
        <w:t> </w:t>
      </w:r>
      <w:r>
        <w:rPr>
          <w:sz w:val="20"/>
        </w:rPr>
        <w:t>blood</w:t>
      </w:r>
      <w:r>
        <w:rPr>
          <w:spacing w:val="-4"/>
          <w:sz w:val="20"/>
        </w:rPr>
        <w:t> </w:t>
      </w:r>
      <w:r>
        <w:rPr>
          <w:sz w:val="20"/>
        </w:rPr>
        <w:t>test</w:t>
      </w:r>
      <w:r>
        <w:rPr>
          <w:spacing w:val="-4"/>
          <w:sz w:val="20"/>
        </w:rPr>
        <w:t> </w:t>
      </w:r>
      <w:r>
        <w:rPr>
          <w:sz w:val="20"/>
        </w:rPr>
        <w:t>results,</w:t>
      </w:r>
      <w:r>
        <w:rPr>
          <w:spacing w:val="-5"/>
          <w:sz w:val="20"/>
        </w:rPr>
        <w:t> </w:t>
      </w:r>
      <w:r>
        <w:rPr>
          <w:sz w:val="20"/>
        </w:rPr>
        <w:t>actions</w:t>
      </w:r>
      <w:r>
        <w:rPr>
          <w:spacing w:val="-4"/>
          <w:sz w:val="20"/>
        </w:rPr>
        <w:t> </w:t>
      </w:r>
      <w:r>
        <w:rPr>
          <w:sz w:val="20"/>
        </w:rPr>
        <w:t>to</w:t>
      </w:r>
      <w:r>
        <w:rPr>
          <w:spacing w:val="-4"/>
          <w:sz w:val="20"/>
        </w:rPr>
        <w:t> </w:t>
      </w:r>
      <w:r>
        <w:rPr>
          <w:sz w:val="20"/>
        </w:rPr>
        <w:t>take</w:t>
      </w:r>
      <w:r>
        <w:rPr>
          <w:spacing w:val="-4"/>
          <w:sz w:val="20"/>
        </w:rPr>
        <w:t> </w:t>
      </w:r>
      <w:r>
        <w:rPr>
          <w:sz w:val="20"/>
        </w:rPr>
        <w:t>in</w:t>
      </w:r>
      <w:r>
        <w:rPr>
          <w:spacing w:val="-6"/>
          <w:sz w:val="20"/>
        </w:rPr>
        <w:t> </w:t>
      </w:r>
      <w:r>
        <w:rPr>
          <w:sz w:val="20"/>
        </w:rPr>
        <w:t>case</w:t>
      </w:r>
      <w:r>
        <w:rPr>
          <w:spacing w:val="-5"/>
          <w:sz w:val="20"/>
        </w:rPr>
        <w:t> </w:t>
      </w:r>
      <w:r>
        <w:rPr>
          <w:sz w:val="20"/>
        </w:rPr>
        <w:t>of</w:t>
      </w:r>
      <w:r>
        <w:rPr>
          <w:spacing w:val="-5"/>
          <w:sz w:val="20"/>
        </w:rPr>
        <w:t> </w:t>
      </w:r>
      <w:r>
        <w:rPr>
          <w:sz w:val="20"/>
        </w:rPr>
        <w:t>abnormal</w:t>
      </w:r>
      <w:r>
        <w:rPr>
          <w:spacing w:val="-5"/>
          <w:sz w:val="20"/>
        </w:rPr>
        <w:t> </w:t>
      </w:r>
      <w:r>
        <w:rPr>
          <w:sz w:val="20"/>
        </w:rPr>
        <w:t>results,</w:t>
      </w:r>
      <w:r>
        <w:rPr>
          <w:spacing w:val="-4"/>
          <w:sz w:val="20"/>
        </w:rPr>
        <w:t> </w:t>
      </w:r>
      <w:r>
        <w:rPr>
          <w:sz w:val="20"/>
        </w:rPr>
        <w:t>and</w:t>
      </w:r>
      <w:r>
        <w:rPr>
          <w:spacing w:val="-4"/>
          <w:sz w:val="20"/>
        </w:rPr>
        <w:t> </w:t>
      </w:r>
      <w:r>
        <w:rPr>
          <w:sz w:val="20"/>
        </w:rPr>
        <w:t>advise</w:t>
      </w:r>
      <w:r>
        <w:rPr>
          <w:spacing w:val="-4"/>
          <w:sz w:val="20"/>
        </w:rPr>
        <w:t> </w:t>
      </w:r>
      <w:r>
        <w:rPr>
          <w:sz w:val="20"/>
        </w:rPr>
        <w:t>the</w:t>
      </w:r>
      <w:r>
        <w:rPr>
          <w:spacing w:val="-5"/>
          <w:sz w:val="20"/>
        </w:rPr>
        <w:t> </w:t>
      </w:r>
      <w:r>
        <w:rPr>
          <w:sz w:val="20"/>
        </w:rPr>
        <w:t>GP</w:t>
      </w:r>
      <w:r>
        <w:rPr>
          <w:spacing w:val="-6"/>
          <w:sz w:val="20"/>
        </w:rPr>
        <w:t> </w:t>
      </w:r>
      <w:r>
        <w:rPr>
          <w:sz w:val="20"/>
        </w:rPr>
        <w:t>on</w:t>
      </w:r>
      <w:r>
        <w:rPr>
          <w:spacing w:val="-4"/>
          <w:sz w:val="20"/>
        </w:rPr>
        <w:t> </w:t>
      </w:r>
      <w:r>
        <w:rPr>
          <w:sz w:val="20"/>
        </w:rPr>
        <w:t>when</w:t>
      </w:r>
      <w:r>
        <w:rPr>
          <w:spacing w:val="-5"/>
          <w:sz w:val="20"/>
        </w:rPr>
        <w:t> </w:t>
      </w:r>
      <w:r>
        <w:rPr>
          <w:sz w:val="20"/>
        </w:rPr>
        <w:t>to adjust the dose, stop treatment, or consult with</w:t>
      </w:r>
      <w:r>
        <w:rPr>
          <w:spacing w:val="-5"/>
          <w:sz w:val="20"/>
        </w:rPr>
        <w:t> </w:t>
      </w:r>
      <w:r>
        <w:rPr>
          <w:sz w:val="20"/>
        </w:rPr>
        <w:t>specialist.</w:t>
      </w:r>
    </w:p>
    <w:p>
      <w:pPr>
        <w:pStyle w:val="ListParagraph"/>
        <w:numPr>
          <w:ilvl w:val="0"/>
          <w:numId w:val="2"/>
        </w:numPr>
        <w:tabs>
          <w:tab w:pos="1399" w:val="left" w:leader="none"/>
        </w:tabs>
        <w:spacing w:line="230" w:lineRule="exact" w:before="0" w:after="0"/>
        <w:ind w:left="1398" w:right="0" w:hanging="360"/>
        <w:jc w:val="left"/>
        <w:rPr>
          <w:sz w:val="20"/>
        </w:rPr>
      </w:pPr>
      <w:r>
        <w:rPr>
          <w:sz w:val="20"/>
        </w:rPr>
        <w:t>Evaluate adverse effects reported by GP or</w:t>
      </w:r>
      <w:r>
        <w:rPr>
          <w:spacing w:val="-3"/>
          <w:sz w:val="20"/>
        </w:rPr>
        <w:t> </w:t>
      </w:r>
      <w:r>
        <w:rPr>
          <w:sz w:val="20"/>
        </w:rPr>
        <w:t>patient.</w:t>
      </w:r>
    </w:p>
    <w:p>
      <w:pPr>
        <w:pStyle w:val="ListParagraph"/>
        <w:numPr>
          <w:ilvl w:val="0"/>
          <w:numId w:val="2"/>
        </w:numPr>
        <w:tabs>
          <w:tab w:pos="1399" w:val="left" w:leader="none"/>
        </w:tabs>
        <w:spacing w:line="230" w:lineRule="exact" w:before="0" w:after="0"/>
        <w:ind w:left="1398" w:right="0" w:hanging="360"/>
        <w:jc w:val="left"/>
        <w:rPr>
          <w:sz w:val="20"/>
        </w:rPr>
      </w:pPr>
      <w:r>
        <w:rPr>
          <w:sz w:val="20"/>
        </w:rPr>
        <w:t>Report adverse events to the MHRA and</w:t>
      </w:r>
      <w:r>
        <w:rPr>
          <w:spacing w:val="-4"/>
          <w:sz w:val="20"/>
        </w:rPr>
        <w:t> </w:t>
      </w:r>
      <w:r>
        <w:rPr>
          <w:sz w:val="20"/>
        </w:rPr>
        <w:t>GP.</w:t>
      </w:r>
    </w:p>
    <w:p>
      <w:pPr>
        <w:pStyle w:val="ListParagraph"/>
        <w:numPr>
          <w:ilvl w:val="0"/>
          <w:numId w:val="2"/>
        </w:numPr>
        <w:tabs>
          <w:tab w:pos="1399" w:val="left" w:leader="none"/>
        </w:tabs>
        <w:spacing w:line="240" w:lineRule="auto" w:before="0" w:after="0"/>
        <w:ind w:left="1398" w:right="1034" w:hanging="360"/>
        <w:jc w:val="both"/>
        <w:rPr>
          <w:sz w:val="20"/>
        </w:rPr>
      </w:pPr>
      <w:r>
        <w:rPr>
          <w:sz w:val="20"/>
        </w:rPr>
        <w:t>Ensure that clear backup arrangements exist for GPs to obtain advice and support at all times and aim to respond to the GP within 24 hours of receiving a query. See consultant contact details in request letter. Hospital trust contact details are also available at the end of this</w:t>
      </w:r>
      <w:r>
        <w:rPr>
          <w:spacing w:val="-7"/>
          <w:sz w:val="20"/>
        </w:rPr>
        <w:t> </w:t>
      </w:r>
      <w:r>
        <w:rPr>
          <w:sz w:val="20"/>
        </w:rPr>
        <w:t>document.</w:t>
      </w:r>
    </w:p>
    <w:p>
      <w:pPr>
        <w:pStyle w:val="BodyText"/>
        <w:spacing w:before="6"/>
        <w:rPr>
          <w:sz w:val="32"/>
        </w:rPr>
      </w:pPr>
    </w:p>
    <w:p>
      <w:pPr>
        <w:pStyle w:val="Heading3"/>
      </w:pPr>
      <w:r>
        <w:rPr/>
        <w:t>The following additional responsibilities apply when methotrexate is prescribed for an off-label indication:</w:t>
      </w:r>
    </w:p>
    <w:p>
      <w:pPr>
        <w:pStyle w:val="ListParagraph"/>
        <w:numPr>
          <w:ilvl w:val="0"/>
          <w:numId w:val="2"/>
        </w:numPr>
        <w:tabs>
          <w:tab w:pos="1399" w:val="left" w:leader="none"/>
        </w:tabs>
        <w:spacing w:line="240" w:lineRule="auto" w:before="73" w:after="0"/>
        <w:ind w:left="1398" w:right="1037" w:hanging="360"/>
        <w:jc w:val="left"/>
        <w:rPr>
          <w:sz w:val="20"/>
        </w:rPr>
      </w:pPr>
      <w:r>
        <w:rPr>
          <w:sz w:val="20"/>
        </w:rPr>
        <w:t>Ensure patients (or their parents or carers) are provided with sufficient information to allow them to make an informed decision when methotrexate is used for an off-label</w:t>
      </w:r>
      <w:r>
        <w:rPr>
          <w:spacing w:val="-7"/>
          <w:sz w:val="20"/>
        </w:rPr>
        <w:t> </w:t>
      </w:r>
      <w:r>
        <w:rPr>
          <w:sz w:val="20"/>
        </w:rPr>
        <w:t>indication.</w:t>
      </w:r>
    </w:p>
    <w:p>
      <w:pPr>
        <w:pStyle w:val="ListParagraph"/>
        <w:numPr>
          <w:ilvl w:val="0"/>
          <w:numId w:val="2"/>
        </w:numPr>
        <w:tabs>
          <w:tab w:pos="1399" w:val="left" w:leader="none"/>
        </w:tabs>
        <w:spacing w:line="240" w:lineRule="auto" w:before="0" w:after="0"/>
        <w:ind w:left="1398" w:right="1035" w:hanging="360"/>
        <w:jc w:val="left"/>
        <w:rPr>
          <w:sz w:val="20"/>
        </w:rPr>
      </w:pPr>
      <w:r>
        <w:rPr>
          <w:sz w:val="20"/>
        </w:rPr>
        <w:t>Ensure a clear, accurate and legible record is made in the patient notes when prescribing methotrexate for an off-label indication.</w:t>
      </w:r>
    </w:p>
    <w:p>
      <w:pPr>
        <w:pStyle w:val="ListParagraph"/>
        <w:numPr>
          <w:ilvl w:val="0"/>
          <w:numId w:val="2"/>
        </w:numPr>
        <w:tabs>
          <w:tab w:pos="1399" w:val="left" w:leader="none"/>
        </w:tabs>
        <w:spacing w:line="240" w:lineRule="auto" w:before="0" w:after="0"/>
        <w:ind w:left="1398" w:right="1037" w:hanging="360"/>
        <w:jc w:val="left"/>
        <w:rPr>
          <w:sz w:val="20"/>
        </w:rPr>
      </w:pPr>
      <w:r>
        <w:rPr>
          <w:sz w:val="20"/>
        </w:rPr>
        <w:t>Ensure the approved off-label indication is clearly specified in the standard letter when methotrexate is used for an off-label</w:t>
      </w:r>
      <w:r>
        <w:rPr>
          <w:spacing w:val="-2"/>
          <w:sz w:val="20"/>
        </w:rPr>
        <w:t> </w:t>
      </w:r>
      <w:r>
        <w:rPr>
          <w:sz w:val="20"/>
        </w:rPr>
        <w:t>indication.</w:t>
      </w:r>
    </w:p>
    <w:p>
      <w:pPr>
        <w:pStyle w:val="Heading1"/>
        <w:spacing w:before="120"/>
        <w:ind w:left="537"/>
      </w:pPr>
      <w:r>
        <w:rPr/>
        <w:t>General Practitioner</w:t>
      </w:r>
    </w:p>
    <w:p>
      <w:pPr>
        <w:pStyle w:val="ListParagraph"/>
        <w:numPr>
          <w:ilvl w:val="0"/>
          <w:numId w:val="3"/>
        </w:numPr>
        <w:tabs>
          <w:tab w:pos="1393" w:val="left" w:leader="none"/>
        </w:tabs>
        <w:spacing w:line="240" w:lineRule="auto" w:before="161" w:after="0"/>
        <w:ind w:left="1392" w:right="1288" w:hanging="357"/>
        <w:jc w:val="left"/>
        <w:rPr>
          <w:sz w:val="20"/>
        </w:rPr>
      </w:pPr>
      <w:r>
        <w:rPr>
          <w:sz w:val="20"/>
        </w:rPr>
        <w:t>Reply to the request for shared  care  as  soon  as  practicable  by  completing  standard  letters  to the Consultant. If shared care is declined please contact the consultant to explain the</w:t>
      </w:r>
      <w:r>
        <w:rPr>
          <w:spacing w:val="-10"/>
          <w:sz w:val="20"/>
        </w:rPr>
        <w:t> </w:t>
      </w:r>
      <w:r>
        <w:rPr>
          <w:sz w:val="20"/>
        </w:rPr>
        <w:t>reason.</w:t>
      </w:r>
    </w:p>
    <w:p>
      <w:pPr>
        <w:pStyle w:val="ListParagraph"/>
        <w:numPr>
          <w:ilvl w:val="0"/>
          <w:numId w:val="3"/>
        </w:numPr>
        <w:tabs>
          <w:tab w:pos="1393" w:val="left" w:leader="none"/>
        </w:tabs>
        <w:spacing w:line="230" w:lineRule="exact" w:before="0" w:after="0"/>
        <w:ind w:left="1392" w:right="0" w:hanging="357"/>
        <w:jc w:val="left"/>
        <w:rPr>
          <w:sz w:val="20"/>
        </w:rPr>
      </w:pPr>
      <w:r>
        <w:rPr>
          <w:sz w:val="20"/>
        </w:rPr>
        <w:t>Monitor patient’s overall health and</w:t>
      </w:r>
      <w:r>
        <w:rPr>
          <w:spacing w:val="-4"/>
          <w:sz w:val="20"/>
        </w:rPr>
        <w:t> </w:t>
      </w:r>
      <w:r>
        <w:rPr>
          <w:sz w:val="20"/>
        </w:rPr>
        <w:t>wellbeing.</w:t>
      </w:r>
    </w:p>
    <w:p>
      <w:pPr>
        <w:pStyle w:val="ListParagraph"/>
        <w:numPr>
          <w:ilvl w:val="0"/>
          <w:numId w:val="3"/>
        </w:numPr>
        <w:tabs>
          <w:tab w:pos="1393" w:val="left" w:leader="none"/>
        </w:tabs>
        <w:spacing w:line="240" w:lineRule="auto" w:before="1" w:after="0"/>
        <w:ind w:left="1392" w:right="1170" w:hanging="357"/>
        <w:jc w:val="left"/>
        <w:rPr>
          <w:sz w:val="20"/>
        </w:rPr>
      </w:pPr>
      <w:r>
        <w:rPr>
          <w:sz w:val="20"/>
        </w:rPr>
        <w:t>Prescribe methotrexate at the dose recommended by the specialist team and ensure patient understands the number of tablets and strength of tablets to take. </w:t>
      </w:r>
      <w:r>
        <w:rPr>
          <w:b/>
          <w:sz w:val="20"/>
        </w:rPr>
        <w:t>Only 2.5 mg tablets should be prescribed. </w:t>
      </w:r>
      <w:r>
        <w:rPr>
          <w:sz w:val="20"/>
        </w:rPr>
        <w:t>10 mg tablets </w:t>
      </w:r>
      <w:r>
        <w:rPr>
          <w:b/>
          <w:sz w:val="20"/>
        </w:rPr>
        <w:t>SHOULD NOT </w:t>
      </w:r>
      <w:r>
        <w:rPr>
          <w:sz w:val="20"/>
        </w:rPr>
        <w:t>be prescribed. Prescriptions should specify “once a week” and</w:t>
      </w:r>
      <w:r>
        <w:rPr>
          <w:spacing w:val="20"/>
          <w:sz w:val="20"/>
        </w:rPr>
        <w:t> </w:t>
      </w:r>
      <w:r>
        <w:rPr>
          <w:sz w:val="20"/>
        </w:rPr>
        <w:t>the</w:t>
      </w:r>
      <w:r>
        <w:rPr>
          <w:spacing w:val="23"/>
          <w:sz w:val="20"/>
        </w:rPr>
        <w:t> </w:t>
      </w:r>
      <w:r>
        <w:rPr>
          <w:sz w:val="20"/>
        </w:rPr>
        <w:t>day</w:t>
      </w:r>
      <w:r>
        <w:rPr>
          <w:spacing w:val="22"/>
          <w:sz w:val="20"/>
        </w:rPr>
        <w:t> </w:t>
      </w:r>
      <w:r>
        <w:rPr>
          <w:sz w:val="20"/>
        </w:rPr>
        <w:t>of</w:t>
      </w:r>
      <w:r>
        <w:rPr>
          <w:spacing w:val="23"/>
          <w:sz w:val="20"/>
        </w:rPr>
        <w:t> </w:t>
      </w:r>
      <w:r>
        <w:rPr>
          <w:sz w:val="20"/>
        </w:rPr>
        <w:t>administration.</w:t>
      </w:r>
      <w:r>
        <w:rPr>
          <w:spacing w:val="42"/>
          <w:sz w:val="20"/>
        </w:rPr>
        <w:t> </w:t>
      </w:r>
      <w:r>
        <w:rPr>
          <w:sz w:val="20"/>
        </w:rPr>
        <w:t>The</w:t>
      </w:r>
      <w:r>
        <w:rPr>
          <w:spacing w:val="23"/>
          <w:sz w:val="20"/>
        </w:rPr>
        <w:t> </w:t>
      </w:r>
      <w:r>
        <w:rPr>
          <w:sz w:val="20"/>
        </w:rPr>
        <w:t>term</w:t>
      </w:r>
      <w:r>
        <w:rPr>
          <w:spacing w:val="22"/>
          <w:sz w:val="20"/>
        </w:rPr>
        <w:t> </w:t>
      </w:r>
      <w:r>
        <w:rPr>
          <w:sz w:val="20"/>
        </w:rPr>
        <w:t>“as directed” </w:t>
      </w:r>
      <w:r>
        <w:rPr>
          <w:b/>
          <w:sz w:val="20"/>
        </w:rPr>
        <w:t>SHOULD</w:t>
      </w:r>
      <w:r>
        <w:rPr>
          <w:b/>
          <w:spacing w:val="-2"/>
          <w:sz w:val="20"/>
        </w:rPr>
        <w:t> </w:t>
      </w:r>
      <w:r>
        <w:rPr>
          <w:b/>
          <w:sz w:val="20"/>
        </w:rPr>
        <w:t>NOT</w:t>
      </w:r>
      <w:r>
        <w:rPr>
          <w:b/>
          <w:spacing w:val="-1"/>
          <w:sz w:val="20"/>
        </w:rPr>
        <w:t> </w:t>
      </w:r>
      <w:r>
        <w:rPr>
          <w:sz w:val="20"/>
        </w:rPr>
        <w:t>be used.</w:t>
      </w:r>
    </w:p>
    <w:p>
      <w:pPr>
        <w:pStyle w:val="ListParagraph"/>
        <w:numPr>
          <w:ilvl w:val="0"/>
          <w:numId w:val="3"/>
        </w:numPr>
        <w:tabs>
          <w:tab w:pos="1393" w:val="left" w:leader="none"/>
        </w:tabs>
        <w:spacing w:line="240" w:lineRule="auto" w:before="0" w:after="0"/>
        <w:ind w:left="1392" w:right="0" w:hanging="357"/>
        <w:jc w:val="left"/>
        <w:rPr>
          <w:sz w:val="20"/>
        </w:rPr>
      </w:pPr>
      <w:r>
        <w:rPr>
          <w:sz w:val="20"/>
        </w:rPr>
        <w:t>Ensure that the patient understands that dosing is at weekly intervals, and encourage the patient to</w:t>
      </w:r>
      <w:r>
        <w:rPr>
          <w:spacing w:val="-18"/>
          <w:sz w:val="20"/>
        </w:rPr>
        <w:t> </w:t>
      </w:r>
      <w:r>
        <w:rPr>
          <w:sz w:val="20"/>
        </w:rPr>
        <w:t>carry</w:t>
      </w:r>
    </w:p>
    <w:p>
      <w:pPr>
        <w:spacing w:after="0" w:line="240" w:lineRule="auto"/>
        <w:jc w:val="left"/>
        <w:rPr>
          <w:sz w:val="20"/>
        </w:rPr>
        <w:sectPr>
          <w:pgSz w:w="11910" w:h="16840"/>
          <w:pgMar w:header="0" w:footer="1240" w:top="1580" w:bottom="1520" w:left="160" w:right="40"/>
        </w:sectPr>
      </w:pPr>
    </w:p>
    <w:p>
      <w:pPr>
        <w:pStyle w:val="BodyText"/>
        <w:spacing w:before="71"/>
        <w:ind w:left="1392" w:right="1081"/>
      </w:pPr>
      <w:r>
        <w:rPr/>
        <w:t>the warning card that comes with each dispensing of methotrexate upon their person (e.g., in their wallet or purse).</w:t>
      </w:r>
    </w:p>
    <w:p>
      <w:pPr>
        <w:pStyle w:val="ListParagraph"/>
        <w:numPr>
          <w:ilvl w:val="0"/>
          <w:numId w:val="3"/>
        </w:numPr>
        <w:tabs>
          <w:tab w:pos="1393" w:val="left" w:leader="none"/>
        </w:tabs>
        <w:spacing w:line="240" w:lineRule="auto" w:before="0" w:after="0"/>
        <w:ind w:left="1392" w:right="1713" w:hanging="357"/>
        <w:jc w:val="left"/>
        <w:rPr>
          <w:sz w:val="20"/>
        </w:rPr>
      </w:pPr>
      <w:r>
        <w:rPr>
          <w:sz w:val="20"/>
        </w:rPr>
        <w:t>Ensure that the patient knows that he/she must report the warning symptoms as listed under “Adverse Effects”.</w:t>
      </w:r>
    </w:p>
    <w:p>
      <w:pPr>
        <w:pStyle w:val="ListParagraph"/>
        <w:numPr>
          <w:ilvl w:val="0"/>
          <w:numId w:val="3"/>
        </w:numPr>
        <w:tabs>
          <w:tab w:pos="1393" w:val="left" w:leader="none"/>
        </w:tabs>
        <w:spacing w:line="240" w:lineRule="auto" w:before="0" w:after="0"/>
        <w:ind w:left="1392" w:right="0" w:hanging="357"/>
        <w:jc w:val="left"/>
        <w:rPr>
          <w:sz w:val="20"/>
        </w:rPr>
      </w:pPr>
      <w:r>
        <w:rPr>
          <w:sz w:val="20"/>
        </w:rPr>
        <w:t>Ensure compatibility with other concomitant</w:t>
      </w:r>
      <w:r>
        <w:rPr>
          <w:spacing w:val="-4"/>
          <w:sz w:val="20"/>
        </w:rPr>
        <w:t> </w:t>
      </w:r>
      <w:r>
        <w:rPr>
          <w:sz w:val="20"/>
        </w:rPr>
        <w:t>medication.</w:t>
      </w:r>
    </w:p>
    <w:p>
      <w:pPr>
        <w:pStyle w:val="ListParagraph"/>
        <w:numPr>
          <w:ilvl w:val="0"/>
          <w:numId w:val="3"/>
        </w:numPr>
        <w:tabs>
          <w:tab w:pos="1393" w:val="left" w:leader="none"/>
        </w:tabs>
        <w:spacing w:line="240" w:lineRule="auto" w:before="0" w:after="0"/>
        <w:ind w:left="1392" w:right="1351" w:hanging="357"/>
        <w:jc w:val="left"/>
        <w:rPr>
          <w:sz w:val="20"/>
        </w:rPr>
      </w:pPr>
      <w:r>
        <w:rPr>
          <w:sz w:val="20"/>
        </w:rPr>
        <w:t>Monitor blood counts, hepatic and renal function at recommended frequencies as described (see “Monitoring”), and inform consultant if abnormal. All test results to be recorded in the “Patient-Held Monitoring and Dosage Record” and communicated</w:t>
      </w:r>
      <w:r>
        <w:rPr>
          <w:spacing w:val="15"/>
          <w:sz w:val="20"/>
        </w:rPr>
        <w:t> </w:t>
      </w:r>
      <w:r>
        <w:rPr>
          <w:sz w:val="20"/>
        </w:rPr>
        <w:t>appropriately.</w:t>
      </w:r>
    </w:p>
    <w:p>
      <w:pPr>
        <w:pStyle w:val="ListParagraph"/>
        <w:numPr>
          <w:ilvl w:val="0"/>
          <w:numId w:val="3"/>
        </w:numPr>
        <w:tabs>
          <w:tab w:pos="1393" w:val="left" w:leader="none"/>
        </w:tabs>
        <w:spacing w:line="240" w:lineRule="auto" w:before="0" w:after="0"/>
        <w:ind w:left="1392" w:right="0" w:hanging="357"/>
        <w:jc w:val="left"/>
        <w:rPr>
          <w:sz w:val="20"/>
        </w:rPr>
      </w:pPr>
      <w:r>
        <w:rPr>
          <w:sz w:val="20"/>
        </w:rPr>
        <w:t>Advise the patient on the date that the next blood test is due and arrange</w:t>
      </w:r>
      <w:r>
        <w:rPr>
          <w:spacing w:val="-10"/>
          <w:sz w:val="20"/>
        </w:rPr>
        <w:t> </w:t>
      </w:r>
      <w:r>
        <w:rPr>
          <w:sz w:val="20"/>
        </w:rPr>
        <w:t>it.</w:t>
      </w:r>
    </w:p>
    <w:p>
      <w:pPr>
        <w:pStyle w:val="ListParagraph"/>
        <w:numPr>
          <w:ilvl w:val="0"/>
          <w:numId w:val="3"/>
        </w:numPr>
        <w:tabs>
          <w:tab w:pos="1393" w:val="left" w:leader="none"/>
        </w:tabs>
        <w:spacing w:line="240" w:lineRule="auto" w:before="0" w:after="0"/>
        <w:ind w:left="1392" w:right="1341" w:hanging="357"/>
        <w:jc w:val="left"/>
        <w:rPr>
          <w:sz w:val="20"/>
        </w:rPr>
      </w:pPr>
      <w:r>
        <w:rPr>
          <w:sz w:val="20"/>
        </w:rPr>
        <w:t>Adjust the dose as advised by the specialist and counsel patient on any  dose changes.  Record  dose changes in the “Patient-Held Monitoring and Dosage</w:t>
      </w:r>
      <w:r>
        <w:rPr>
          <w:spacing w:val="-11"/>
          <w:sz w:val="20"/>
        </w:rPr>
        <w:t> </w:t>
      </w:r>
      <w:r>
        <w:rPr>
          <w:sz w:val="20"/>
        </w:rPr>
        <w:t>Record”.</w:t>
      </w:r>
    </w:p>
    <w:p>
      <w:pPr>
        <w:pStyle w:val="ListParagraph"/>
        <w:numPr>
          <w:ilvl w:val="0"/>
          <w:numId w:val="3"/>
        </w:numPr>
        <w:tabs>
          <w:tab w:pos="1393" w:val="left" w:leader="none"/>
        </w:tabs>
        <w:spacing w:line="229" w:lineRule="exact" w:before="0" w:after="0"/>
        <w:ind w:left="1392" w:right="0" w:hanging="357"/>
        <w:jc w:val="left"/>
        <w:rPr>
          <w:sz w:val="20"/>
        </w:rPr>
      </w:pPr>
      <w:r>
        <w:rPr>
          <w:sz w:val="20"/>
        </w:rPr>
        <w:t>Stop treatment on the advice of the specialist or immediately if an urgent need to stop treatment</w:t>
      </w:r>
      <w:r>
        <w:rPr>
          <w:spacing w:val="-13"/>
          <w:sz w:val="20"/>
        </w:rPr>
        <w:t> </w:t>
      </w:r>
      <w:r>
        <w:rPr>
          <w:sz w:val="20"/>
        </w:rPr>
        <w:t>arises.</w:t>
      </w:r>
    </w:p>
    <w:p>
      <w:pPr>
        <w:pStyle w:val="ListParagraph"/>
        <w:numPr>
          <w:ilvl w:val="0"/>
          <w:numId w:val="3"/>
        </w:numPr>
        <w:tabs>
          <w:tab w:pos="1393" w:val="left" w:leader="none"/>
        </w:tabs>
        <w:spacing w:line="230" w:lineRule="exact" w:before="0" w:after="0"/>
        <w:ind w:left="1392" w:right="0" w:hanging="357"/>
        <w:jc w:val="left"/>
        <w:rPr>
          <w:sz w:val="20"/>
        </w:rPr>
      </w:pPr>
      <w:r>
        <w:rPr>
          <w:sz w:val="20"/>
        </w:rPr>
        <w:t>Report adverse events to the specialist and MHRA via the</w:t>
      </w:r>
      <w:r>
        <w:rPr>
          <w:color w:val="0000FF"/>
          <w:sz w:val="20"/>
        </w:rPr>
        <w:t> </w:t>
      </w:r>
      <w:hyperlink r:id="rId8">
        <w:r>
          <w:rPr>
            <w:color w:val="0000FF"/>
            <w:sz w:val="20"/>
            <w:u w:val="single" w:color="0000FF"/>
          </w:rPr>
          <w:t>yellow card</w:t>
        </w:r>
        <w:r>
          <w:rPr>
            <w:color w:val="0000FF"/>
            <w:spacing w:val="-9"/>
            <w:sz w:val="20"/>
            <w:u w:val="single" w:color="0000FF"/>
          </w:rPr>
          <w:t> </w:t>
        </w:r>
        <w:r>
          <w:rPr>
            <w:color w:val="0000FF"/>
            <w:sz w:val="20"/>
            <w:u w:val="single" w:color="0000FF"/>
          </w:rPr>
          <w:t>scheme.</w:t>
        </w:r>
      </w:hyperlink>
    </w:p>
    <w:p>
      <w:pPr>
        <w:pStyle w:val="Heading3"/>
        <w:numPr>
          <w:ilvl w:val="0"/>
          <w:numId w:val="3"/>
        </w:numPr>
        <w:tabs>
          <w:tab w:pos="1393" w:val="left" w:leader="none"/>
        </w:tabs>
        <w:spacing w:line="229" w:lineRule="exact" w:before="1" w:after="0"/>
        <w:ind w:left="1392" w:right="0" w:hanging="357"/>
        <w:jc w:val="left"/>
      </w:pPr>
      <w:r>
        <w:rPr/>
        <w:t>All requests for repeat prescriptions should be reviewed individually prior to</w:t>
      </w:r>
      <w:r>
        <w:rPr>
          <w:spacing w:val="-12"/>
        </w:rPr>
        <w:t> </w:t>
      </w:r>
      <w:r>
        <w:rPr/>
        <w:t>issuing.</w:t>
      </w:r>
    </w:p>
    <w:p>
      <w:pPr>
        <w:pStyle w:val="ListParagraph"/>
        <w:numPr>
          <w:ilvl w:val="0"/>
          <w:numId w:val="3"/>
        </w:numPr>
        <w:tabs>
          <w:tab w:pos="1393" w:val="left" w:leader="none"/>
        </w:tabs>
        <w:spacing w:line="239" w:lineRule="exact" w:before="0" w:after="0"/>
        <w:ind w:left="1392" w:right="0" w:hanging="357"/>
        <w:jc w:val="left"/>
        <w:rPr>
          <w:sz w:val="20"/>
        </w:rPr>
      </w:pPr>
      <w:r>
        <w:rPr>
          <w:sz w:val="20"/>
        </w:rPr>
        <w:t>Offer annual influenza vaccination to the</w:t>
      </w:r>
      <w:r>
        <w:rPr>
          <w:spacing w:val="-2"/>
          <w:sz w:val="20"/>
        </w:rPr>
        <w:t> </w:t>
      </w:r>
      <w:r>
        <w:rPr>
          <w:sz w:val="20"/>
        </w:rPr>
        <w:t>patient.</w:t>
      </w:r>
    </w:p>
    <w:p>
      <w:pPr>
        <w:pStyle w:val="ListParagraph"/>
        <w:numPr>
          <w:ilvl w:val="0"/>
          <w:numId w:val="3"/>
        </w:numPr>
        <w:tabs>
          <w:tab w:pos="1393" w:val="left" w:leader="none"/>
        </w:tabs>
        <w:spacing w:line="240" w:lineRule="auto" w:before="2" w:after="0"/>
        <w:ind w:left="1392" w:right="1162" w:hanging="357"/>
        <w:jc w:val="left"/>
        <w:rPr>
          <w:sz w:val="20"/>
        </w:rPr>
      </w:pPr>
      <w:r>
        <w:rPr>
          <w:sz w:val="20"/>
        </w:rPr>
        <w:t>Offer patients a dose of the 23-valent unconjugated pneumococcal polysaccharide vaccine (e.g. Pneumovax ® II) prior to commencing methotrexate and again once the patient reaches 65 years (if not given within the previous 5</w:t>
      </w:r>
      <w:r>
        <w:rPr>
          <w:spacing w:val="-3"/>
          <w:sz w:val="20"/>
        </w:rPr>
        <w:t> </w:t>
      </w:r>
      <w:r>
        <w:rPr>
          <w:sz w:val="20"/>
        </w:rPr>
        <w:t>years).</w:t>
      </w:r>
    </w:p>
    <w:p>
      <w:pPr>
        <w:pStyle w:val="ListParagraph"/>
        <w:numPr>
          <w:ilvl w:val="0"/>
          <w:numId w:val="3"/>
        </w:numPr>
        <w:tabs>
          <w:tab w:pos="1393" w:val="left" w:leader="none"/>
        </w:tabs>
        <w:spacing w:line="240" w:lineRule="auto" w:before="0" w:after="0"/>
        <w:ind w:left="1392" w:right="1256" w:hanging="357"/>
        <w:jc w:val="left"/>
        <w:rPr>
          <w:sz w:val="20"/>
        </w:rPr>
      </w:pPr>
      <w:r>
        <w:rPr>
          <w:sz w:val="20"/>
        </w:rPr>
        <w:t>Register on the GP portal service to access blood results: CDR (UCLH); GP bloods (NMUH). For RFL, the GP will be advised by the specialist team how blood results will be</w:t>
      </w:r>
      <w:r>
        <w:rPr>
          <w:spacing w:val="-10"/>
          <w:sz w:val="20"/>
        </w:rPr>
        <w:t> </w:t>
      </w:r>
      <w:r>
        <w:rPr>
          <w:sz w:val="20"/>
        </w:rPr>
        <w:t>communicated.</w:t>
      </w:r>
    </w:p>
    <w:p>
      <w:pPr>
        <w:pStyle w:val="ListParagraph"/>
        <w:numPr>
          <w:ilvl w:val="0"/>
          <w:numId w:val="3"/>
        </w:numPr>
        <w:tabs>
          <w:tab w:pos="1393" w:val="left" w:leader="none"/>
        </w:tabs>
        <w:spacing w:line="240" w:lineRule="auto" w:before="0" w:after="0"/>
        <w:ind w:left="1392" w:right="1145" w:hanging="357"/>
        <w:jc w:val="left"/>
        <w:rPr>
          <w:sz w:val="20"/>
        </w:rPr>
      </w:pPr>
      <w:r>
        <w:rPr>
          <w:sz w:val="20"/>
        </w:rPr>
        <w:t>Ensure a clear, accurate and legible record is made in the patient notes, when prescribing methotrexate for an off-label indication.</w:t>
      </w:r>
    </w:p>
    <w:p>
      <w:pPr>
        <w:pStyle w:val="BodyText"/>
        <w:rPr>
          <w:sz w:val="22"/>
        </w:rPr>
      </w:pPr>
    </w:p>
    <w:p>
      <w:pPr>
        <w:pStyle w:val="BodyText"/>
        <w:spacing w:before="4"/>
        <w:rPr>
          <w:sz w:val="18"/>
        </w:rPr>
      </w:pPr>
    </w:p>
    <w:p>
      <w:pPr>
        <w:pStyle w:val="Heading1"/>
        <w:spacing w:line="276" w:lineRule="exact"/>
      </w:pPr>
      <w:r>
        <w:rPr/>
        <w:t>Patient</w:t>
      </w:r>
    </w:p>
    <w:p>
      <w:pPr>
        <w:pStyle w:val="ListParagraph"/>
        <w:numPr>
          <w:ilvl w:val="0"/>
          <w:numId w:val="4"/>
        </w:numPr>
        <w:tabs>
          <w:tab w:pos="1399" w:val="left" w:leader="none"/>
        </w:tabs>
        <w:spacing w:line="230" w:lineRule="exact" w:before="0" w:after="0"/>
        <w:ind w:left="1398" w:right="0" w:hanging="360"/>
        <w:jc w:val="left"/>
        <w:rPr>
          <w:sz w:val="20"/>
        </w:rPr>
      </w:pPr>
      <w:r>
        <w:rPr>
          <w:sz w:val="20"/>
        </w:rPr>
        <w:t>Report to the specialist or GP if he or she does not have a clear understanding of the</w:t>
      </w:r>
      <w:r>
        <w:rPr>
          <w:spacing w:val="-13"/>
          <w:sz w:val="20"/>
        </w:rPr>
        <w:t> </w:t>
      </w:r>
      <w:r>
        <w:rPr>
          <w:sz w:val="20"/>
        </w:rPr>
        <w:t>treatment.</w:t>
      </w:r>
    </w:p>
    <w:p>
      <w:pPr>
        <w:pStyle w:val="ListParagraph"/>
        <w:numPr>
          <w:ilvl w:val="0"/>
          <w:numId w:val="4"/>
        </w:numPr>
        <w:tabs>
          <w:tab w:pos="1399" w:val="left" w:leader="none"/>
        </w:tabs>
        <w:spacing w:line="240" w:lineRule="auto" w:before="1" w:after="0"/>
        <w:ind w:left="1398" w:right="0" w:hanging="360"/>
        <w:jc w:val="left"/>
        <w:rPr>
          <w:sz w:val="20"/>
        </w:rPr>
      </w:pPr>
      <w:r>
        <w:rPr>
          <w:sz w:val="20"/>
        </w:rPr>
        <w:t>Share any concerns in relation to treatment with</w:t>
      </w:r>
      <w:r>
        <w:rPr>
          <w:spacing w:val="-6"/>
          <w:sz w:val="20"/>
        </w:rPr>
        <w:t> </w:t>
      </w:r>
      <w:r>
        <w:rPr>
          <w:sz w:val="20"/>
        </w:rPr>
        <w:t>methotrexate.</w:t>
      </w:r>
    </w:p>
    <w:p>
      <w:pPr>
        <w:pStyle w:val="ListParagraph"/>
        <w:numPr>
          <w:ilvl w:val="0"/>
          <w:numId w:val="4"/>
        </w:numPr>
        <w:tabs>
          <w:tab w:pos="1399" w:val="left" w:leader="none"/>
        </w:tabs>
        <w:spacing w:line="230" w:lineRule="exact" w:before="0" w:after="0"/>
        <w:ind w:left="1398" w:right="0" w:hanging="360"/>
        <w:jc w:val="left"/>
        <w:rPr>
          <w:sz w:val="20"/>
        </w:rPr>
      </w:pPr>
      <w:r>
        <w:rPr>
          <w:sz w:val="20"/>
        </w:rPr>
        <w:t>Inform specialist or GP of any other medication being taken, including over-the-counter</w:t>
      </w:r>
      <w:r>
        <w:rPr>
          <w:spacing w:val="-8"/>
          <w:sz w:val="20"/>
        </w:rPr>
        <w:t> </w:t>
      </w:r>
      <w:r>
        <w:rPr>
          <w:sz w:val="20"/>
        </w:rPr>
        <w:t>products.</w:t>
      </w:r>
    </w:p>
    <w:p>
      <w:pPr>
        <w:pStyle w:val="ListParagraph"/>
        <w:numPr>
          <w:ilvl w:val="0"/>
          <w:numId w:val="4"/>
        </w:numPr>
        <w:tabs>
          <w:tab w:pos="1399" w:val="left" w:leader="none"/>
        </w:tabs>
        <w:spacing w:line="240" w:lineRule="auto" w:before="0" w:after="0"/>
        <w:ind w:left="1406" w:right="1063" w:hanging="368"/>
        <w:jc w:val="left"/>
        <w:rPr>
          <w:sz w:val="20"/>
        </w:rPr>
      </w:pPr>
      <w:r>
        <w:rPr>
          <w:sz w:val="20"/>
        </w:rPr>
        <w:t>Report any adverse effects or warning symptoms (sore throat, bruising, mouth ulcers, nausea, vomiting, abdominal discomfort, dark urine, shortness of breath) to the specialist or GP whilst taking</w:t>
      </w:r>
      <w:r>
        <w:rPr>
          <w:spacing w:val="-10"/>
          <w:sz w:val="20"/>
        </w:rPr>
        <w:t> </w:t>
      </w:r>
      <w:r>
        <w:rPr>
          <w:sz w:val="20"/>
        </w:rPr>
        <w:t>methotrexate.</w:t>
      </w:r>
    </w:p>
    <w:p>
      <w:pPr>
        <w:pStyle w:val="ListParagraph"/>
        <w:numPr>
          <w:ilvl w:val="0"/>
          <w:numId w:val="4"/>
        </w:numPr>
        <w:tabs>
          <w:tab w:pos="1399" w:val="left" w:leader="none"/>
        </w:tabs>
        <w:spacing w:line="240" w:lineRule="auto" w:before="1" w:after="0"/>
        <w:ind w:left="1398" w:right="0" w:hanging="360"/>
        <w:jc w:val="left"/>
        <w:rPr>
          <w:sz w:val="20"/>
        </w:rPr>
      </w:pPr>
      <w:r>
        <w:rPr>
          <w:sz w:val="20"/>
        </w:rPr>
        <w:t>Bring the Methotrexate Monitoring Booklet to all appointments and when collecting supply of</w:t>
      </w:r>
      <w:r>
        <w:rPr>
          <w:spacing w:val="-6"/>
          <w:sz w:val="20"/>
        </w:rPr>
        <w:t> </w:t>
      </w:r>
      <w:r>
        <w:rPr>
          <w:sz w:val="20"/>
        </w:rPr>
        <w:t>tablets.</w:t>
      </w:r>
    </w:p>
    <w:p>
      <w:pPr>
        <w:pStyle w:val="BodyText"/>
        <w:spacing w:before="4"/>
        <w:rPr>
          <w:sz w:val="30"/>
        </w:rPr>
      </w:pPr>
    </w:p>
    <w:p>
      <w:pPr>
        <w:pStyle w:val="Heading1"/>
      </w:pPr>
      <w:r>
        <w:rPr/>
        <w:t>Clinical Commissioning Group</w:t>
      </w:r>
    </w:p>
    <w:p>
      <w:pPr>
        <w:pStyle w:val="ListParagraph"/>
        <w:numPr>
          <w:ilvl w:val="0"/>
          <w:numId w:val="5"/>
        </w:numPr>
        <w:tabs>
          <w:tab w:pos="1399" w:val="left" w:leader="none"/>
        </w:tabs>
        <w:spacing w:line="240" w:lineRule="auto" w:before="121" w:after="0"/>
        <w:ind w:left="1398" w:right="0" w:hanging="360"/>
        <w:jc w:val="left"/>
        <w:rPr>
          <w:sz w:val="20"/>
        </w:rPr>
      </w:pPr>
      <w:r>
        <w:rPr>
          <w:sz w:val="20"/>
        </w:rPr>
        <w:t>To support GPs to decide whether or not to accept clinical responsibility for</w:t>
      </w:r>
      <w:r>
        <w:rPr>
          <w:spacing w:val="-6"/>
          <w:sz w:val="20"/>
        </w:rPr>
        <w:t> </w:t>
      </w:r>
      <w:r>
        <w:rPr>
          <w:sz w:val="20"/>
        </w:rPr>
        <w:t>prescribing.</w:t>
      </w:r>
    </w:p>
    <w:p>
      <w:pPr>
        <w:pStyle w:val="ListParagraph"/>
        <w:numPr>
          <w:ilvl w:val="0"/>
          <w:numId w:val="5"/>
        </w:numPr>
        <w:tabs>
          <w:tab w:pos="1399" w:val="left" w:leader="none"/>
        </w:tabs>
        <w:spacing w:line="240" w:lineRule="auto" w:before="0" w:after="0"/>
        <w:ind w:left="1398" w:right="0" w:hanging="360"/>
        <w:jc w:val="left"/>
        <w:rPr>
          <w:sz w:val="20"/>
        </w:rPr>
      </w:pPr>
      <w:r>
        <w:rPr>
          <w:sz w:val="20"/>
        </w:rPr>
        <w:t>To support Trusts in resolving issues that may arise as a result of shared</w:t>
      </w:r>
      <w:r>
        <w:rPr>
          <w:spacing w:val="-5"/>
          <w:sz w:val="20"/>
        </w:rPr>
        <w:t> </w:t>
      </w:r>
      <w:r>
        <w:rPr>
          <w:sz w:val="20"/>
        </w:rPr>
        <w:t>care.</w:t>
      </w:r>
    </w:p>
    <w:p>
      <w:pPr>
        <w:pStyle w:val="BodyText"/>
        <w:spacing w:before="4"/>
        <w:rPr>
          <w:sz w:val="25"/>
        </w:rPr>
      </w:pPr>
    </w:p>
    <w:p>
      <w:pPr>
        <w:tabs>
          <w:tab w:pos="11087" w:val="left" w:leader="none"/>
        </w:tabs>
        <w:spacing w:before="91"/>
        <w:ind w:left="678" w:right="0" w:firstLine="0"/>
        <w:jc w:val="left"/>
        <w:rPr>
          <w:b/>
          <w:sz w:val="28"/>
        </w:rPr>
      </w:pPr>
      <w:r>
        <w:rPr>
          <w:b/>
          <w:w w:val="95"/>
          <w:sz w:val="28"/>
          <w:shd w:fill="8DB3E1" w:color="auto" w:val="clear"/>
        </w:rPr>
        <w:t>SUPPORTING </w:t>
      </w:r>
      <w:r>
        <w:rPr>
          <w:b/>
          <w:spacing w:val="67"/>
          <w:w w:val="95"/>
          <w:sz w:val="28"/>
          <w:shd w:fill="8DB3E1" w:color="auto" w:val="clear"/>
        </w:rPr>
        <w:t> </w:t>
      </w:r>
      <w:r>
        <w:rPr>
          <w:b/>
          <w:w w:val="95"/>
          <w:sz w:val="28"/>
          <w:shd w:fill="8DB3E1" w:color="auto" w:val="clear"/>
        </w:rPr>
        <w:t>INFORMATION</w:t>
      </w:r>
      <w:r>
        <w:rPr>
          <w:b/>
          <w:sz w:val="28"/>
          <w:shd w:fill="8DB3E1" w:color="auto" w:val="clear"/>
        </w:rPr>
        <w:tab/>
      </w:r>
    </w:p>
    <w:p>
      <w:pPr>
        <w:pStyle w:val="Heading1"/>
        <w:tabs>
          <w:tab w:pos="11087" w:val="left" w:leader="none"/>
        </w:tabs>
        <w:spacing w:before="184"/>
      </w:pPr>
      <w:r>
        <w:rPr>
          <w:color w:val="FFFFFF"/>
          <w:shd w:fill="538DD3" w:color="auto" w:val="clear"/>
        </w:rPr>
        <w:t>Approved</w:t>
      </w:r>
      <w:r>
        <w:rPr>
          <w:color w:val="FFFFFF"/>
          <w:spacing w:val="-1"/>
          <w:shd w:fill="538DD3" w:color="auto" w:val="clear"/>
        </w:rPr>
        <w:t> </w:t>
      </w:r>
      <w:r>
        <w:rPr>
          <w:color w:val="FFFFFF"/>
          <w:shd w:fill="538DD3" w:color="auto" w:val="clear"/>
        </w:rPr>
        <w:t>indications</w:t>
        <w:tab/>
      </w:r>
    </w:p>
    <w:p>
      <w:pPr>
        <w:pStyle w:val="Heading2"/>
        <w:spacing w:before="230"/>
        <w:rPr>
          <w:u w:val="none"/>
        </w:rPr>
      </w:pPr>
      <w:r>
        <w:rPr>
          <w:u w:val="thick"/>
        </w:rPr>
        <w:t>Licensed indications</w:t>
      </w:r>
    </w:p>
    <w:p>
      <w:pPr>
        <w:pStyle w:val="BodyText"/>
        <w:spacing w:before="6"/>
        <w:rPr>
          <w:b/>
        </w:rPr>
      </w:pPr>
    </w:p>
    <w:tbl>
      <w:tblPr>
        <w:tblW w:w="0" w:type="auto"/>
        <w:jc w:val="left"/>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92"/>
      </w:tblGrid>
      <w:tr>
        <w:trPr>
          <w:trHeight w:val="456" w:hRule="atLeast"/>
        </w:trPr>
        <w:tc>
          <w:tcPr>
            <w:tcW w:w="9892" w:type="dxa"/>
          </w:tcPr>
          <w:p>
            <w:pPr>
              <w:pStyle w:val="TableParagraph"/>
              <w:spacing w:line="224" w:lineRule="exact"/>
              <w:ind w:left="200"/>
              <w:rPr>
                <w:sz w:val="20"/>
              </w:rPr>
            </w:pPr>
            <w:r>
              <w:rPr>
                <w:sz w:val="20"/>
              </w:rPr>
              <w:t>Adults with severe, active, classical or definite rheumatoid arthritis who are unresponsive to or intolerant of</w:t>
            </w:r>
          </w:p>
          <w:p>
            <w:pPr>
              <w:pStyle w:val="TableParagraph"/>
              <w:spacing w:line="213" w:lineRule="exact"/>
              <w:ind w:left="200"/>
              <w:rPr>
                <w:sz w:val="20"/>
              </w:rPr>
            </w:pPr>
            <w:r>
              <w:rPr>
                <w:sz w:val="20"/>
              </w:rPr>
              <w:t>conventional therapy</w:t>
            </w:r>
          </w:p>
        </w:tc>
      </w:tr>
      <w:tr>
        <w:trPr>
          <w:trHeight w:val="226" w:hRule="atLeast"/>
        </w:trPr>
        <w:tc>
          <w:tcPr>
            <w:tcW w:w="9892" w:type="dxa"/>
          </w:tcPr>
          <w:p>
            <w:pPr>
              <w:pStyle w:val="TableParagraph"/>
              <w:spacing w:line="207" w:lineRule="exact"/>
              <w:ind w:left="200"/>
              <w:rPr>
                <w:sz w:val="20"/>
              </w:rPr>
            </w:pPr>
            <w:r>
              <w:rPr>
                <w:sz w:val="20"/>
              </w:rPr>
              <w:t>Adults with severe, uncontrolled psoriasis, which is not responsive to other therapy</w:t>
            </w:r>
          </w:p>
        </w:tc>
      </w:tr>
    </w:tbl>
    <w:p>
      <w:pPr>
        <w:pStyle w:val="BodyText"/>
        <w:spacing w:before="11"/>
        <w:rPr>
          <w:b/>
          <w:sz w:val="21"/>
        </w:rPr>
      </w:pPr>
    </w:p>
    <w:p>
      <w:pPr>
        <w:spacing w:before="0"/>
        <w:ind w:left="678" w:right="0" w:firstLine="0"/>
        <w:jc w:val="left"/>
        <w:rPr>
          <w:b/>
          <w:sz w:val="22"/>
        </w:rPr>
      </w:pPr>
      <w:r>
        <w:rPr>
          <w:b/>
          <w:sz w:val="22"/>
          <w:u w:val="thick"/>
        </w:rPr>
        <w:t>Off-label indications</w:t>
      </w:r>
    </w:p>
    <w:p>
      <w:pPr>
        <w:pStyle w:val="BodyText"/>
        <w:spacing w:before="7"/>
        <w:rPr>
          <w:b/>
          <w:sz w:val="28"/>
        </w:rPr>
      </w:pPr>
    </w:p>
    <w:tbl>
      <w:tblPr>
        <w:tblW w:w="0" w:type="auto"/>
        <w:jc w:val="left"/>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77"/>
        <w:gridCol w:w="3276"/>
      </w:tblGrid>
      <w:tr>
        <w:trPr>
          <w:trHeight w:val="227" w:hRule="atLeast"/>
        </w:trPr>
        <w:tc>
          <w:tcPr>
            <w:tcW w:w="4377" w:type="dxa"/>
          </w:tcPr>
          <w:p>
            <w:pPr>
              <w:pStyle w:val="TableParagraph"/>
              <w:spacing w:line="207" w:lineRule="exact"/>
              <w:ind w:left="200"/>
              <w:rPr>
                <w:sz w:val="20"/>
              </w:rPr>
            </w:pPr>
            <w:r>
              <w:rPr>
                <w:sz w:val="20"/>
              </w:rPr>
              <w:t>Juvenile idiopathic arthritis</w:t>
            </w:r>
          </w:p>
        </w:tc>
        <w:tc>
          <w:tcPr>
            <w:tcW w:w="3276" w:type="dxa"/>
          </w:tcPr>
          <w:p>
            <w:pPr>
              <w:pStyle w:val="TableParagraph"/>
              <w:spacing w:line="207" w:lineRule="exact"/>
              <w:ind w:left="997"/>
              <w:rPr>
                <w:sz w:val="20"/>
              </w:rPr>
            </w:pPr>
            <w:r>
              <w:rPr>
                <w:sz w:val="20"/>
              </w:rPr>
              <w:t>Vasculitis</w:t>
            </w:r>
          </w:p>
        </w:tc>
      </w:tr>
      <w:tr>
        <w:trPr>
          <w:trHeight w:val="229" w:hRule="atLeast"/>
        </w:trPr>
        <w:tc>
          <w:tcPr>
            <w:tcW w:w="4377" w:type="dxa"/>
          </w:tcPr>
          <w:p>
            <w:pPr>
              <w:pStyle w:val="TableParagraph"/>
              <w:spacing w:line="210" w:lineRule="exact"/>
              <w:ind w:left="200"/>
              <w:rPr>
                <w:sz w:val="20"/>
              </w:rPr>
            </w:pPr>
            <w:r>
              <w:rPr>
                <w:sz w:val="20"/>
              </w:rPr>
              <w:t>Crohn’s disease</w:t>
            </w:r>
          </w:p>
        </w:tc>
        <w:tc>
          <w:tcPr>
            <w:tcW w:w="3276" w:type="dxa"/>
          </w:tcPr>
          <w:p>
            <w:pPr>
              <w:pStyle w:val="TableParagraph"/>
              <w:spacing w:line="210" w:lineRule="exact"/>
              <w:ind w:left="997"/>
              <w:rPr>
                <w:sz w:val="20"/>
              </w:rPr>
            </w:pPr>
            <w:r>
              <w:rPr>
                <w:sz w:val="20"/>
              </w:rPr>
              <w:t>Atopic eczema</w:t>
            </w:r>
          </w:p>
        </w:tc>
      </w:tr>
      <w:tr>
        <w:trPr>
          <w:trHeight w:val="229" w:hRule="atLeast"/>
        </w:trPr>
        <w:tc>
          <w:tcPr>
            <w:tcW w:w="4377" w:type="dxa"/>
          </w:tcPr>
          <w:p>
            <w:pPr>
              <w:pStyle w:val="TableParagraph"/>
              <w:spacing w:line="210" w:lineRule="exact"/>
              <w:ind w:left="200"/>
              <w:rPr>
                <w:sz w:val="20"/>
              </w:rPr>
            </w:pPr>
            <w:r>
              <w:rPr>
                <w:sz w:val="20"/>
              </w:rPr>
              <w:t>Sarcoidosis</w:t>
            </w:r>
          </w:p>
        </w:tc>
        <w:tc>
          <w:tcPr>
            <w:tcW w:w="3276" w:type="dxa"/>
          </w:tcPr>
          <w:p>
            <w:pPr>
              <w:pStyle w:val="TableParagraph"/>
              <w:spacing w:line="210" w:lineRule="exact"/>
              <w:ind w:left="997"/>
              <w:rPr>
                <w:sz w:val="20"/>
              </w:rPr>
            </w:pPr>
            <w:r>
              <w:rPr>
                <w:sz w:val="20"/>
              </w:rPr>
              <w:t>Dermatomyositis</w:t>
            </w:r>
          </w:p>
        </w:tc>
      </w:tr>
      <w:tr>
        <w:trPr>
          <w:trHeight w:val="230" w:hRule="atLeast"/>
        </w:trPr>
        <w:tc>
          <w:tcPr>
            <w:tcW w:w="4377" w:type="dxa"/>
          </w:tcPr>
          <w:p>
            <w:pPr>
              <w:pStyle w:val="TableParagraph"/>
              <w:spacing w:line="210" w:lineRule="exact"/>
              <w:ind w:left="200"/>
              <w:rPr>
                <w:sz w:val="20"/>
              </w:rPr>
            </w:pPr>
            <w:r>
              <w:rPr>
                <w:sz w:val="20"/>
              </w:rPr>
              <w:t>Psoriatic arthritis</w:t>
            </w:r>
          </w:p>
        </w:tc>
        <w:tc>
          <w:tcPr>
            <w:tcW w:w="3276" w:type="dxa"/>
          </w:tcPr>
          <w:p>
            <w:pPr>
              <w:pStyle w:val="TableParagraph"/>
              <w:spacing w:line="210" w:lineRule="exact"/>
              <w:ind w:left="997"/>
              <w:rPr>
                <w:sz w:val="20"/>
              </w:rPr>
            </w:pPr>
            <w:r>
              <w:rPr>
                <w:sz w:val="20"/>
              </w:rPr>
              <w:t>Inflammatory myopathy</w:t>
            </w:r>
          </w:p>
        </w:tc>
      </w:tr>
      <w:tr>
        <w:trPr>
          <w:trHeight w:val="229" w:hRule="atLeast"/>
        </w:trPr>
        <w:tc>
          <w:tcPr>
            <w:tcW w:w="4377" w:type="dxa"/>
          </w:tcPr>
          <w:p>
            <w:pPr>
              <w:pStyle w:val="TableParagraph"/>
              <w:spacing w:line="210" w:lineRule="exact"/>
              <w:ind w:left="200"/>
              <w:rPr>
                <w:sz w:val="20"/>
              </w:rPr>
            </w:pPr>
            <w:r>
              <w:rPr>
                <w:sz w:val="20"/>
              </w:rPr>
              <w:t>Systemic lupus erythematous (SLE)</w:t>
            </w:r>
          </w:p>
        </w:tc>
        <w:tc>
          <w:tcPr>
            <w:tcW w:w="3276" w:type="dxa"/>
          </w:tcPr>
          <w:p>
            <w:pPr>
              <w:pStyle w:val="TableParagraph"/>
              <w:spacing w:line="210" w:lineRule="exact"/>
              <w:ind w:left="997"/>
              <w:rPr>
                <w:sz w:val="20"/>
              </w:rPr>
            </w:pPr>
            <w:r>
              <w:rPr>
                <w:sz w:val="20"/>
              </w:rPr>
              <w:t>Pemphigoid</w:t>
            </w:r>
          </w:p>
        </w:tc>
      </w:tr>
      <w:tr>
        <w:trPr>
          <w:trHeight w:val="226" w:hRule="atLeast"/>
        </w:trPr>
        <w:tc>
          <w:tcPr>
            <w:tcW w:w="4377" w:type="dxa"/>
          </w:tcPr>
          <w:p>
            <w:pPr>
              <w:pStyle w:val="TableParagraph"/>
              <w:spacing w:line="207" w:lineRule="exact"/>
              <w:ind w:left="200"/>
              <w:rPr>
                <w:sz w:val="20"/>
              </w:rPr>
            </w:pPr>
            <w:r>
              <w:rPr>
                <w:sz w:val="20"/>
              </w:rPr>
              <w:t>Scleroderma</w:t>
            </w:r>
          </w:p>
        </w:tc>
        <w:tc>
          <w:tcPr>
            <w:tcW w:w="3276" w:type="dxa"/>
          </w:tcPr>
          <w:p>
            <w:pPr>
              <w:pStyle w:val="TableParagraph"/>
              <w:ind w:left="0"/>
              <w:rPr>
                <w:rFonts w:ascii="Times New Roman"/>
                <w:sz w:val="16"/>
              </w:rPr>
            </w:pPr>
          </w:p>
        </w:tc>
      </w:tr>
    </w:tbl>
    <w:p>
      <w:pPr>
        <w:pStyle w:val="BodyText"/>
        <w:rPr>
          <w:b/>
          <w:sz w:val="22"/>
        </w:rPr>
      </w:pPr>
    </w:p>
    <w:p>
      <w:pPr>
        <w:pStyle w:val="BodyText"/>
        <w:ind w:left="678"/>
      </w:pPr>
      <w:r>
        <w:rPr/>
        <w:t>The General Medical Council (GMC) guidance on prescribing unlicensed medicines advises that:</w:t>
      </w:r>
    </w:p>
    <w:p>
      <w:pPr>
        <w:spacing w:after="0"/>
        <w:sectPr>
          <w:pgSz w:w="11910" w:h="16840"/>
          <w:pgMar w:header="0" w:footer="1240" w:top="1560" w:bottom="1440" w:left="160" w:right="40"/>
        </w:sectPr>
      </w:pPr>
    </w:p>
    <w:p>
      <w:pPr>
        <w:spacing w:before="71"/>
        <w:ind w:left="678" w:right="950" w:firstLine="0"/>
        <w:jc w:val="left"/>
        <w:rPr>
          <w:i/>
          <w:sz w:val="20"/>
        </w:rPr>
      </w:pPr>
      <w:r>
        <w:rPr>
          <w:i/>
          <w:sz w:val="20"/>
        </w:rPr>
        <w:t>‘When deciding on the best treatment for a patient you should weigh up all of the options, taking into account the </w:t>
      </w:r>
      <w:r>
        <w:rPr>
          <w:i/>
          <w:sz w:val="20"/>
        </w:rPr>
        <w:t>evidence available. You should be satisfied that there is sufficient evidence or experience of using the medicine to demonstrate its safety and efficacy.’</w:t>
      </w:r>
    </w:p>
    <w:p>
      <w:pPr>
        <w:pStyle w:val="BodyText"/>
        <w:spacing w:before="11"/>
        <w:rPr>
          <w:i/>
          <w:sz w:val="19"/>
        </w:rPr>
      </w:pPr>
    </w:p>
    <w:p>
      <w:pPr>
        <w:pStyle w:val="BodyText"/>
        <w:ind w:left="678" w:right="660"/>
        <w:jc w:val="both"/>
      </w:pPr>
      <w:r>
        <w:rPr/>
        <w:t>The off-label indications for methotrexate shared care were approved by the North Central London Joint Formulary Committee</w:t>
      </w:r>
      <w:r>
        <w:rPr>
          <w:spacing w:val="-13"/>
        </w:rPr>
        <w:t> </w:t>
      </w:r>
      <w:r>
        <w:rPr/>
        <w:t>(NCL</w:t>
      </w:r>
      <w:r>
        <w:rPr>
          <w:spacing w:val="-11"/>
        </w:rPr>
        <w:t> </w:t>
      </w:r>
      <w:r>
        <w:rPr/>
        <w:t>JFC)</w:t>
      </w:r>
      <w:r>
        <w:rPr>
          <w:spacing w:val="-11"/>
        </w:rPr>
        <w:t> </w:t>
      </w:r>
      <w:r>
        <w:rPr/>
        <w:t>in</w:t>
      </w:r>
      <w:r>
        <w:rPr>
          <w:spacing w:val="-12"/>
        </w:rPr>
        <w:t> </w:t>
      </w:r>
      <w:r>
        <w:rPr/>
        <w:t>August</w:t>
      </w:r>
      <w:r>
        <w:rPr>
          <w:spacing w:val="-12"/>
        </w:rPr>
        <w:t> </w:t>
      </w:r>
      <w:r>
        <w:rPr/>
        <w:t>2016</w:t>
      </w:r>
      <w:r>
        <w:rPr>
          <w:spacing w:val="-13"/>
        </w:rPr>
        <w:t> </w:t>
      </w:r>
      <w:r>
        <w:rPr/>
        <w:t>based</w:t>
      </w:r>
      <w:r>
        <w:rPr>
          <w:spacing w:val="-12"/>
        </w:rPr>
        <w:t> </w:t>
      </w:r>
      <w:r>
        <w:rPr/>
        <w:t>on</w:t>
      </w:r>
      <w:r>
        <w:rPr>
          <w:spacing w:val="-11"/>
        </w:rPr>
        <w:t> </w:t>
      </w:r>
      <w:r>
        <w:rPr/>
        <w:t>a</w:t>
      </w:r>
      <w:r>
        <w:rPr>
          <w:spacing w:val="-12"/>
        </w:rPr>
        <w:t> </w:t>
      </w:r>
      <w:r>
        <w:rPr/>
        <w:t>review</w:t>
      </w:r>
      <w:r>
        <w:rPr>
          <w:spacing w:val="-11"/>
        </w:rPr>
        <w:t> </w:t>
      </w:r>
      <w:r>
        <w:rPr/>
        <w:t>of</w:t>
      </w:r>
      <w:r>
        <w:rPr>
          <w:spacing w:val="-13"/>
        </w:rPr>
        <w:t> </w:t>
      </w:r>
      <w:r>
        <w:rPr/>
        <w:t>the</w:t>
      </w:r>
      <w:r>
        <w:rPr>
          <w:spacing w:val="-12"/>
        </w:rPr>
        <w:t> </w:t>
      </w:r>
      <w:r>
        <w:rPr/>
        <w:t>available</w:t>
      </w:r>
      <w:r>
        <w:rPr>
          <w:spacing w:val="-11"/>
        </w:rPr>
        <w:t> </w:t>
      </w:r>
      <w:r>
        <w:rPr/>
        <w:t>evidence</w:t>
      </w:r>
      <w:r>
        <w:rPr>
          <w:spacing w:val="-12"/>
        </w:rPr>
        <w:t> </w:t>
      </w:r>
      <w:r>
        <w:rPr/>
        <w:t>base.</w:t>
      </w:r>
      <w:r>
        <w:rPr>
          <w:spacing w:val="-12"/>
        </w:rPr>
        <w:t> </w:t>
      </w:r>
      <w:r>
        <w:rPr/>
        <w:t>The</w:t>
      </w:r>
      <w:r>
        <w:rPr>
          <w:spacing w:val="-12"/>
        </w:rPr>
        <w:t> </w:t>
      </w:r>
      <w:r>
        <w:rPr/>
        <w:t>tables</w:t>
      </w:r>
      <w:r>
        <w:rPr>
          <w:spacing w:val="-11"/>
        </w:rPr>
        <w:t> </w:t>
      </w:r>
      <w:r>
        <w:rPr/>
        <w:t>below</w:t>
      </w:r>
      <w:r>
        <w:rPr>
          <w:spacing w:val="-12"/>
        </w:rPr>
        <w:t> </w:t>
      </w:r>
      <w:r>
        <w:rPr/>
        <w:t>summarizes the grades and strengths of evidence supporting the use of methotrexate for the individual off-label</w:t>
      </w:r>
      <w:r>
        <w:rPr>
          <w:spacing w:val="-10"/>
        </w:rPr>
        <w:t> </w:t>
      </w:r>
      <w:r>
        <w:rPr/>
        <w:t>indications.</w:t>
      </w:r>
    </w:p>
    <w:p>
      <w:pPr>
        <w:pStyle w:val="BodyText"/>
      </w:pPr>
    </w:p>
    <w:p>
      <w:pPr>
        <w:pStyle w:val="BodyText"/>
      </w:pPr>
    </w:p>
    <w:p>
      <w:pPr>
        <w:pStyle w:val="BodyText"/>
        <w:rPr>
          <w:sz w:val="22"/>
        </w:rPr>
      </w:pPr>
    </w:p>
    <w:tbl>
      <w:tblPr>
        <w:tblW w:w="0" w:type="auto"/>
        <w:jc w:val="left"/>
        <w:tblInd w:w="1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0"/>
        <w:gridCol w:w="2956"/>
        <w:gridCol w:w="1248"/>
        <w:gridCol w:w="1559"/>
      </w:tblGrid>
      <w:tr>
        <w:trPr>
          <w:trHeight w:val="548" w:hRule="atLeast"/>
        </w:trPr>
        <w:tc>
          <w:tcPr>
            <w:tcW w:w="2600" w:type="dxa"/>
            <w:shd w:val="clear" w:color="auto" w:fill="4F81BB"/>
          </w:tcPr>
          <w:p>
            <w:pPr>
              <w:pStyle w:val="TableParagraph"/>
              <w:spacing w:before="60"/>
              <w:ind w:left="923"/>
              <w:rPr>
                <w:b/>
                <w:sz w:val="20"/>
              </w:rPr>
            </w:pPr>
            <w:r>
              <w:rPr>
                <w:b/>
                <w:color w:val="FFFFFF"/>
                <w:sz w:val="20"/>
              </w:rPr>
              <w:t>Specialty</w:t>
            </w:r>
          </w:p>
        </w:tc>
        <w:tc>
          <w:tcPr>
            <w:tcW w:w="2956" w:type="dxa"/>
            <w:shd w:val="clear" w:color="auto" w:fill="4F81BB"/>
          </w:tcPr>
          <w:p>
            <w:pPr>
              <w:pStyle w:val="TableParagraph"/>
              <w:spacing w:before="60"/>
              <w:ind w:left="1065"/>
              <w:rPr>
                <w:b/>
                <w:sz w:val="20"/>
              </w:rPr>
            </w:pPr>
            <w:r>
              <w:rPr>
                <w:b/>
                <w:color w:val="FFFFFF"/>
                <w:sz w:val="20"/>
              </w:rPr>
              <w:t>Indication</w:t>
            </w:r>
          </w:p>
        </w:tc>
        <w:tc>
          <w:tcPr>
            <w:tcW w:w="1248" w:type="dxa"/>
            <w:shd w:val="clear" w:color="auto" w:fill="4F81BB"/>
          </w:tcPr>
          <w:p>
            <w:pPr>
              <w:pStyle w:val="TableParagraph"/>
              <w:spacing w:line="240" w:lineRule="atLeast" w:before="53"/>
              <w:ind w:left="243" w:right="96" w:firstLine="30"/>
              <w:rPr>
                <w:b/>
                <w:sz w:val="20"/>
              </w:rPr>
            </w:pPr>
            <w:r>
              <w:rPr>
                <w:b/>
                <w:color w:val="FFFFFF"/>
                <w:sz w:val="20"/>
              </w:rPr>
              <w:t>Grade of Evidence</w:t>
            </w:r>
          </w:p>
        </w:tc>
        <w:tc>
          <w:tcPr>
            <w:tcW w:w="1559" w:type="dxa"/>
            <w:shd w:val="clear" w:color="auto" w:fill="4F81BB"/>
          </w:tcPr>
          <w:p>
            <w:pPr>
              <w:pStyle w:val="TableParagraph"/>
              <w:spacing w:line="240" w:lineRule="atLeast" w:before="53"/>
              <w:ind w:left="400" w:hanging="90"/>
              <w:rPr>
                <w:b/>
                <w:sz w:val="20"/>
              </w:rPr>
            </w:pPr>
            <w:r>
              <w:rPr>
                <w:b/>
                <w:color w:val="FFFFFF"/>
                <w:sz w:val="20"/>
              </w:rPr>
              <w:t>Strength of Evidence</w:t>
            </w:r>
          </w:p>
        </w:tc>
      </w:tr>
      <w:tr>
        <w:trPr>
          <w:trHeight w:val="279" w:hRule="atLeast"/>
        </w:trPr>
        <w:tc>
          <w:tcPr>
            <w:tcW w:w="2600" w:type="dxa"/>
          </w:tcPr>
          <w:p>
            <w:pPr>
              <w:pStyle w:val="TableParagraph"/>
              <w:spacing w:line="201" w:lineRule="exact" w:before="58"/>
              <w:ind w:left="110"/>
              <w:rPr>
                <w:sz w:val="20"/>
              </w:rPr>
            </w:pPr>
            <w:r>
              <w:rPr>
                <w:sz w:val="20"/>
              </w:rPr>
              <w:t>Rheumatology</w:t>
            </w:r>
          </w:p>
        </w:tc>
        <w:tc>
          <w:tcPr>
            <w:tcW w:w="2956" w:type="dxa"/>
          </w:tcPr>
          <w:p>
            <w:pPr>
              <w:pStyle w:val="TableParagraph"/>
              <w:spacing w:line="201" w:lineRule="exact" w:before="58"/>
              <w:ind w:left="107"/>
              <w:rPr>
                <w:sz w:val="20"/>
              </w:rPr>
            </w:pPr>
            <w:r>
              <w:rPr>
                <w:sz w:val="20"/>
              </w:rPr>
              <w:t>Juvenile Idiopathic Arthritis</w:t>
            </w:r>
          </w:p>
        </w:tc>
        <w:tc>
          <w:tcPr>
            <w:tcW w:w="1248" w:type="dxa"/>
          </w:tcPr>
          <w:p>
            <w:pPr>
              <w:pStyle w:val="TableParagraph"/>
              <w:spacing w:line="201" w:lineRule="exact" w:before="58"/>
              <w:ind w:left="283" w:right="255"/>
              <w:jc w:val="center"/>
              <w:rPr>
                <w:b/>
                <w:sz w:val="20"/>
              </w:rPr>
            </w:pPr>
            <w:r>
              <w:rPr>
                <w:b/>
                <w:sz w:val="20"/>
              </w:rPr>
              <w:t>1c</w:t>
            </w:r>
          </w:p>
        </w:tc>
        <w:tc>
          <w:tcPr>
            <w:tcW w:w="1559" w:type="dxa"/>
          </w:tcPr>
          <w:p>
            <w:pPr>
              <w:pStyle w:val="TableParagraph"/>
              <w:spacing w:line="201" w:lineRule="exact" w:before="58"/>
              <w:ind w:left="32"/>
              <w:jc w:val="center"/>
              <w:rPr>
                <w:b/>
                <w:sz w:val="20"/>
              </w:rPr>
            </w:pPr>
            <w:r>
              <w:rPr>
                <w:b/>
                <w:w w:val="98"/>
                <w:sz w:val="20"/>
              </w:rPr>
              <w:t>A</w:t>
            </w:r>
          </w:p>
        </w:tc>
      </w:tr>
      <w:tr>
        <w:trPr>
          <w:trHeight w:val="277" w:hRule="atLeast"/>
        </w:trPr>
        <w:tc>
          <w:tcPr>
            <w:tcW w:w="2600" w:type="dxa"/>
          </w:tcPr>
          <w:p>
            <w:pPr>
              <w:pStyle w:val="TableParagraph"/>
              <w:spacing w:line="212" w:lineRule="exact" w:before="46"/>
              <w:ind w:left="110"/>
              <w:rPr>
                <w:sz w:val="20"/>
              </w:rPr>
            </w:pPr>
            <w:r>
              <w:rPr>
                <w:sz w:val="20"/>
              </w:rPr>
              <w:t>Gastroenterology</w:t>
            </w:r>
          </w:p>
        </w:tc>
        <w:tc>
          <w:tcPr>
            <w:tcW w:w="2956" w:type="dxa"/>
          </w:tcPr>
          <w:p>
            <w:pPr>
              <w:pStyle w:val="TableParagraph"/>
              <w:spacing w:line="212" w:lineRule="exact" w:before="46"/>
              <w:ind w:left="107"/>
              <w:rPr>
                <w:sz w:val="20"/>
              </w:rPr>
            </w:pPr>
            <w:r>
              <w:rPr>
                <w:sz w:val="20"/>
              </w:rPr>
              <w:t>Crohn’s Disease</w:t>
            </w:r>
          </w:p>
        </w:tc>
        <w:tc>
          <w:tcPr>
            <w:tcW w:w="1248" w:type="dxa"/>
          </w:tcPr>
          <w:p>
            <w:pPr>
              <w:pStyle w:val="TableParagraph"/>
              <w:spacing w:line="212" w:lineRule="exact" w:before="46"/>
              <w:ind w:left="283" w:right="258"/>
              <w:jc w:val="center"/>
              <w:rPr>
                <w:b/>
                <w:sz w:val="20"/>
              </w:rPr>
            </w:pPr>
            <w:r>
              <w:rPr>
                <w:b/>
                <w:sz w:val="20"/>
              </w:rPr>
              <w:t>2a</w:t>
            </w:r>
          </w:p>
        </w:tc>
        <w:tc>
          <w:tcPr>
            <w:tcW w:w="1559" w:type="dxa"/>
          </w:tcPr>
          <w:p>
            <w:pPr>
              <w:pStyle w:val="TableParagraph"/>
              <w:spacing w:line="212" w:lineRule="exact" w:before="46"/>
              <w:ind w:left="32"/>
              <w:jc w:val="center"/>
              <w:rPr>
                <w:b/>
                <w:sz w:val="20"/>
              </w:rPr>
            </w:pPr>
            <w:r>
              <w:rPr>
                <w:b/>
                <w:w w:val="98"/>
                <w:sz w:val="20"/>
              </w:rPr>
              <w:t>B</w:t>
            </w:r>
          </w:p>
        </w:tc>
      </w:tr>
      <w:tr>
        <w:trPr>
          <w:trHeight w:val="280" w:hRule="atLeast"/>
        </w:trPr>
        <w:tc>
          <w:tcPr>
            <w:tcW w:w="2600" w:type="dxa"/>
          </w:tcPr>
          <w:p>
            <w:pPr>
              <w:pStyle w:val="TableParagraph"/>
              <w:spacing w:line="201" w:lineRule="exact" w:before="59"/>
              <w:ind w:left="110"/>
              <w:rPr>
                <w:sz w:val="20"/>
              </w:rPr>
            </w:pPr>
            <w:r>
              <w:rPr>
                <w:sz w:val="20"/>
              </w:rPr>
              <w:t>Dermatology &amp;</w:t>
            </w:r>
          </w:p>
        </w:tc>
        <w:tc>
          <w:tcPr>
            <w:tcW w:w="2956" w:type="dxa"/>
          </w:tcPr>
          <w:p>
            <w:pPr>
              <w:pStyle w:val="TableParagraph"/>
              <w:spacing w:line="201" w:lineRule="exact" w:before="59"/>
              <w:ind w:left="107"/>
              <w:rPr>
                <w:sz w:val="20"/>
              </w:rPr>
            </w:pPr>
            <w:r>
              <w:rPr>
                <w:sz w:val="20"/>
              </w:rPr>
              <w:t>Sarcoidosis</w:t>
            </w:r>
          </w:p>
        </w:tc>
        <w:tc>
          <w:tcPr>
            <w:tcW w:w="1248" w:type="dxa"/>
          </w:tcPr>
          <w:p>
            <w:pPr>
              <w:pStyle w:val="TableParagraph"/>
              <w:spacing w:line="201" w:lineRule="exact" w:before="59"/>
              <w:ind w:left="283" w:right="254"/>
              <w:jc w:val="center"/>
              <w:rPr>
                <w:b/>
                <w:sz w:val="20"/>
              </w:rPr>
            </w:pPr>
            <w:r>
              <w:rPr>
                <w:b/>
                <w:sz w:val="20"/>
              </w:rPr>
              <w:t>2b</w:t>
            </w:r>
          </w:p>
        </w:tc>
        <w:tc>
          <w:tcPr>
            <w:tcW w:w="1559" w:type="dxa"/>
          </w:tcPr>
          <w:p>
            <w:pPr>
              <w:pStyle w:val="TableParagraph"/>
              <w:spacing w:line="201" w:lineRule="exact" w:before="59"/>
              <w:ind w:left="32"/>
              <w:jc w:val="center"/>
              <w:rPr>
                <w:b/>
                <w:sz w:val="20"/>
              </w:rPr>
            </w:pPr>
            <w:r>
              <w:rPr>
                <w:b/>
                <w:w w:val="98"/>
                <w:sz w:val="20"/>
              </w:rPr>
              <w:t>B</w:t>
            </w:r>
          </w:p>
        </w:tc>
      </w:tr>
      <w:tr>
        <w:trPr>
          <w:trHeight w:val="280" w:hRule="atLeast"/>
        </w:trPr>
        <w:tc>
          <w:tcPr>
            <w:tcW w:w="2600" w:type="dxa"/>
          </w:tcPr>
          <w:p>
            <w:pPr>
              <w:pStyle w:val="TableParagraph"/>
              <w:spacing w:line="202" w:lineRule="exact" w:before="58"/>
              <w:ind w:left="110"/>
              <w:rPr>
                <w:sz w:val="20"/>
              </w:rPr>
            </w:pPr>
            <w:r>
              <w:rPr>
                <w:sz w:val="20"/>
              </w:rPr>
              <w:t>Rheumatology</w:t>
            </w:r>
          </w:p>
        </w:tc>
        <w:tc>
          <w:tcPr>
            <w:tcW w:w="2956" w:type="dxa"/>
          </w:tcPr>
          <w:p>
            <w:pPr>
              <w:pStyle w:val="TableParagraph"/>
              <w:spacing w:line="202" w:lineRule="exact" w:before="58"/>
              <w:ind w:left="107"/>
              <w:rPr>
                <w:sz w:val="20"/>
              </w:rPr>
            </w:pPr>
            <w:r>
              <w:rPr>
                <w:sz w:val="20"/>
              </w:rPr>
              <w:t>Psoriatic arthritis</w:t>
            </w:r>
          </w:p>
        </w:tc>
        <w:tc>
          <w:tcPr>
            <w:tcW w:w="1248" w:type="dxa"/>
          </w:tcPr>
          <w:p>
            <w:pPr>
              <w:pStyle w:val="TableParagraph"/>
              <w:spacing w:line="202" w:lineRule="exact" w:before="58"/>
              <w:ind w:left="283" w:right="358"/>
              <w:jc w:val="center"/>
              <w:rPr>
                <w:b/>
                <w:sz w:val="20"/>
              </w:rPr>
            </w:pPr>
            <w:r>
              <w:rPr>
                <w:b/>
                <w:sz w:val="20"/>
              </w:rPr>
              <w:t>2b/5**</w:t>
            </w:r>
          </w:p>
        </w:tc>
        <w:tc>
          <w:tcPr>
            <w:tcW w:w="1559" w:type="dxa"/>
          </w:tcPr>
          <w:p>
            <w:pPr>
              <w:pStyle w:val="TableParagraph"/>
              <w:spacing w:line="202" w:lineRule="exact" w:before="58"/>
              <w:ind w:left="458" w:right="550"/>
              <w:jc w:val="center"/>
              <w:rPr>
                <w:b/>
                <w:sz w:val="20"/>
              </w:rPr>
            </w:pPr>
            <w:r>
              <w:rPr>
                <w:b/>
                <w:sz w:val="20"/>
              </w:rPr>
              <w:t>B/D**</w:t>
            </w:r>
          </w:p>
        </w:tc>
      </w:tr>
      <w:tr>
        <w:trPr>
          <w:trHeight w:val="278" w:hRule="atLeast"/>
        </w:trPr>
        <w:tc>
          <w:tcPr>
            <w:tcW w:w="2600" w:type="dxa"/>
          </w:tcPr>
          <w:p>
            <w:pPr>
              <w:pStyle w:val="TableParagraph"/>
              <w:spacing w:line="213" w:lineRule="exact" w:before="45"/>
              <w:ind w:left="110"/>
              <w:rPr>
                <w:sz w:val="20"/>
              </w:rPr>
            </w:pPr>
            <w:r>
              <w:rPr>
                <w:sz w:val="20"/>
              </w:rPr>
              <w:t>Rheumatology</w:t>
            </w:r>
          </w:p>
        </w:tc>
        <w:tc>
          <w:tcPr>
            <w:tcW w:w="2956" w:type="dxa"/>
          </w:tcPr>
          <w:p>
            <w:pPr>
              <w:pStyle w:val="TableParagraph"/>
              <w:spacing w:line="213" w:lineRule="exact" w:before="45"/>
              <w:ind w:left="107"/>
              <w:rPr>
                <w:sz w:val="20"/>
              </w:rPr>
            </w:pPr>
            <w:r>
              <w:rPr>
                <w:sz w:val="20"/>
              </w:rPr>
              <w:t>Systemic Lupus Erythematous</w:t>
            </w:r>
          </w:p>
        </w:tc>
        <w:tc>
          <w:tcPr>
            <w:tcW w:w="1248" w:type="dxa"/>
          </w:tcPr>
          <w:p>
            <w:pPr>
              <w:pStyle w:val="TableParagraph"/>
              <w:spacing w:line="213" w:lineRule="exact" w:before="45"/>
              <w:ind w:left="283" w:right="254"/>
              <w:jc w:val="center"/>
              <w:rPr>
                <w:b/>
                <w:sz w:val="20"/>
              </w:rPr>
            </w:pPr>
            <w:r>
              <w:rPr>
                <w:b/>
                <w:sz w:val="20"/>
              </w:rPr>
              <w:t>2b</w:t>
            </w:r>
          </w:p>
        </w:tc>
        <w:tc>
          <w:tcPr>
            <w:tcW w:w="1559" w:type="dxa"/>
          </w:tcPr>
          <w:p>
            <w:pPr>
              <w:pStyle w:val="TableParagraph"/>
              <w:spacing w:line="213" w:lineRule="exact" w:before="45"/>
              <w:ind w:left="32"/>
              <w:jc w:val="center"/>
              <w:rPr>
                <w:b/>
                <w:sz w:val="20"/>
              </w:rPr>
            </w:pPr>
            <w:r>
              <w:rPr>
                <w:b/>
                <w:w w:val="98"/>
                <w:sz w:val="20"/>
              </w:rPr>
              <w:t>B</w:t>
            </w:r>
          </w:p>
        </w:tc>
      </w:tr>
      <w:tr>
        <w:trPr>
          <w:trHeight w:val="279" w:hRule="atLeast"/>
        </w:trPr>
        <w:tc>
          <w:tcPr>
            <w:tcW w:w="2600" w:type="dxa"/>
          </w:tcPr>
          <w:p>
            <w:pPr>
              <w:pStyle w:val="TableParagraph"/>
              <w:spacing w:line="212" w:lineRule="exact" w:before="47"/>
              <w:ind w:left="110"/>
              <w:rPr>
                <w:sz w:val="20"/>
              </w:rPr>
            </w:pPr>
            <w:r>
              <w:rPr>
                <w:sz w:val="20"/>
              </w:rPr>
              <w:t>Rheumatology</w:t>
            </w:r>
          </w:p>
        </w:tc>
        <w:tc>
          <w:tcPr>
            <w:tcW w:w="2956" w:type="dxa"/>
          </w:tcPr>
          <w:p>
            <w:pPr>
              <w:pStyle w:val="TableParagraph"/>
              <w:spacing w:line="212" w:lineRule="exact" w:before="47"/>
              <w:ind w:left="107"/>
              <w:rPr>
                <w:sz w:val="20"/>
              </w:rPr>
            </w:pPr>
            <w:r>
              <w:rPr>
                <w:sz w:val="20"/>
              </w:rPr>
              <w:t>Sclerodema</w:t>
            </w:r>
          </w:p>
        </w:tc>
        <w:tc>
          <w:tcPr>
            <w:tcW w:w="1248" w:type="dxa"/>
          </w:tcPr>
          <w:p>
            <w:pPr>
              <w:pStyle w:val="TableParagraph"/>
              <w:spacing w:line="212" w:lineRule="exact" w:before="47"/>
              <w:ind w:left="283" w:right="254"/>
              <w:jc w:val="center"/>
              <w:rPr>
                <w:b/>
                <w:sz w:val="20"/>
              </w:rPr>
            </w:pPr>
            <w:r>
              <w:rPr>
                <w:b/>
                <w:sz w:val="20"/>
              </w:rPr>
              <w:t>2b</w:t>
            </w:r>
          </w:p>
        </w:tc>
        <w:tc>
          <w:tcPr>
            <w:tcW w:w="1559" w:type="dxa"/>
          </w:tcPr>
          <w:p>
            <w:pPr>
              <w:pStyle w:val="TableParagraph"/>
              <w:spacing w:line="212" w:lineRule="exact" w:before="47"/>
              <w:ind w:left="32"/>
              <w:jc w:val="center"/>
              <w:rPr>
                <w:b/>
                <w:sz w:val="20"/>
              </w:rPr>
            </w:pPr>
            <w:r>
              <w:rPr>
                <w:b/>
                <w:w w:val="98"/>
                <w:sz w:val="20"/>
              </w:rPr>
              <w:t>B</w:t>
            </w:r>
          </w:p>
        </w:tc>
      </w:tr>
      <w:tr>
        <w:trPr>
          <w:trHeight w:val="281" w:hRule="atLeast"/>
        </w:trPr>
        <w:tc>
          <w:tcPr>
            <w:tcW w:w="2600" w:type="dxa"/>
          </w:tcPr>
          <w:p>
            <w:pPr>
              <w:pStyle w:val="TableParagraph"/>
              <w:spacing w:line="202" w:lineRule="exact" w:before="59"/>
              <w:ind w:left="110"/>
              <w:rPr>
                <w:sz w:val="20"/>
              </w:rPr>
            </w:pPr>
            <w:r>
              <w:rPr>
                <w:sz w:val="20"/>
              </w:rPr>
              <w:t>Rheumatology</w:t>
            </w:r>
          </w:p>
        </w:tc>
        <w:tc>
          <w:tcPr>
            <w:tcW w:w="2956" w:type="dxa"/>
          </w:tcPr>
          <w:p>
            <w:pPr>
              <w:pStyle w:val="TableParagraph"/>
              <w:spacing w:line="202" w:lineRule="exact" w:before="59"/>
              <w:ind w:left="107"/>
              <w:rPr>
                <w:sz w:val="20"/>
              </w:rPr>
            </w:pPr>
            <w:r>
              <w:rPr>
                <w:sz w:val="20"/>
              </w:rPr>
              <w:t>Vasculitis</w:t>
            </w:r>
          </w:p>
        </w:tc>
        <w:tc>
          <w:tcPr>
            <w:tcW w:w="1248" w:type="dxa"/>
          </w:tcPr>
          <w:p>
            <w:pPr>
              <w:pStyle w:val="TableParagraph"/>
              <w:spacing w:line="202" w:lineRule="exact" w:before="59"/>
              <w:ind w:left="283" w:right="254"/>
              <w:jc w:val="center"/>
              <w:rPr>
                <w:b/>
                <w:sz w:val="20"/>
              </w:rPr>
            </w:pPr>
            <w:r>
              <w:rPr>
                <w:b/>
                <w:sz w:val="20"/>
              </w:rPr>
              <w:t>2b</w:t>
            </w:r>
          </w:p>
        </w:tc>
        <w:tc>
          <w:tcPr>
            <w:tcW w:w="1559" w:type="dxa"/>
          </w:tcPr>
          <w:p>
            <w:pPr>
              <w:pStyle w:val="TableParagraph"/>
              <w:spacing w:line="202" w:lineRule="exact" w:before="59"/>
              <w:ind w:left="32"/>
              <w:jc w:val="center"/>
              <w:rPr>
                <w:b/>
                <w:sz w:val="20"/>
              </w:rPr>
            </w:pPr>
            <w:r>
              <w:rPr>
                <w:b/>
                <w:w w:val="98"/>
                <w:sz w:val="20"/>
              </w:rPr>
              <w:t>B</w:t>
            </w:r>
          </w:p>
        </w:tc>
      </w:tr>
      <w:tr>
        <w:trPr>
          <w:trHeight w:val="279" w:hRule="atLeast"/>
        </w:trPr>
        <w:tc>
          <w:tcPr>
            <w:tcW w:w="2600" w:type="dxa"/>
          </w:tcPr>
          <w:p>
            <w:pPr>
              <w:pStyle w:val="TableParagraph"/>
              <w:spacing w:line="201" w:lineRule="exact" w:before="58"/>
              <w:ind w:left="110"/>
              <w:rPr>
                <w:sz w:val="20"/>
              </w:rPr>
            </w:pPr>
            <w:r>
              <w:rPr>
                <w:sz w:val="20"/>
              </w:rPr>
              <w:t>Dermatology</w:t>
            </w:r>
          </w:p>
        </w:tc>
        <w:tc>
          <w:tcPr>
            <w:tcW w:w="2956" w:type="dxa"/>
          </w:tcPr>
          <w:p>
            <w:pPr>
              <w:pStyle w:val="TableParagraph"/>
              <w:spacing w:line="201" w:lineRule="exact" w:before="58"/>
              <w:ind w:left="107"/>
              <w:rPr>
                <w:sz w:val="20"/>
              </w:rPr>
            </w:pPr>
            <w:r>
              <w:rPr>
                <w:sz w:val="20"/>
              </w:rPr>
              <w:t>Atopic eczema</w:t>
            </w:r>
          </w:p>
        </w:tc>
        <w:tc>
          <w:tcPr>
            <w:tcW w:w="1248" w:type="dxa"/>
          </w:tcPr>
          <w:p>
            <w:pPr>
              <w:pStyle w:val="TableParagraph"/>
              <w:spacing w:line="201" w:lineRule="exact" w:before="58"/>
              <w:ind w:left="283" w:right="254"/>
              <w:jc w:val="center"/>
              <w:rPr>
                <w:b/>
                <w:sz w:val="20"/>
              </w:rPr>
            </w:pPr>
            <w:r>
              <w:rPr>
                <w:b/>
                <w:sz w:val="20"/>
              </w:rPr>
              <w:t>2b</w:t>
            </w:r>
          </w:p>
        </w:tc>
        <w:tc>
          <w:tcPr>
            <w:tcW w:w="1559" w:type="dxa"/>
          </w:tcPr>
          <w:p>
            <w:pPr>
              <w:pStyle w:val="TableParagraph"/>
              <w:spacing w:line="201" w:lineRule="exact" w:before="58"/>
              <w:ind w:left="32"/>
              <w:jc w:val="center"/>
              <w:rPr>
                <w:b/>
                <w:sz w:val="20"/>
              </w:rPr>
            </w:pPr>
            <w:r>
              <w:rPr>
                <w:b/>
                <w:w w:val="98"/>
                <w:sz w:val="20"/>
              </w:rPr>
              <w:t>B</w:t>
            </w:r>
          </w:p>
        </w:tc>
      </w:tr>
      <w:tr>
        <w:trPr>
          <w:trHeight w:val="277" w:hRule="atLeast"/>
        </w:trPr>
        <w:tc>
          <w:tcPr>
            <w:tcW w:w="2600" w:type="dxa"/>
          </w:tcPr>
          <w:p>
            <w:pPr>
              <w:pStyle w:val="TableParagraph"/>
              <w:spacing w:line="212" w:lineRule="exact" w:before="46"/>
              <w:ind w:left="110"/>
              <w:rPr>
                <w:sz w:val="20"/>
              </w:rPr>
            </w:pPr>
            <w:r>
              <w:rPr>
                <w:sz w:val="20"/>
              </w:rPr>
              <w:t>Dermatology</w:t>
            </w:r>
          </w:p>
        </w:tc>
        <w:tc>
          <w:tcPr>
            <w:tcW w:w="2956" w:type="dxa"/>
          </w:tcPr>
          <w:p>
            <w:pPr>
              <w:pStyle w:val="TableParagraph"/>
              <w:spacing w:line="212" w:lineRule="exact" w:before="46"/>
              <w:ind w:left="107"/>
              <w:rPr>
                <w:sz w:val="20"/>
              </w:rPr>
            </w:pPr>
            <w:r>
              <w:rPr>
                <w:sz w:val="20"/>
              </w:rPr>
              <w:t>Dermatomyositis</w:t>
            </w:r>
          </w:p>
        </w:tc>
        <w:tc>
          <w:tcPr>
            <w:tcW w:w="1248" w:type="dxa"/>
          </w:tcPr>
          <w:p>
            <w:pPr>
              <w:pStyle w:val="TableParagraph"/>
              <w:spacing w:line="212" w:lineRule="exact" w:before="46"/>
              <w:ind w:left="283" w:right="254"/>
              <w:jc w:val="center"/>
              <w:rPr>
                <w:b/>
                <w:sz w:val="20"/>
              </w:rPr>
            </w:pPr>
            <w:r>
              <w:rPr>
                <w:b/>
                <w:sz w:val="20"/>
              </w:rPr>
              <w:t>2b</w:t>
            </w:r>
          </w:p>
        </w:tc>
        <w:tc>
          <w:tcPr>
            <w:tcW w:w="1559" w:type="dxa"/>
          </w:tcPr>
          <w:p>
            <w:pPr>
              <w:pStyle w:val="TableParagraph"/>
              <w:spacing w:line="212" w:lineRule="exact" w:before="46"/>
              <w:ind w:left="32"/>
              <w:jc w:val="center"/>
              <w:rPr>
                <w:b/>
                <w:sz w:val="20"/>
              </w:rPr>
            </w:pPr>
            <w:r>
              <w:rPr>
                <w:b/>
                <w:w w:val="98"/>
                <w:sz w:val="20"/>
              </w:rPr>
              <w:t>B</w:t>
            </w:r>
          </w:p>
        </w:tc>
      </w:tr>
      <w:tr>
        <w:trPr>
          <w:trHeight w:val="280" w:hRule="atLeast"/>
        </w:trPr>
        <w:tc>
          <w:tcPr>
            <w:tcW w:w="2600" w:type="dxa"/>
          </w:tcPr>
          <w:p>
            <w:pPr>
              <w:pStyle w:val="TableParagraph"/>
              <w:spacing w:line="201" w:lineRule="exact" w:before="59"/>
              <w:ind w:left="110"/>
              <w:rPr>
                <w:sz w:val="20"/>
              </w:rPr>
            </w:pPr>
            <w:r>
              <w:rPr>
                <w:sz w:val="20"/>
              </w:rPr>
              <w:t>Rheumatology</w:t>
            </w:r>
          </w:p>
        </w:tc>
        <w:tc>
          <w:tcPr>
            <w:tcW w:w="2956" w:type="dxa"/>
          </w:tcPr>
          <w:p>
            <w:pPr>
              <w:pStyle w:val="TableParagraph"/>
              <w:spacing w:line="201" w:lineRule="exact" w:before="59"/>
              <w:ind w:left="107"/>
              <w:rPr>
                <w:sz w:val="20"/>
              </w:rPr>
            </w:pPr>
            <w:r>
              <w:rPr>
                <w:sz w:val="20"/>
              </w:rPr>
              <w:t>Inflammatory myopathy</w:t>
            </w:r>
          </w:p>
        </w:tc>
        <w:tc>
          <w:tcPr>
            <w:tcW w:w="1248" w:type="dxa"/>
          </w:tcPr>
          <w:p>
            <w:pPr>
              <w:pStyle w:val="TableParagraph"/>
              <w:spacing w:line="201" w:lineRule="exact" w:before="59"/>
              <w:ind w:left="283" w:right="254"/>
              <w:jc w:val="center"/>
              <w:rPr>
                <w:b/>
                <w:sz w:val="20"/>
              </w:rPr>
            </w:pPr>
            <w:r>
              <w:rPr>
                <w:b/>
                <w:sz w:val="20"/>
              </w:rPr>
              <w:t>2b</w:t>
            </w:r>
          </w:p>
        </w:tc>
        <w:tc>
          <w:tcPr>
            <w:tcW w:w="1559" w:type="dxa"/>
          </w:tcPr>
          <w:p>
            <w:pPr>
              <w:pStyle w:val="TableParagraph"/>
              <w:spacing w:line="201" w:lineRule="exact" w:before="59"/>
              <w:ind w:left="32"/>
              <w:jc w:val="center"/>
              <w:rPr>
                <w:b/>
                <w:sz w:val="20"/>
              </w:rPr>
            </w:pPr>
            <w:r>
              <w:rPr>
                <w:b/>
                <w:w w:val="98"/>
                <w:sz w:val="20"/>
              </w:rPr>
              <w:t>B</w:t>
            </w:r>
          </w:p>
        </w:tc>
      </w:tr>
      <w:tr>
        <w:trPr>
          <w:trHeight w:val="280" w:hRule="atLeast"/>
        </w:trPr>
        <w:tc>
          <w:tcPr>
            <w:tcW w:w="2600" w:type="dxa"/>
          </w:tcPr>
          <w:p>
            <w:pPr>
              <w:pStyle w:val="TableParagraph"/>
              <w:spacing w:line="202" w:lineRule="exact" w:before="58"/>
              <w:ind w:left="110"/>
              <w:rPr>
                <w:sz w:val="20"/>
              </w:rPr>
            </w:pPr>
            <w:r>
              <w:rPr>
                <w:sz w:val="20"/>
              </w:rPr>
              <w:t>Dermatology</w:t>
            </w:r>
          </w:p>
        </w:tc>
        <w:tc>
          <w:tcPr>
            <w:tcW w:w="2956" w:type="dxa"/>
          </w:tcPr>
          <w:p>
            <w:pPr>
              <w:pStyle w:val="TableParagraph"/>
              <w:spacing w:line="202" w:lineRule="exact" w:before="58"/>
              <w:ind w:left="107"/>
              <w:rPr>
                <w:sz w:val="20"/>
              </w:rPr>
            </w:pPr>
            <w:r>
              <w:rPr>
                <w:sz w:val="20"/>
              </w:rPr>
              <w:t>Pemphigoid, pemphigus</w:t>
            </w:r>
          </w:p>
        </w:tc>
        <w:tc>
          <w:tcPr>
            <w:tcW w:w="1248" w:type="dxa"/>
          </w:tcPr>
          <w:p>
            <w:pPr>
              <w:pStyle w:val="TableParagraph"/>
              <w:spacing w:line="202" w:lineRule="exact" w:before="58"/>
              <w:ind w:left="27"/>
              <w:jc w:val="center"/>
              <w:rPr>
                <w:b/>
                <w:sz w:val="20"/>
              </w:rPr>
            </w:pPr>
            <w:r>
              <w:rPr>
                <w:b/>
                <w:w w:val="98"/>
                <w:sz w:val="20"/>
              </w:rPr>
              <w:t>4</w:t>
            </w:r>
          </w:p>
        </w:tc>
        <w:tc>
          <w:tcPr>
            <w:tcW w:w="1559" w:type="dxa"/>
          </w:tcPr>
          <w:p>
            <w:pPr>
              <w:pStyle w:val="TableParagraph"/>
              <w:spacing w:line="202" w:lineRule="exact" w:before="58"/>
              <w:ind w:left="32"/>
              <w:jc w:val="center"/>
              <w:rPr>
                <w:b/>
                <w:sz w:val="20"/>
              </w:rPr>
            </w:pPr>
            <w:r>
              <w:rPr>
                <w:b/>
                <w:w w:val="100"/>
                <w:sz w:val="20"/>
              </w:rPr>
              <w:t>C</w:t>
            </w:r>
          </w:p>
        </w:tc>
      </w:tr>
    </w:tbl>
    <w:p>
      <w:pPr>
        <w:pStyle w:val="BodyText"/>
        <w:spacing w:before="10"/>
        <w:rPr>
          <w:sz w:val="16"/>
        </w:rPr>
      </w:pPr>
    </w:p>
    <w:p>
      <w:pPr>
        <w:spacing w:before="94"/>
        <w:ind w:left="1511" w:right="751" w:firstLine="0"/>
        <w:jc w:val="left"/>
        <w:rPr>
          <w:b/>
          <w:i/>
          <w:sz w:val="18"/>
        </w:rPr>
      </w:pPr>
      <w:r>
        <w:rPr>
          <w:b/>
          <w:i/>
          <w:sz w:val="18"/>
        </w:rPr>
        <w:t>Based on review of abstract. Grade and Strength of evidence has been assessed by two individuals </w:t>
      </w:r>
      <w:r>
        <w:rPr>
          <w:b/>
          <w:i/>
          <w:sz w:val="18"/>
        </w:rPr>
        <w:t>independently.</w:t>
      </w:r>
    </w:p>
    <w:p>
      <w:pPr>
        <w:spacing w:line="194" w:lineRule="auto" w:before="64"/>
        <w:ind w:left="1511" w:right="751" w:firstLine="0"/>
        <w:jc w:val="left"/>
        <w:rPr>
          <w:b/>
          <w:i/>
          <w:sz w:val="18"/>
        </w:rPr>
      </w:pPr>
      <w:r>
        <w:rPr>
          <w:b/>
          <w:i/>
          <w:sz w:val="18"/>
        </w:rPr>
        <w:t>**Kingsley et al. (2012) showing no significant benefit in tender and swollen joints (2b); expert opinion and </w:t>
      </w:r>
      <w:r>
        <w:rPr>
          <w:b/>
          <w:i/>
          <w:sz w:val="18"/>
        </w:rPr>
        <w:t>national guidelines supports its use (5).</w:t>
      </w:r>
    </w:p>
    <w:p>
      <w:pPr>
        <w:pStyle w:val="BodyText"/>
        <w:rPr>
          <w:b/>
          <w:i/>
        </w:rPr>
      </w:pPr>
    </w:p>
    <w:p>
      <w:pPr>
        <w:pStyle w:val="BodyText"/>
        <w:rPr>
          <w:b/>
          <w:i/>
        </w:rPr>
      </w:pPr>
    </w:p>
    <w:p>
      <w:pPr>
        <w:pStyle w:val="BodyText"/>
        <w:rPr>
          <w:b/>
          <w:i/>
          <w:sz w:val="21"/>
        </w:rPr>
      </w:pPr>
    </w:p>
    <w:tbl>
      <w:tblPr>
        <w:tblW w:w="0" w:type="auto"/>
        <w:jc w:val="left"/>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2"/>
        <w:gridCol w:w="5632"/>
        <w:gridCol w:w="1631"/>
      </w:tblGrid>
      <w:tr>
        <w:trPr>
          <w:trHeight w:val="547" w:hRule="atLeast"/>
        </w:trPr>
        <w:tc>
          <w:tcPr>
            <w:tcW w:w="1122" w:type="dxa"/>
            <w:shd w:val="clear" w:color="auto" w:fill="4F81BB"/>
          </w:tcPr>
          <w:p>
            <w:pPr>
              <w:pStyle w:val="TableParagraph"/>
              <w:spacing w:before="59"/>
              <w:ind w:left="369"/>
              <w:rPr>
                <w:b/>
                <w:sz w:val="20"/>
              </w:rPr>
            </w:pPr>
            <w:r>
              <w:rPr>
                <w:b/>
                <w:color w:val="FFFFFF"/>
                <w:sz w:val="20"/>
              </w:rPr>
              <w:t>Level</w:t>
            </w:r>
          </w:p>
        </w:tc>
        <w:tc>
          <w:tcPr>
            <w:tcW w:w="5632" w:type="dxa"/>
            <w:shd w:val="clear" w:color="auto" w:fill="4F81BB"/>
          </w:tcPr>
          <w:p>
            <w:pPr>
              <w:pStyle w:val="TableParagraph"/>
              <w:spacing w:before="59"/>
              <w:ind w:left="2047" w:right="1912"/>
              <w:jc w:val="center"/>
              <w:rPr>
                <w:b/>
                <w:sz w:val="20"/>
              </w:rPr>
            </w:pPr>
            <w:r>
              <w:rPr>
                <w:b/>
                <w:color w:val="FFFFFF"/>
                <w:sz w:val="20"/>
              </w:rPr>
              <w:t>Type of evidence</w:t>
            </w:r>
          </w:p>
        </w:tc>
        <w:tc>
          <w:tcPr>
            <w:tcW w:w="1631" w:type="dxa"/>
            <w:shd w:val="clear" w:color="auto" w:fill="4F81BB"/>
          </w:tcPr>
          <w:p>
            <w:pPr>
              <w:pStyle w:val="TableParagraph"/>
              <w:spacing w:before="59"/>
              <w:ind w:left="185" w:right="559" w:firstLine="24"/>
              <w:rPr>
                <w:b/>
                <w:sz w:val="20"/>
              </w:rPr>
            </w:pPr>
            <w:r>
              <w:rPr>
                <w:b/>
                <w:color w:val="FFFFFF"/>
                <w:sz w:val="20"/>
              </w:rPr>
              <w:t>Grade of evidence</w:t>
            </w:r>
          </w:p>
        </w:tc>
      </w:tr>
      <w:tr>
        <w:trPr>
          <w:trHeight w:val="279" w:hRule="atLeast"/>
        </w:trPr>
        <w:tc>
          <w:tcPr>
            <w:tcW w:w="1122" w:type="dxa"/>
          </w:tcPr>
          <w:p>
            <w:pPr>
              <w:pStyle w:val="TableParagraph"/>
              <w:spacing w:line="201" w:lineRule="exact" w:before="58"/>
              <w:ind w:left="111"/>
              <w:rPr>
                <w:sz w:val="20"/>
              </w:rPr>
            </w:pPr>
            <w:r>
              <w:rPr>
                <w:sz w:val="20"/>
              </w:rPr>
              <w:t>1a</w:t>
            </w:r>
          </w:p>
        </w:tc>
        <w:tc>
          <w:tcPr>
            <w:tcW w:w="5632" w:type="dxa"/>
          </w:tcPr>
          <w:p>
            <w:pPr>
              <w:pStyle w:val="TableParagraph"/>
              <w:spacing w:line="201" w:lineRule="exact" w:before="58"/>
              <w:ind w:left="110"/>
              <w:rPr>
                <w:sz w:val="20"/>
              </w:rPr>
            </w:pPr>
            <w:r>
              <w:rPr>
                <w:sz w:val="20"/>
              </w:rPr>
              <w:t>Systematic review (with homogeneity) of RCTs</w:t>
            </w:r>
          </w:p>
        </w:tc>
        <w:tc>
          <w:tcPr>
            <w:tcW w:w="1631" w:type="dxa"/>
          </w:tcPr>
          <w:p>
            <w:pPr>
              <w:pStyle w:val="TableParagraph"/>
              <w:spacing w:line="201" w:lineRule="exact" w:before="58"/>
              <w:ind w:left="29"/>
              <w:jc w:val="center"/>
              <w:rPr>
                <w:b/>
                <w:sz w:val="20"/>
              </w:rPr>
            </w:pPr>
            <w:r>
              <w:rPr>
                <w:b/>
                <w:w w:val="98"/>
                <w:sz w:val="20"/>
              </w:rPr>
              <w:t>A</w:t>
            </w:r>
          </w:p>
        </w:tc>
      </w:tr>
      <w:tr>
        <w:trPr>
          <w:trHeight w:val="280" w:hRule="atLeast"/>
        </w:trPr>
        <w:tc>
          <w:tcPr>
            <w:tcW w:w="1122" w:type="dxa"/>
          </w:tcPr>
          <w:p>
            <w:pPr>
              <w:pStyle w:val="TableParagraph"/>
              <w:spacing w:line="201" w:lineRule="exact" w:before="59"/>
              <w:ind w:left="111"/>
              <w:rPr>
                <w:sz w:val="20"/>
              </w:rPr>
            </w:pPr>
            <w:r>
              <w:rPr>
                <w:sz w:val="20"/>
              </w:rPr>
              <w:t>1b</w:t>
            </w:r>
          </w:p>
        </w:tc>
        <w:tc>
          <w:tcPr>
            <w:tcW w:w="5632" w:type="dxa"/>
          </w:tcPr>
          <w:p>
            <w:pPr>
              <w:pStyle w:val="TableParagraph"/>
              <w:spacing w:line="201" w:lineRule="exact" w:before="59"/>
              <w:ind w:left="110"/>
              <w:rPr>
                <w:sz w:val="20"/>
              </w:rPr>
            </w:pPr>
            <w:r>
              <w:rPr>
                <w:sz w:val="20"/>
              </w:rPr>
              <w:t>Systematic review with narrow confidence intervals</w:t>
            </w:r>
          </w:p>
        </w:tc>
        <w:tc>
          <w:tcPr>
            <w:tcW w:w="1631" w:type="dxa"/>
          </w:tcPr>
          <w:p>
            <w:pPr>
              <w:pStyle w:val="TableParagraph"/>
              <w:spacing w:line="201" w:lineRule="exact" w:before="59"/>
              <w:ind w:left="29"/>
              <w:jc w:val="center"/>
              <w:rPr>
                <w:b/>
                <w:sz w:val="20"/>
              </w:rPr>
            </w:pPr>
            <w:r>
              <w:rPr>
                <w:b/>
                <w:w w:val="98"/>
                <w:sz w:val="20"/>
              </w:rPr>
              <w:t>A</w:t>
            </w:r>
          </w:p>
        </w:tc>
      </w:tr>
      <w:tr>
        <w:trPr>
          <w:trHeight w:val="279" w:hRule="atLeast"/>
        </w:trPr>
        <w:tc>
          <w:tcPr>
            <w:tcW w:w="1122" w:type="dxa"/>
          </w:tcPr>
          <w:p>
            <w:pPr>
              <w:pStyle w:val="TableParagraph"/>
              <w:spacing w:line="214" w:lineRule="exact" w:before="45"/>
              <w:ind w:left="111"/>
              <w:rPr>
                <w:sz w:val="20"/>
              </w:rPr>
            </w:pPr>
            <w:r>
              <w:rPr>
                <w:sz w:val="20"/>
              </w:rPr>
              <w:t>1c</w:t>
            </w:r>
          </w:p>
        </w:tc>
        <w:tc>
          <w:tcPr>
            <w:tcW w:w="5632" w:type="dxa"/>
          </w:tcPr>
          <w:p>
            <w:pPr>
              <w:pStyle w:val="TableParagraph"/>
              <w:spacing w:line="214" w:lineRule="exact" w:before="45"/>
              <w:ind w:left="110"/>
              <w:rPr>
                <w:sz w:val="20"/>
              </w:rPr>
            </w:pPr>
            <w:r>
              <w:rPr>
                <w:sz w:val="20"/>
              </w:rPr>
              <w:t>Individual robust randomised, double-blinded trial</w:t>
            </w:r>
          </w:p>
        </w:tc>
        <w:tc>
          <w:tcPr>
            <w:tcW w:w="1631" w:type="dxa"/>
          </w:tcPr>
          <w:p>
            <w:pPr>
              <w:pStyle w:val="TableParagraph"/>
              <w:spacing w:line="214" w:lineRule="exact" w:before="45"/>
              <w:ind w:left="29"/>
              <w:jc w:val="center"/>
              <w:rPr>
                <w:b/>
                <w:sz w:val="20"/>
              </w:rPr>
            </w:pPr>
            <w:r>
              <w:rPr>
                <w:b/>
                <w:w w:val="98"/>
                <w:sz w:val="20"/>
              </w:rPr>
              <w:t>A</w:t>
            </w:r>
          </w:p>
        </w:tc>
      </w:tr>
      <w:tr>
        <w:trPr>
          <w:trHeight w:val="279" w:hRule="atLeast"/>
        </w:trPr>
        <w:tc>
          <w:tcPr>
            <w:tcW w:w="1122" w:type="dxa"/>
          </w:tcPr>
          <w:p>
            <w:pPr>
              <w:pStyle w:val="TableParagraph"/>
              <w:spacing w:line="212" w:lineRule="exact" w:before="47"/>
              <w:ind w:left="111"/>
              <w:rPr>
                <w:sz w:val="20"/>
              </w:rPr>
            </w:pPr>
            <w:r>
              <w:rPr>
                <w:sz w:val="20"/>
              </w:rPr>
              <w:t>2a</w:t>
            </w:r>
          </w:p>
        </w:tc>
        <w:tc>
          <w:tcPr>
            <w:tcW w:w="5632" w:type="dxa"/>
          </w:tcPr>
          <w:p>
            <w:pPr>
              <w:pStyle w:val="TableParagraph"/>
              <w:spacing w:line="212" w:lineRule="exact" w:before="47"/>
              <w:ind w:left="110"/>
              <w:rPr>
                <w:sz w:val="20"/>
              </w:rPr>
            </w:pPr>
            <w:r>
              <w:rPr>
                <w:sz w:val="20"/>
              </w:rPr>
              <w:t>Systematic review (with homogeneity) of cohort studies</w:t>
            </w:r>
          </w:p>
        </w:tc>
        <w:tc>
          <w:tcPr>
            <w:tcW w:w="1631" w:type="dxa"/>
          </w:tcPr>
          <w:p>
            <w:pPr>
              <w:pStyle w:val="TableParagraph"/>
              <w:spacing w:line="212" w:lineRule="exact" w:before="47"/>
              <w:ind w:left="27"/>
              <w:jc w:val="center"/>
              <w:rPr>
                <w:b/>
                <w:sz w:val="20"/>
              </w:rPr>
            </w:pPr>
            <w:r>
              <w:rPr>
                <w:b/>
                <w:w w:val="98"/>
                <w:sz w:val="20"/>
              </w:rPr>
              <w:t>B</w:t>
            </w:r>
          </w:p>
        </w:tc>
      </w:tr>
      <w:tr>
        <w:trPr>
          <w:trHeight w:val="280" w:hRule="atLeast"/>
        </w:trPr>
        <w:tc>
          <w:tcPr>
            <w:tcW w:w="1122" w:type="dxa"/>
          </w:tcPr>
          <w:p>
            <w:pPr>
              <w:pStyle w:val="TableParagraph"/>
              <w:spacing w:line="201" w:lineRule="exact" w:before="59"/>
              <w:ind w:left="111"/>
              <w:rPr>
                <w:sz w:val="20"/>
              </w:rPr>
            </w:pPr>
            <w:r>
              <w:rPr>
                <w:sz w:val="20"/>
              </w:rPr>
              <w:t>2b</w:t>
            </w:r>
          </w:p>
        </w:tc>
        <w:tc>
          <w:tcPr>
            <w:tcW w:w="5632" w:type="dxa"/>
          </w:tcPr>
          <w:p>
            <w:pPr>
              <w:pStyle w:val="TableParagraph"/>
              <w:spacing w:line="201" w:lineRule="exact" w:before="59"/>
              <w:ind w:left="110"/>
              <w:rPr>
                <w:sz w:val="20"/>
              </w:rPr>
            </w:pPr>
            <w:r>
              <w:rPr>
                <w:sz w:val="20"/>
              </w:rPr>
              <w:t>Individual cohort study (including low quality RCT)</w:t>
            </w:r>
          </w:p>
        </w:tc>
        <w:tc>
          <w:tcPr>
            <w:tcW w:w="1631" w:type="dxa"/>
          </w:tcPr>
          <w:p>
            <w:pPr>
              <w:pStyle w:val="TableParagraph"/>
              <w:spacing w:line="201" w:lineRule="exact" w:before="59"/>
              <w:ind w:left="27"/>
              <w:jc w:val="center"/>
              <w:rPr>
                <w:b/>
                <w:sz w:val="20"/>
              </w:rPr>
            </w:pPr>
            <w:r>
              <w:rPr>
                <w:b/>
                <w:w w:val="98"/>
                <w:sz w:val="20"/>
              </w:rPr>
              <w:t>B</w:t>
            </w:r>
          </w:p>
        </w:tc>
      </w:tr>
      <w:tr>
        <w:trPr>
          <w:trHeight w:val="280" w:hRule="atLeast"/>
        </w:trPr>
        <w:tc>
          <w:tcPr>
            <w:tcW w:w="1122" w:type="dxa"/>
          </w:tcPr>
          <w:p>
            <w:pPr>
              <w:pStyle w:val="TableParagraph"/>
              <w:spacing w:line="202" w:lineRule="exact" w:before="58"/>
              <w:ind w:left="111"/>
              <w:rPr>
                <w:sz w:val="20"/>
              </w:rPr>
            </w:pPr>
            <w:r>
              <w:rPr>
                <w:sz w:val="20"/>
              </w:rPr>
              <w:t>2c</w:t>
            </w:r>
          </w:p>
        </w:tc>
        <w:tc>
          <w:tcPr>
            <w:tcW w:w="5632" w:type="dxa"/>
          </w:tcPr>
          <w:p>
            <w:pPr>
              <w:pStyle w:val="TableParagraph"/>
              <w:spacing w:line="202" w:lineRule="exact" w:before="58"/>
              <w:ind w:left="110"/>
              <w:rPr>
                <w:sz w:val="20"/>
              </w:rPr>
            </w:pPr>
            <w:r>
              <w:rPr>
                <w:sz w:val="20"/>
              </w:rPr>
              <w:t>Outcomes Research Ecological studies</w:t>
            </w:r>
          </w:p>
        </w:tc>
        <w:tc>
          <w:tcPr>
            <w:tcW w:w="1631" w:type="dxa"/>
          </w:tcPr>
          <w:p>
            <w:pPr>
              <w:pStyle w:val="TableParagraph"/>
              <w:spacing w:line="202" w:lineRule="exact" w:before="58"/>
              <w:ind w:left="27"/>
              <w:jc w:val="center"/>
              <w:rPr>
                <w:b/>
                <w:sz w:val="20"/>
              </w:rPr>
            </w:pPr>
            <w:r>
              <w:rPr>
                <w:b/>
                <w:w w:val="98"/>
                <w:sz w:val="20"/>
              </w:rPr>
              <w:t>B</w:t>
            </w:r>
          </w:p>
        </w:tc>
      </w:tr>
      <w:tr>
        <w:trPr>
          <w:trHeight w:val="278" w:hRule="atLeast"/>
        </w:trPr>
        <w:tc>
          <w:tcPr>
            <w:tcW w:w="1122" w:type="dxa"/>
          </w:tcPr>
          <w:p>
            <w:pPr>
              <w:pStyle w:val="TableParagraph"/>
              <w:spacing w:line="213" w:lineRule="exact" w:before="45"/>
              <w:ind w:left="111"/>
              <w:rPr>
                <w:sz w:val="20"/>
              </w:rPr>
            </w:pPr>
            <w:r>
              <w:rPr>
                <w:sz w:val="20"/>
              </w:rPr>
              <w:t>3a</w:t>
            </w:r>
          </w:p>
        </w:tc>
        <w:tc>
          <w:tcPr>
            <w:tcW w:w="5632" w:type="dxa"/>
          </w:tcPr>
          <w:p>
            <w:pPr>
              <w:pStyle w:val="TableParagraph"/>
              <w:spacing w:line="213" w:lineRule="exact" w:before="45"/>
              <w:ind w:left="110"/>
              <w:rPr>
                <w:sz w:val="20"/>
              </w:rPr>
            </w:pPr>
            <w:r>
              <w:rPr>
                <w:sz w:val="20"/>
              </w:rPr>
              <w:t>Systematic review (with homogeneity) of case control studies</w:t>
            </w:r>
          </w:p>
        </w:tc>
        <w:tc>
          <w:tcPr>
            <w:tcW w:w="1631" w:type="dxa"/>
          </w:tcPr>
          <w:p>
            <w:pPr>
              <w:pStyle w:val="TableParagraph"/>
              <w:spacing w:line="213" w:lineRule="exact" w:before="45"/>
              <w:ind w:left="27"/>
              <w:jc w:val="center"/>
              <w:rPr>
                <w:b/>
                <w:sz w:val="20"/>
              </w:rPr>
            </w:pPr>
            <w:r>
              <w:rPr>
                <w:b/>
                <w:w w:val="98"/>
                <w:sz w:val="20"/>
              </w:rPr>
              <w:t>B</w:t>
            </w:r>
          </w:p>
        </w:tc>
      </w:tr>
      <w:tr>
        <w:trPr>
          <w:trHeight w:val="279" w:hRule="atLeast"/>
        </w:trPr>
        <w:tc>
          <w:tcPr>
            <w:tcW w:w="1122" w:type="dxa"/>
          </w:tcPr>
          <w:p>
            <w:pPr>
              <w:pStyle w:val="TableParagraph"/>
              <w:spacing w:line="201" w:lineRule="exact" w:before="58"/>
              <w:ind w:left="111"/>
              <w:rPr>
                <w:sz w:val="20"/>
              </w:rPr>
            </w:pPr>
            <w:r>
              <w:rPr>
                <w:sz w:val="20"/>
              </w:rPr>
              <w:t>3b</w:t>
            </w:r>
          </w:p>
        </w:tc>
        <w:tc>
          <w:tcPr>
            <w:tcW w:w="5632" w:type="dxa"/>
          </w:tcPr>
          <w:p>
            <w:pPr>
              <w:pStyle w:val="TableParagraph"/>
              <w:spacing w:line="201" w:lineRule="exact" w:before="58"/>
              <w:ind w:left="110"/>
              <w:rPr>
                <w:sz w:val="20"/>
              </w:rPr>
            </w:pPr>
            <w:r>
              <w:rPr>
                <w:sz w:val="20"/>
              </w:rPr>
              <w:t>Individual case control studies</w:t>
            </w:r>
          </w:p>
        </w:tc>
        <w:tc>
          <w:tcPr>
            <w:tcW w:w="1631" w:type="dxa"/>
          </w:tcPr>
          <w:p>
            <w:pPr>
              <w:pStyle w:val="TableParagraph"/>
              <w:spacing w:line="201" w:lineRule="exact" w:before="58"/>
              <w:ind w:left="27"/>
              <w:jc w:val="center"/>
              <w:rPr>
                <w:b/>
                <w:sz w:val="20"/>
              </w:rPr>
            </w:pPr>
            <w:r>
              <w:rPr>
                <w:b/>
                <w:w w:val="98"/>
                <w:sz w:val="20"/>
              </w:rPr>
              <w:t>B</w:t>
            </w:r>
          </w:p>
        </w:tc>
      </w:tr>
      <w:tr>
        <w:trPr>
          <w:trHeight w:val="280" w:hRule="atLeast"/>
        </w:trPr>
        <w:tc>
          <w:tcPr>
            <w:tcW w:w="1122" w:type="dxa"/>
          </w:tcPr>
          <w:p>
            <w:pPr>
              <w:pStyle w:val="TableParagraph"/>
              <w:spacing w:line="201" w:lineRule="exact" w:before="59"/>
              <w:ind w:left="111"/>
              <w:rPr>
                <w:sz w:val="20"/>
              </w:rPr>
            </w:pPr>
            <w:r>
              <w:rPr>
                <w:w w:val="100"/>
                <w:sz w:val="20"/>
              </w:rPr>
              <w:t>4</w:t>
            </w:r>
          </w:p>
        </w:tc>
        <w:tc>
          <w:tcPr>
            <w:tcW w:w="5632" w:type="dxa"/>
          </w:tcPr>
          <w:p>
            <w:pPr>
              <w:pStyle w:val="TableParagraph"/>
              <w:spacing w:line="201" w:lineRule="exact" w:before="59"/>
              <w:ind w:left="110"/>
              <w:rPr>
                <w:sz w:val="20"/>
              </w:rPr>
            </w:pPr>
            <w:r>
              <w:rPr>
                <w:sz w:val="20"/>
              </w:rPr>
              <w:t>Case series (and poor quality cohort &amp; case-control studies)</w:t>
            </w:r>
          </w:p>
        </w:tc>
        <w:tc>
          <w:tcPr>
            <w:tcW w:w="1631" w:type="dxa"/>
          </w:tcPr>
          <w:p>
            <w:pPr>
              <w:pStyle w:val="TableParagraph"/>
              <w:spacing w:line="201" w:lineRule="exact" w:before="59"/>
              <w:ind w:left="28"/>
              <w:jc w:val="center"/>
              <w:rPr>
                <w:b/>
                <w:sz w:val="20"/>
              </w:rPr>
            </w:pPr>
            <w:r>
              <w:rPr>
                <w:b/>
                <w:w w:val="100"/>
                <w:sz w:val="20"/>
              </w:rPr>
              <w:t>C</w:t>
            </w:r>
          </w:p>
        </w:tc>
      </w:tr>
      <w:tr>
        <w:trPr>
          <w:trHeight w:val="280" w:hRule="atLeast"/>
        </w:trPr>
        <w:tc>
          <w:tcPr>
            <w:tcW w:w="1122" w:type="dxa"/>
          </w:tcPr>
          <w:p>
            <w:pPr>
              <w:pStyle w:val="TableParagraph"/>
              <w:spacing w:line="202" w:lineRule="exact" w:before="58"/>
              <w:ind w:left="111"/>
              <w:rPr>
                <w:sz w:val="20"/>
              </w:rPr>
            </w:pPr>
            <w:r>
              <w:rPr>
                <w:w w:val="100"/>
                <w:sz w:val="20"/>
              </w:rPr>
              <w:t>5</w:t>
            </w:r>
          </w:p>
        </w:tc>
        <w:tc>
          <w:tcPr>
            <w:tcW w:w="5632" w:type="dxa"/>
          </w:tcPr>
          <w:p>
            <w:pPr>
              <w:pStyle w:val="TableParagraph"/>
              <w:spacing w:line="202" w:lineRule="exact" w:before="58"/>
              <w:ind w:left="110"/>
              <w:rPr>
                <w:sz w:val="20"/>
              </w:rPr>
            </w:pPr>
            <w:r>
              <w:rPr>
                <w:sz w:val="20"/>
              </w:rPr>
              <w:t>Expert opinion without explicit critical appraisal.</w:t>
            </w:r>
          </w:p>
        </w:tc>
        <w:tc>
          <w:tcPr>
            <w:tcW w:w="1631" w:type="dxa"/>
          </w:tcPr>
          <w:p>
            <w:pPr>
              <w:pStyle w:val="TableParagraph"/>
              <w:spacing w:line="202" w:lineRule="exact" w:before="58"/>
              <w:ind w:left="31"/>
              <w:jc w:val="center"/>
              <w:rPr>
                <w:b/>
                <w:sz w:val="20"/>
              </w:rPr>
            </w:pPr>
            <w:r>
              <w:rPr>
                <w:b/>
                <w:w w:val="100"/>
                <w:sz w:val="20"/>
              </w:rPr>
              <w:t>D</w:t>
            </w:r>
          </w:p>
        </w:tc>
      </w:tr>
    </w:tbl>
    <w:p>
      <w:pPr>
        <w:pStyle w:val="BodyText"/>
        <w:spacing w:before="1"/>
        <w:rPr>
          <w:b/>
          <w:i/>
          <w:sz w:val="17"/>
        </w:rPr>
      </w:pPr>
    </w:p>
    <w:p>
      <w:pPr>
        <w:spacing w:before="94"/>
        <w:ind w:left="1511" w:right="0" w:firstLine="0"/>
        <w:jc w:val="left"/>
        <w:rPr>
          <w:b/>
          <w:i/>
          <w:sz w:val="18"/>
        </w:rPr>
      </w:pPr>
      <w:r>
        <w:rPr>
          <w:b/>
          <w:i/>
          <w:sz w:val="18"/>
        </w:rPr>
        <w:t>Centre of Evidence-based Medicine – Levels of Evidence (March 2009)</w:t>
      </w:r>
    </w:p>
    <w:p>
      <w:pPr>
        <w:pStyle w:val="BodyText"/>
        <w:spacing w:line="230" w:lineRule="exact"/>
        <w:ind w:left="648"/>
      </w:pPr>
      <w:r>
        <w:rPr>
          <w:position w:val="-4"/>
        </w:rPr>
        <w:pict>
          <v:group style="width:521.9500pt;height:11.55pt;mso-position-horizontal-relative:char;mso-position-vertical-relative:line" coordorigin="0,0" coordsize="10439,231">
            <v:rect style="position:absolute;left:0;top:0;width:10439;height:231" filled="true" fillcolor="#538dd3" stroked="false">
              <v:fill type="solid"/>
            </v:rect>
          </v:group>
        </w:pict>
      </w:r>
      <w:r>
        <w:rPr>
          <w:position w:val="-4"/>
        </w:rPr>
      </w:r>
    </w:p>
    <w:p>
      <w:pPr>
        <w:spacing w:after="0" w:line="230" w:lineRule="exact"/>
        <w:sectPr>
          <w:pgSz w:w="11910" w:h="16840"/>
          <w:pgMar w:header="0" w:footer="1240" w:top="1560" w:bottom="1520" w:left="160" w:right="40"/>
        </w:sectPr>
      </w:pPr>
    </w:p>
    <w:p>
      <w:pPr>
        <w:pStyle w:val="Heading1"/>
        <w:tabs>
          <w:tab w:pos="11087" w:val="left" w:leader="none"/>
        </w:tabs>
        <w:spacing w:before="71"/>
        <w:jc w:val="both"/>
      </w:pPr>
      <w:r>
        <w:rPr>
          <w:color w:val="FFFFFF"/>
          <w:shd w:fill="538DD3" w:color="auto" w:val="clear"/>
        </w:rPr>
        <w:t>Dosage and</w:t>
      </w:r>
      <w:r>
        <w:rPr>
          <w:color w:val="FFFFFF"/>
          <w:spacing w:val="-1"/>
          <w:shd w:fill="538DD3" w:color="auto" w:val="clear"/>
        </w:rPr>
        <w:t> </w:t>
      </w:r>
      <w:r>
        <w:rPr>
          <w:color w:val="FFFFFF"/>
          <w:shd w:fill="538DD3" w:color="auto" w:val="clear"/>
        </w:rPr>
        <w:t>Administration</w:t>
        <w:tab/>
      </w:r>
    </w:p>
    <w:p>
      <w:pPr>
        <w:pStyle w:val="BodyText"/>
        <w:spacing w:before="217"/>
        <w:ind w:left="678" w:right="751"/>
        <w:jc w:val="both"/>
      </w:pPr>
      <w:r>
        <w:rPr/>
        <w:t>Patients are given a small test dose of methotrexate (usually 5 mg to 7.5 mg) orally </w:t>
      </w:r>
      <w:r>
        <w:rPr>
          <w:b/>
        </w:rPr>
        <w:t>ONCE weekly</w:t>
      </w:r>
      <w:r>
        <w:rPr/>
        <w:t>. If after 7 days the full blood count (FBC) is stable methotrexate is continued. The schedule may be adjusted gradually (usually in</w:t>
      </w:r>
    </w:p>
    <w:p>
      <w:pPr>
        <w:pStyle w:val="ListParagraph"/>
        <w:numPr>
          <w:ilvl w:val="1"/>
          <w:numId w:val="6"/>
        </w:numPr>
        <w:tabs>
          <w:tab w:pos="1013" w:val="left" w:leader="none"/>
        </w:tabs>
        <w:spacing w:line="240" w:lineRule="auto" w:before="1" w:after="0"/>
        <w:ind w:left="1012" w:right="0" w:hanging="334"/>
        <w:jc w:val="both"/>
        <w:rPr>
          <w:sz w:val="20"/>
        </w:rPr>
      </w:pPr>
      <w:r>
        <w:rPr>
          <w:sz w:val="20"/>
        </w:rPr>
        <w:t>– 5 mg steps) to achieve an</w:t>
      </w:r>
      <w:r>
        <w:rPr>
          <w:spacing w:val="29"/>
          <w:sz w:val="20"/>
        </w:rPr>
        <w:t> </w:t>
      </w:r>
      <w:r>
        <w:rPr>
          <w:sz w:val="20"/>
        </w:rPr>
        <w:t>optimal response.</w:t>
      </w:r>
    </w:p>
    <w:p>
      <w:pPr>
        <w:pStyle w:val="BodyText"/>
        <w:spacing w:before="172"/>
        <w:ind w:left="678" w:right="659"/>
        <w:jc w:val="both"/>
      </w:pPr>
      <w:r>
        <w:rPr/>
        <w:t>The usual maintenance dose of methotrexate is from 5 mg to 25 mg </w:t>
      </w:r>
      <w:r>
        <w:rPr>
          <w:b/>
        </w:rPr>
        <w:t>ONCE weekly</w:t>
      </w:r>
      <w:r>
        <w:rPr/>
        <w:t>. The licensed maximum weekly dose for rheumatoid arthritis is 20 mg weekly and for psoriasis is 25 mg. Some patients and conditions may require higher doses (up to 30 mg) on advice of the specialist. The dose will be dependent on the condition being treated</w:t>
      </w:r>
      <w:r>
        <w:rPr>
          <w:spacing w:val="-35"/>
        </w:rPr>
        <w:t> </w:t>
      </w:r>
      <w:r>
        <w:rPr/>
        <w:t>and will be stipulated by the specialist team on transfer of</w:t>
      </w:r>
      <w:r>
        <w:rPr>
          <w:spacing w:val="-4"/>
        </w:rPr>
        <w:t> </w:t>
      </w:r>
      <w:r>
        <w:rPr/>
        <w:t>care.</w:t>
      </w:r>
    </w:p>
    <w:p>
      <w:pPr>
        <w:pStyle w:val="BodyText"/>
        <w:spacing w:before="10"/>
        <w:rPr>
          <w:sz w:val="19"/>
        </w:rPr>
      </w:pPr>
    </w:p>
    <w:p>
      <w:pPr>
        <w:pStyle w:val="BodyText"/>
        <w:ind w:left="678" w:right="755"/>
        <w:jc w:val="both"/>
      </w:pPr>
      <w:r>
        <w:rPr/>
        <w:t>The lowest possible effective dose should be used. Methotrexate should be used with extreme caution in elderly patients and a lower dose should be considered.</w:t>
      </w:r>
    </w:p>
    <w:p>
      <w:pPr>
        <w:pStyle w:val="BodyText"/>
        <w:spacing w:before="9"/>
        <w:rPr>
          <w:sz w:val="19"/>
        </w:rPr>
      </w:pPr>
    </w:p>
    <w:p>
      <w:pPr>
        <w:spacing w:before="1"/>
        <w:ind w:left="678" w:right="754" w:firstLine="0"/>
        <w:jc w:val="both"/>
        <w:rPr>
          <w:b/>
          <w:sz w:val="20"/>
        </w:rPr>
      </w:pPr>
      <w:r>
        <w:rPr>
          <w:b/>
          <w:sz w:val="20"/>
        </w:rPr>
        <w:t>Regular folic acid </w:t>
      </w:r>
      <w:r>
        <w:rPr>
          <w:sz w:val="20"/>
        </w:rPr>
        <w:t>supplements should be given to reduce the risk of toxicity. </w:t>
      </w:r>
      <w:r>
        <w:rPr>
          <w:b/>
          <w:color w:val="FF0000"/>
          <w:sz w:val="20"/>
        </w:rPr>
        <w:t>Please follow the regime detailed in the handover summary. Folic acid should not be taken on the same day as</w:t>
      </w:r>
      <w:r>
        <w:rPr>
          <w:b/>
          <w:color w:val="FF0000"/>
          <w:spacing w:val="-19"/>
          <w:sz w:val="20"/>
        </w:rPr>
        <w:t> </w:t>
      </w:r>
      <w:r>
        <w:rPr>
          <w:b/>
          <w:color w:val="FF0000"/>
          <w:sz w:val="20"/>
        </w:rPr>
        <w:t>methotrexate.</w:t>
      </w:r>
    </w:p>
    <w:p>
      <w:pPr>
        <w:pStyle w:val="BodyText"/>
        <w:spacing w:before="10"/>
        <w:rPr>
          <w:b/>
          <w:sz w:val="19"/>
        </w:rPr>
      </w:pPr>
    </w:p>
    <w:p>
      <w:pPr>
        <w:pStyle w:val="BodyText"/>
        <w:ind w:left="678" w:right="752"/>
        <w:jc w:val="both"/>
      </w:pPr>
      <w:r>
        <w:rPr/>
        <w:t>Methotrexate will be issued as </w:t>
      </w:r>
      <w:r>
        <w:rPr>
          <w:b/>
        </w:rPr>
        <w:t>2.5 mg tablets</w:t>
      </w:r>
      <w:r>
        <w:rPr/>
        <w:t>.   Patients should consistently receive the same strength of tablets   to avoid confusion with the 10 mg strength and therefore the risk of overdose.</w:t>
      </w:r>
      <w:r>
        <w:rPr>
          <w:spacing w:val="5"/>
        </w:rPr>
        <w:t> </w:t>
      </w:r>
      <w:r>
        <w:rPr/>
        <w:t>All patients should be fully counselled regarding the strength and number of tablets to take as a single weekly</w:t>
      </w:r>
      <w:r>
        <w:rPr>
          <w:spacing w:val="-20"/>
        </w:rPr>
        <w:t> </w:t>
      </w:r>
      <w:r>
        <w:rPr/>
        <w:t>dose.</w:t>
      </w:r>
    </w:p>
    <w:p>
      <w:pPr>
        <w:pStyle w:val="BodyText"/>
        <w:spacing w:before="10"/>
        <w:rPr>
          <w:sz w:val="19"/>
        </w:rPr>
      </w:pPr>
    </w:p>
    <w:p>
      <w:pPr>
        <w:spacing w:before="1"/>
        <w:ind w:left="678" w:right="752" w:firstLine="0"/>
        <w:jc w:val="both"/>
        <w:rPr>
          <w:sz w:val="20"/>
        </w:rPr>
      </w:pPr>
      <w:r>
        <w:rPr>
          <w:b/>
          <w:sz w:val="20"/>
        </w:rPr>
        <w:t>Patients will be issued with a Methotrexate Monitoring Booklet from the hospital on commencing methotrexate. </w:t>
      </w:r>
      <w:r>
        <w:rPr>
          <w:sz w:val="20"/>
        </w:rPr>
        <w:t>All blood results and dose or change in dose should be recorded in this booklet.</w:t>
      </w:r>
    </w:p>
    <w:p>
      <w:pPr>
        <w:pStyle w:val="BodyText"/>
      </w:pPr>
    </w:p>
    <w:p>
      <w:pPr>
        <w:pStyle w:val="BodyText"/>
        <w:ind w:left="678" w:right="752"/>
        <w:jc w:val="both"/>
      </w:pPr>
      <w:r>
        <w:rPr/>
        <w:t>Oral methotrexate products will come with a patient card (printable format </w:t>
      </w:r>
      <w:hyperlink r:id="rId9">
        <w:r>
          <w:rPr>
            <w:color w:val="0000FF"/>
            <w:u w:val="single" w:color="0000FF"/>
          </w:rPr>
          <w:t>found here</w:t>
        </w:r>
      </w:hyperlink>
      <w:r>
        <w:rPr/>
        <w:t>), which will prompt patients to take</w:t>
      </w:r>
      <w:r>
        <w:rPr>
          <w:spacing w:val="-6"/>
        </w:rPr>
        <w:t> </w:t>
      </w:r>
      <w:r>
        <w:rPr/>
        <w:t>methotrexate</w:t>
      </w:r>
      <w:r>
        <w:rPr>
          <w:spacing w:val="-7"/>
        </w:rPr>
        <w:t> </w:t>
      </w:r>
      <w:r>
        <w:rPr/>
        <w:t>once</w:t>
      </w:r>
      <w:r>
        <w:rPr>
          <w:spacing w:val="-6"/>
        </w:rPr>
        <w:t> </w:t>
      </w:r>
      <w:r>
        <w:rPr/>
        <w:t>a</w:t>
      </w:r>
      <w:r>
        <w:rPr>
          <w:spacing w:val="-7"/>
        </w:rPr>
        <w:t> </w:t>
      </w:r>
      <w:r>
        <w:rPr/>
        <w:t>week</w:t>
      </w:r>
      <w:r>
        <w:rPr>
          <w:spacing w:val="-5"/>
        </w:rPr>
        <w:t> </w:t>
      </w:r>
      <w:r>
        <w:rPr/>
        <w:t>and</w:t>
      </w:r>
      <w:r>
        <w:rPr>
          <w:spacing w:val="-6"/>
        </w:rPr>
        <w:t> </w:t>
      </w:r>
      <w:r>
        <w:rPr/>
        <w:t>to</w:t>
      </w:r>
      <w:r>
        <w:rPr>
          <w:spacing w:val="-7"/>
        </w:rPr>
        <w:t> </w:t>
      </w:r>
      <w:r>
        <w:rPr/>
        <w:t>record</w:t>
      </w:r>
      <w:r>
        <w:rPr>
          <w:spacing w:val="-7"/>
        </w:rPr>
        <w:t> </w:t>
      </w:r>
      <w:r>
        <w:rPr/>
        <w:t>the</w:t>
      </w:r>
      <w:r>
        <w:rPr>
          <w:spacing w:val="-6"/>
        </w:rPr>
        <w:t> </w:t>
      </w:r>
      <w:r>
        <w:rPr/>
        <w:t>day</w:t>
      </w:r>
      <w:r>
        <w:rPr>
          <w:spacing w:val="-6"/>
        </w:rPr>
        <w:t> </w:t>
      </w:r>
      <w:r>
        <w:rPr/>
        <w:t>of</w:t>
      </w:r>
      <w:r>
        <w:rPr>
          <w:spacing w:val="-7"/>
        </w:rPr>
        <w:t> </w:t>
      </w:r>
      <w:r>
        <w:rPr/>
        <w:t>the</w:t>
      </w:r>
      <w:r>
        <w:rPr>
          <w:spacing w:val="-7"/>
        </w:rPr>
        <w:t> </w:t>
      </w:r>
      <w:r>
        <w:rPr/>
        <w:t>week</w:t>
      </w:r>
      <w:r>
        <w:rPr>
          <w:spacing w:val="-6"/>
        </w:rPr>
        <w:t> </w:t>
      </w:r>
      <w:r>
        <w:rPr/>
        <w:t>for</w:t>
      </w:r>
      <w:r>
        <w:rPr>
          <w:spacing w:val="-5"/>
        </w:rPr>
        <w:t> </w:t>
      </w:r>
      <w:r>
        <w:rPr/>
        <w:t>intake.</w:t>
      </w:r>
      <w:r>
        <w:rPr>
          <w:spacing w:val="-7"/>
        </w:rPr>
        <w:t> </w:t>
      </w:r>
      <w:r>
        <w:rPr/>
        <w:t>It</w:t>
      </w:r>
      <w:r>
        <w:rPr>
          <w:spacing w:val="-8"/>
        </w:rPr>
        <w:t> </w:t>
      </w:r>
      <w:r>
        <w:rPr/>
        <w:t>will</w:t>
      </w:r>
      <w:r>
        <w:rPr>
          <w:spacing w:val="-7"/>
        </w:rPr>
        <w:t> </w:t>
      </w:r>
      <w:r>
        <w:rPr/>
        <w:t>also</w:t>
      </w:r>
      <w:r>
        <w:rPr>
          <w:spacing w:val="-6"/>
        </w:rPr>
        <w:t> </w:t>
      </w:r>
      <w:r>
        <w:rPr/>
        <w:t>help</w:t>
      </w:r>
      <w:r>
        <w:rPr>
          <w:spacing w:val="-6"/>
        </w:rPr>
        <w:t> </w:t>
      </w:r>
      <w:r>
        <w:rPr/>
        <w:t>patients</w:t>
      </w:r>
      <w:r>
        <w:rPr>
          <w:spacing w:val="-7"/>
        </w:rPr>
        <w:t> </w:t>
      </w:r>
      <w:r>
        <w:rPr/>
        <w:t>identify</w:t>
      </w:r>
      <w:r>
        <w:rPr>
          <w:spacing w:val="-6"/>
        </w:rPr>
        <w:t> </w:t>
      </w:r>
      <w:r>
        <w:rPr/>
        <w:t>the</w:t>
      </w:r>
      <w:r>
        <w:rPr>
          <w:spacing w:val="-7"/>
        </w:rPr>
        <w:t> </w:t>
      </w:r>
      <w:r>
        <w:rPr/>
        <w:t>signs and symptoms of</w:t>
      </w:r>
      <w:r>
        <w:rPr>
          <w:spacing w:val="-2"/>
        </w:rPr>
        <w:t> </w:t>
      </w:r>
      <w:r>
        <w:rPr/>
        <w:t>overdose.</w:t>
      </w:r>
    </w:p>
    <w:p>
      <w:pPr>
        <w:pStyle w:val="BodyText"/>
        <w:spacing w:before="11"/>
        <w:rPr>
          <w:sz w:val="19"/>
        </w:rPr>
      </w:pPr>
    </w:p>
    <w:p>
      <w:pPr>
        <w:pStyle w:val="BodyText"/>
        <w:ind w:left="678" w:right="752"/>
        <w:jc w:val="both"/>
      </w:pPr>
      <w:r>
        <w:rPr/>
        <w:t>Patients should be offered annual influenza vaccination. Patients should be offered a pneumococcus vaccine consisting of a dose of the 23-valent unconjugated pneumococcal polysaccharide vaccine prior to commencing methotrexate. This should be repeated when the patient reaches 65 years (if not given within the previous 5 years).</w:t>
      </w:r>
    </w:p>
    <w:p>
      <w:pPr>
        <w:pStyle w:val="BodyText"/>
      </w:pPr>
    </w:p>
    <w:p>
      <w:pPr>
        <w:pStyle w:val="BodyText"/>
        <w:spacing w:before="9"/>
      </w:pPr>
    </w:p>
    <w:p>
      <w:pPr>
        <w:pStyle w:val="Heading1"/>
        <w:tabs>
          <w:tab w:pos="11008" w:val="left" w:leader="none"/>
        </w:tabs>
      </w:pPr>
      <w:r>
        <w:rPr>
          <w:color w:val="FFFFFF"/>
          <w:shd w:fill="538DD3" w:color="auto" w:val="clear"/>
        </w:rPr>
        <w:t>Cautions and</w:t>
      </w:r>
      <w:r>
        <w:rPr>
          <w:color w:val="FFFFFF"/>
          <w:spacing w:val="-3"/>
          <w:shd w:fill="538DD3" w:color="auto" w:val="clear"/>
        </w:rPr>
        <w:t> </w:t>
      </w:r>
      <w:r>
        <w:rPr>
          <w:color w:val="FFFFFF"/>
          <w:shd w:fill="538DD3" w:color="auto" w:val="clear"/>
        </w:rPr>
        <w:t>Contraindications</w:t>
        <w:tab/>
      </w:r>
    </w:p>
    <w:p>
      <w:pPr>
        <w:pStyle w:val="ListParagraph"/>
        <w:numPr>
          <w:ilvl w:val="2"/>
          <w:numId w:val="6"/>
        </w:numPr>
        <w:tabs>
          <w:tab w:pos="1387" w:val="left" w:leader="none"/>
          <w:tab w:pos="1388" w:val="left" w:leader="none"/>
        </w:tabs>
        <w:spacing w:line="267" w:lineRule="exact" w:before="229" w:after="0"/>
        <w:ind w:left="1388" w:right="0" w:hanging="350"/>
        <w:jc w:val="left"/>
        <w:rPr>
          <w:rFonts w:ascii="Symbol" w:hAnsi="Symbol"/>
          <w:sz w:val="22"/>
        </w:rPr>
      </w:pPr>
      <w:r>
        <w:rPr>
          <w:sz w:val="20"/>
        </w:rPr>
        <w:t>Profound impairment of renal or hepatic function or haematological</w:t>
      </w:r>
      <w:r>
        <w:rPr>
          <w:spacing w:val="-6"/>
          <w:sz w:val="20"/>
        </w:rPr>
        <w:t> </w:t>
      </w:r>
      <w:r>
        <w:rPr>
          <w:sz w:val="20"/>
        </w:rPr>
        <w:t>impairment</w:t>
      </w:r>
    </w:p>
    <w:p>
      <w:pPr>
        <w:pStyle w:val="ListParagraph"/>
        <w:numPr>
          <w:ilvl w:val="2"/>
          <w:numId w:val="6"/>
        </w:numPr>
        <w:tabs>
          <w:tab w:pos="1387" w:val="left" w:leader="none"/>
          <w:tab w:pos="1388" w:val="left" w:leader="none"/>
        </w:tabs>
        <w:spacing w:line="232" w:lineRule="auto" w:before="4" w:after="0"/>
        <w:ind w:left="1388" w:right="750" w:hanging="350"/>
        <w:jc w:val="left"/>
        <w:rPr>
          <w:rFonts w:ascii="Symbol" w:hAnsi="Symbol"/>
          <w:sz w:val="22"/>
        </w:rPr>
      </w:pPr>
      <w:r>
        <w:rPr>
          <w:sz w:val="20"/>
        </w:rPr>
        <w:t>Liver disease including fibrosis, cirrhosis, recent or active hepatitis; active infectious disease; and overt      or laboratory evidence of immunodeficiency</w:t>
      </w:r>
      <w:r>
        <w:rPr>
          <w:spacing w:val="-4"/>
          <w:sz w:val="20"/>
        </w:rPr>
        <w:t> </w:t>
      </w:r>
      <w:r>
        <w:rPr>
          <w:sz w:val="20"/>
        </w:rPr>
        <w:t>syndrome(s)</w:t>
      </w:r>
    </w:p>
    <w:p>
      <w:pPr>
        <w:pStyle w:val="ListParagraph"/>
        <w:numPr>
          <w:ilvl w:val="2"/>
          <w:numId w:val="6"/>
        </w:numPr>
        <w:tabs>
          <w:tab w:pos="1387" w:val="left" w:leader="none"/>
          <w:tab w:pos="1388" w:val="left" w:leader="none"/>
        </w:tabs>
        <w:spacing w:line="267" w:lineRule="exact" w:before="2" w:after="0"/>
        <w:ind w:left="1388" w:right="0" w:hanging="350"/>
        <w:jc w:val="left"/>
        <w:rPr>
          <w:rFonts w:ascii="Symbol" w:hAnsi="Symbol"/>
          <w:sz w:val="22"/>
        </w:rPr>
      </w:pPr>
      <w:r>
        <w:rPr>
          <w:sz w:val="20"/>
        </w:rPr>
        <w:t>Serious cases of anaemia, leucopenia, or</w:t>
      </w:r>
      <w:r>
        <w:rPr>
          <w:spacing w:val="-6"/>
          <w:sz w:val="20"/>
        </w:rPr>
        <w:t> </w:t>
      </w:r>
      <w:r>
        <w:rPr>
          <w:sz w:val="20"/>
        </w:rPr>
        <w:t>thrombocytopenia</w:t>
      </w:r>
    </w:p>
    <w:p>
      <w:pPr>
        <w:pStyle w:val="ListParagraph"/>
        <w:numPr>
          <w:ilvl w:val="2"/>
          <w:numId w:val="6"/>
        </w:numPr>
        <w:tabs>
          <w:tab w:pos="1388" w:val="left" w:leader="none"/>
        </w:tabs>
        <w:spacing w:line="237" w:lineRule="auto" w:before="0" w:after="0"/>
        <w:ind w:left="1388" w:right="753" w:hanging="350"/>
        <w:jc w:val="both"/>
        <w:rPr>
          <w:rFonts w:ascii="Symbol" w:hAnsi="Symbol"/>
          <w:sz w:val="22"/>
        </w:rPr>
      </w:pPr>
      <w:r>
        <w:rPr>
          <w:sz w:val="20"/>
        </w:rPr>
        <w:t>Pregnancy or breast-feeding; Following administration to a man or woman conception should be avoided  by  using  an  effective  contraceptive  method  for  at  least   3   months   after   stopping methotrexate. (See under </w:t>
      </w:r>
      <w:r>
        <w:rPr>
          <w:b/>
          <w:sz w:val="20"/>
        </w:rPr>
        <w:t>Pregnancy and Lactation</w:t>
      </w:r>
      <w:r>
        <w:rPr>
          <w:b/>
          <w:spacing w:val="-3"/>
          <w:sz w:val="20"/>
        </w:rPr>
        <w:t> </w:t>
      </w:r>
      <w:r>
        <w:rPr>
          <w:sz w:val="20"/>
        </w:rPr>
        <w:t>below.)</w:t>
      </w:r>
    </w:p>
    <w:p>
      <w:pPr>
        <w:pStyle w:val="ListParagraph"/>
        <w:numPr>
          <w:ilvl w:val="2"/>
          <w:numId w:val="6"/>
        </w:numPr>
        <w:tabs>
          <w:tab w:pos="1387" w:val="left" w:leader="none"/>
          <w:tab w:pos="1388" w:val="left" w:leader="none"/>
        </w:tabs>
        <w:spacing w:line="265" w:lineRule="exact" w:before="0" w:after="0"/>
        <w:ind w:left="1388" w:right="0" w:hanging="350"/>
        <w:jc w:val="left"/>
        <w:rPr>
          <w:rFonts w:ascii="Symbol" w:hAnsi="Symbol"/>
          <w:sz w:val="22"/>
        </w:rPr>
      </w:pPr>
      <w:r>
        <w:rPr>
          <w:sz w:val="20"/>
        </w:rPr>
        <w:t>Patients with a known allergic hypersensitivity to</w:t>
      </w:r>
      <w:r>
        <w:rPr>
          <w:spacing w:val="-5"/>
          <w:sz w:val="20"/>
        </w:rPr>
        <w:t> </w:t>
      </w:r>
      <w:r>
        <w:rPr>
          <w:sz w:val="20"/>
        </w:rPr>
        <w:t>methotrexate</w:t>
      </w:r>
    </w:p>
    <w:p>
      <w:pPr>
        <w:pStyle w:val="ListParagraph"/>
        <w:numPr>
          <w:ilvl w:val="2"/>
          <w:numId w:val="6"/>
        </w:numPr>
        <w:tabs>
          <w:tab w:pos="1388" w:val="left" w:leader="none"/>
        </w:tabs>
        <w:spacing w:line="237" w:lineRule="auto" w:before="0" w:after="0"/>
        <w:ind w:left="1388" w:right="750" w:hanging="350"/>
        <w:jc w:val="both"/>
        <w:rPr>
          <w:rFonts w:ascii="Symbol" w:hAnsi="Symbol"/>
          <w:sz w:val="22"/>
        </w:rPr>
      </w:pPr>
      <w:r>
        <w:rPr>
          <w:sz w:val="20"/>
        </w:rPr>
        <w:t>Exposure to chicken pox – patients who have had significant exposure to chicken pox but do not know if they have had chicken pox in the past, will need to have their varicella zoster antibody titre checked. If it is low, the patient will need varicella zoster immunoglobulin within 10 days of the initial exposure. If this is necessary, please contact the appropriate specialist nurse or specialist registrar or</w:t>
      </w:r>
      <w:r>
        <w:rPr>
          <w:spacing w:val="14"/>
          <w:sz w:val="20"/>
        </w:rPr>
        <w:t> </w:t>
      </w:r>
      <w:r>
        <w:rPr>
          <w:sz w:val="20"/>
        </w:rPr>
        <w:t>consultant</w:t>
      </w:r>
    </w:p>
    <w:p>
      <w:pPr>
        <w:pStyle w:val="ListParagraph"/>
        <w:numPr>
          <w:ilvl w:val="2"/>
          <w:numId w:val="6"/>
        </w:numPr>
        <w:tabs>
          <w:tab w:pos="1387" w:val="left" w:leader="none"/>
          <w:tab w:pos="1388" w:val="left" w:leader="none"/>
        </w:tabs>
        <w:spacing w:line="266" w:lineRule="exact" w:before="1" w:after="0"/>
        <w:ind w:left="1388" w:right="0" w:hanging="350"/>
        <w:jc w:val="left"/>
        <w:rPr>
          <w:rFonts w:ascii="Symbol" w:hAnsi="Symbol"/>
          <w:sz w:val="22"/>
        </w:rPr>
      </w:pPr>
      <w:r>
        <w:rPr>
          <w:sz w:val="20"/>
        </w:rPr>
        <w:t>Localised or systemic infection – including hepatitis B or</w:t>
      </w:r>
      <w:r>
        <w:rPr>
          <w:spacing w:val="-9"/>
          <w:sz w:val="20"/>
        </w:rPr>
        <w:t> </w:t>
      </w:r>
      <w:r>
        <w:rPr>
          <w:sz w:val="20"/>
        </w:rPr>
        <w:t>C</w:t>
      </w:r>
    </w:p>
    <w:p>
      <w:pPr>
        <w:pStyle w:val="ListParagraph"/>
        <w:numPr>
          <w:ilvl w:val="2"/>
          <w:numId w:val="6"/>
        </w:numPr>
        <w:tabs>
          <w:tab w:pos="1387" w:val="left" w:leader="none"/>
          <w:tab w:pos="1388" w:val="left" w:leader="none"/>
        </w:tabs>
        <w:spacing w:line="232" w:lineRule="auto" w:before="3" w:after="0"/>
        <w:ind w:left="1388" w:right="757" w:hanging="350"/>
        <w:jc w:val="left"/>
        <w:rPr>
          <w:rFonts w:ascii="Symbol" w:hAnsi="Symbol"/>
          <w:sz w:val="22"/>
        </w:rPr>
      </w:pPr>
      <w:r>
        <w:rPr>
          <w:sz w:val="20"/>
        </w:rPr>
        <w:t>Methotrexate can cause interstitial pneumonitis and fibrosis. Patients complaining of unexplained dyspnoea or unexplained dry cough should stop taking methotrexate and be referred immediately to the</w:t>
      </w:r>
      <w:r>
        <w:rPr>
          <w:spacing w:val="-7"/>
          <w:sz w:val="20"/>
        </w:rPr>
        <w:t> </w:t>
      </w:r>
      <w:r>
        <w:rPr>
          <w:sz w:val="20"/>
        </w:rPr>
        <w:t>Specialist.</w:t>
      </w:r>
    </w:p>
    <w:p>
      <w:pPr>
        <w:pStyle w:val="BodyText"/>
        <w:spacing w:before="7"/>
        <w:rPr>
          <w:sz w:val="17"/>
        </w:rPr>
      </w:pPr>
    </w:p>
    <w:p>
      <w:pPr>
        <w:pStyle w:val="BodyText"/>
        <w:ind w:left="820"/>
      </w:pPr>
      <w:r>
        <w:rPr/>
        <w:t>Immunisations - live vaccines should be avoided. Influenza and pneumococcal vaccines are safe.</w:t>
      </w:r>
    </w:p>
    <w:p>
      <w:pPr>
        <w:pStyle w:val="BodyText"/>
        <w:spacing w:before="1"/>
      </w:pPr>
    </w:p>
    <w:p>
      <w:pPr>
        <w:pStyle w:val="BodyText"/>
        <w:ind w:left="820" w:right="660"/>
        <w:jc w:val="both"/>
      </w:pPr>
      <w:r>
        <w:rPr/>
        <w:t>For a full list of cautions and contraindications, refer to the Summary of Product Characteristics (</w:t>
      </w:r>
      <w:hyperlink r:id="rId10">
        <w:r>
          <w:rPr>
            <w:color w:val="0000FF"/>
            <w:u w:val="single" w:color="0000FF"/>
          </w:rPr>
          <w:t>https://www.medicines.org.uk/emc</w:t>
        </w:r>
      </w:hyperlink>
      <w:r>
        <w:rPr/>
        <w:t>). The National Patient Safety Agency has published actions to reduce the risks associated with oral methotrexate. </w:t>
      </w:r>
      <w:r>
        <w:rPr>
          <w:rFonts w:ascii="Calibri"/>
          <w:sz w:val="22"/>
        </w:rPr>
        <w:t>More </w:t>
      </w:r>
      <w:r>
        <w:rPr/>
        <w:t>recently, </w:t>
      </w:r>
      <w:hyperlink r:id="rId11">
        <w:r>
          <w:rPr>
            <w:color w:val="0000FF"/>
            <w:u w:val="single" w:color="0000FF"/>
          </w:rPr>
          <w:t>the MHRA has issued additional safety measures</w:t>
        </w:r>
        <w:r>
          <w:rPr>
            <w:color w:val="0000FF"/>
          </w:rPr>
          <w:t> </w:t>
        </w:r>
      </w:hyperlink>
      <w:r>
        <w:rPr/>
        <w:t>to reduce the risk of fatal overdose due to inadvertent daily dosing instead of weekly dosing. The MHRA guidance also contains </w:t>
      </w:r>
      <w:hyperlink r:id="rId12">
        <w:r>
          <w:rPr>
            <w:color w:val="0000FF"/>
            <w:u w:val="single" w:color="0000FF"/>
          </w:rPr>
          <w:t>educational materials for healthcare professionals</w:t>
        </w:r>
        <w:r>
          <w:rPr>
            <w:color w:val="0000FF"/>
          </w:rPr>
          <w:t> </w:t>
        </w:r>
      </w:hyperlink>
      <w:r>
        <w:rPr/>
        <w:t>to minimize the risk of overdose.</w:t>
      </w:r>
    </w:p>
    <w:p>
      <w:pPr>
        <w:spacing w:after="0"/>
        <w:jc w:val="both"/>
        <w:sectPr>
          <w:pgSz w:w="11910" w:h="16840"/>
          <w:pgMar w:header="0" w:footer="1240" w:top="1560" w:bottom="1460" w:left="160" w:right="40"/>
        </w:sectPr>
      </w:pPr>
    </w:p>
    <w:p>
      <w:pPr>
        <w:pStyle w:val="Heading1"/>
        <w:tabs>
          <w:tab w:pos="11068" w:val="left" w:leader="none"/>
        </w:tabs>
        <w:spacing w:before="71"/>
      </w:pPr>
      <w:r>
        <w:rPr>
          <w:color w:val="FFFFFF"/>
          <w:shd w:fill="538DD3" w:color="auto" w:val="clear"/>
        </w:rPr>
        <w:t>Monitoring</w:t>
        <w:tab/>
      </w:r>
    </w:p>
    <w:p>
      <w:pPr>
        <w:pStyle w:val="BodyText"/>
        <w:spacing w:before="3"/>
        <w:rPr>
          <w:b/>
          <w:sz w:val="26"/>
        </w:rPr>
      </w:pPr>
    </w:p>
    <w:p>
      <w:pPr>
        <w:pStyle w:val="BodyText"/>
        <w:ind w:left="678" w:right="670"/>
        <w:jc w:val="both"/>
      </w:pPr>
      <w:r>
        <w:rPr/>
        <w:t>Regular</w:t>
      </w:r>
      <w:r>
        <w:rPr>
          <w:spacing w:val="-14"/>
        </w:rPr>
        <w:t> </w:t>
      </w:r>
      <w:r>
        <w:rPr/>
        <w:t>monitoring</w:t>
      </w:r>
      <w:r>
        <w:rPr>
          <w:spacing w:val="-14"/>
        </w:rPr>
        <w:t> </w:t>
      </w:r>
      <w:r>
        <w:rPr/>
        <w:t>according</w:t>
      </w:r>
      <w:r>
        <w:rPr>
          <w:spacing w:val="-13"/>
        </w:rPr>
        <w:t> </w:t>
      </w:r>
      <w:r>
        <w:rPr/>
        <w:t>to</w:t>
      </w:r>
      <w:r>
        <w:rPr>
          <w:spacing w:val="-12"/>
        </w:rPr>
        <w:t> </w:t>
      </w:r>
      <w:r>
        <w:rPr/>
        <w:t>the</w:t>
      </w:r>
      <w:r>
        <w:rPr>
          <w:spacing w:val="-15"/>
        </w:rPr>
        <w:t> </w:t>
      </w:r>
      <w:r>
        <w:rPr/>
        <w:t>BSR/BHPR</w:t>
      </w:r>
      <w:r>
        <w:rPr>
          <w:spacing w:val="-14"/>
        </w:rPr>
        <w:t> </w:t>
      </w:r>
      <w:r>
        <w:rPr/>
        <w:t>guideline</w:t>
      </w:r>
      <w:r>
        <w:rPr>
          <w:spacing w:val="-12"/>
        </w:rPr>
        <w:t> </w:t>
      </w:r>
      <w:r>
        <w:rPr/>
        <w:t>for</w:t>
      </w:r>
      <w:r>
        <w:rPr>
          <w:spacing w:val="-13"/>
        </w:rPr>
        <w:t> </w:t>
      </w:r>
      <w:r>
        <w:rPr/>
        <w:t>disease-modifying</w:t>
      </w:r>
      <w:r>
        <w:rPr>
          <w:spacing w:val="-14"/>
        </w:rPr>
        <w:t> </w:t>
      </w:r>
      <w:r>
        <w:rPr/>
        <w:t>anti-rheumatic</w:t>
      </w:r>
      <w:r>
        <w:rPr>
          <w:spacing w:val="-13"/>
        </w:rPr>
        <w:t> </w:t>
      </w:r>
      <w:r>
        <w:rPr/>
        <w:t>drug</w:t>
      </w:r>
      <w:r>
        <w:rPr>
          <w:spacing w:val="-12"/>
        </w:rPr>
        <w:t> </w:t>
      </w:r>
      <w:r>
        <w:rPr/>
        <w:t>(DMARD)</w:t>
      </w:r>
      <w:r>
        <w:rPr>
          <w:spacing w:val="-14"/>
        </w:rPr>
        <w:t> </w:t>
      </w:r>
      <w:r>
        <w:rPr/>
        <w:t>therapy in</w:t>
      </w:r>
      <w:r>
        <w:rPr>
          <w:spacing w:val="-7"/>
        </w:rPr>
        <w:t> </w:t>
      </w:r>
      <w:r>
        <w:rPr/>
        <w:t>consultation</w:t>
      </w:r>
      <w:r>
        <w:rPr>
          <w:spacing w:val="-6"/>
        </w:rPr>
        <w:t> </w:t>
      </w:r>
      <w:r>
        <w:rPr/>
        <w:t>with</w:t>
      </w:r>
      <w:r>
        <w:rPr>
          <w:spacing w:val="-6"/>
        </w:rPr>
        <w:t> </w:t>
      </w:r>
      <w:r>
        <w:rPr/>
        <w:t>the</w:t>
      </w:r>
      <w:r>
        <w:rPr>
          <w:spacing w:val="-6"/>
        </w:rPr>
        <w:t> </w:t>
      </w:r>
      <w:r>
        <w:rPr/>
        <w:t>British</w:t>
      </w:r>
      <w:r>
        <w:rPr>
          <w:spacing w:val="-7"/>
        </w:rPr>
        <w:t> </w:t>
      </w:r>
      <w:r>
        <w:rPr/>
        <w:t>Association</w:t>
      </w:r>
      <w:r>
        <w:rPr>
          <w:spacing w:val="-6"/>
        </w:rPr>
        <w:t> </w:t>
      </w:r>
      <w:r>
        <w:rPr/>
        <w:t>of</w:t>
      </w:r>
      <w:r>
        <w:rPr>
          <w:spacing w:val="-7"/>
        </w:rPr>
        <w:t> </w:t>
      </w:r>
      <w:r>
        <w:rPr/>
        <w:t>Dermatologists</w:t>
      </w:r>
      <w:r>
        <w:rPr>
          <w:vertAlign w:val="superscript"/>
        </w:rPr>
        <w:t>1</w:t>
      </w:r>
      <w:r>
        <w:rPr>
          <w:spacing w:val="1"/>
          <w:vertAlign w:val="baseline"/>
        </w:rPr>
        <w:t> </w:t>
      </w:r>
      <w:r>
        <w:rPr>
          <w:vertAlign w:val="baseline"/>
        </w:rPr>
        <w:t>during</w:t>
      </w:r>
      <w:r>
        <w:rPr>
          <w:spacing w:val="-7"/>
          <w:vertAlign w:val="baseline"/>
        </w:rPr>
        <w:t> </w:t>
      </w:r>
      <w:r>
        <w:rPr>
          <w:vertAlign w:val="baseline"/>
        </w:rPr>
        <w:t>treatment</w:t>
      </w:r>
      <w:r>
        <w:rPr>
          <w:spacing w:val="-7"/>
          <w:vertAlign w:val="baseline"/>
        </w:rPr>
        <w:t> </w:t>
      </w:r>
      <w:r>
        <w:rPr>
          <w:vertAlign w:val="baseline"/>
        </w:rPr>
        <w:t>is</w:t>
      </w:r>
      <w:r>
        <w:rPr>
          <w:spacing w:val="-6"/>
          <w:vertAlign w:val="baseline"/>
        </w:rPr>
        <w:t> </w:t>
      </w:r>
      <w:r>
        <w:rPr>
          <w:vertAlign w:val="baseline"/>
        </w:rPr>
        <w:t>essential</w:t>
      </w:r>
      <w:r>
        <w:rPr>
          <w:spacing w:val="-6"/>
          <w:vertAlign w:val="baseline"/>
        </w:rPr>
        <w:t> </w:t>
      </w:r>
      <w:r>
        <w:rPr>
          <w:vertAlign w:val="baseline"/>
        </w:rPr>
        <w:t>to</w:t>
      </w:r>
      <w:r>
        <w:rPr>
          <w:spacing w:val="-7"/>
          <w:vertAlign w:val="baseline"/>
        </w:rPr>
        <w:t> </w:t>
      </w:r>
      <w:r>
        <w:rPr>
          <w:vertAlign w:val="baseline"/>
        </w:rPr>
        <w:t>detect</w:t>
      </w:r>
      <w:r>
        <w:rPr>
          <w:spacing w:val="-7"/>
          <w:vertAlign w:val="baseline"/>
        </w:rPr>
        <w:t> </w:t>
      </w:r>
      <w:r>
        <w:rPr>
          <w:vertAlign w:val="baseline"/>
        </w:rPr>
        <w:t>adverse</w:t>
      </w:r>
      <w:r>
        <w:rPr>
          <w:spacing w:val="-9"/>
          <w:vertAlign w:val="baseline"/>
        </w:rPr>
        <w:t> </w:t>
      </w:r>
      <w:r>
        <w:rPr>
          <w:vertAlign w:val="baseline"/>
        </w:rPr>
        <w:t>reactions at</w:t>
      </w:r>
      <w:r>
        <w:rPr>
          <w:spacing w:val="28"/>
          <w:vertAlign w:val="baseline"/>
        </w:rPr>
        <w:t> </w:t>
      </w:r>
      <w:r>
        <w:rPr>
          <w:vertAlign w:val="baseline"/>
        </w:rPr>
        <w:t>an</w:t>
      </w:r>
      <w:r>
        <w:rPr>
          <w:spacing w:val="30"/>
          <w:vertAlign w:val="baseline"/>
        </w:rPr>
        <w:t> </w:t>
      </w:r>
      <w:r>
        <w:rPr>
          <w:vertAlign w:val="baseline"/>
        </w:rPr>
        <w:t>early</w:t>
      </w:r>
      <w:r>
        <w:rPr>
          <w:spacing w:val="31"/>
          <w:vertAlign w:val="baseline"/>
        </w:rPr>
        <w:t> </w:t>
      </w:r>
      <w:r>
        <w:rPr>
          <w:vertAlign w:val="baseline"/>
        </w:rPr>
        <w:t>stage</w:t>
      </w:r>
      <w:r>
        <w:rPr>
          <w:spacing w:val="30"/>
          <w:vertAlign w:val="baseline"/>
        </w:rPr>
        <w:t> </w:t>
      </w:r>
      <w:r>
        <w:rPr>
          <w:vertAlign w:val="baseline"/>
        </w:rPr>
        <w:t>and</w:t>
      </w:r>
      <w:r>
        <w:rPr>
          <w:spacing w:val="29"/>
          <w:vertAlign w:val="baseline"/>
        </w:rPr>
        <w:t> </w:t>
      </w:r>
      <w:r>
        <w:rPr>
          <w:vertAlign w:val="baseline"/>
        </w:rPr>
        <w:t>patients</w:t>
      </w:r>
      <w:r>
        <w:rPr>
          <w:spacing w:val="31"/>
          <w:vertAlign w:val="baseline"/>
        </w:rPr>
        <w:t> </w:t>
      </w:r>
      <w:r>
        <w:rPr>
          <w:vertAlign w:val="baseline"/>
        </w:rPr>
        <w:t>should</w:t>
      </w:r>
      <w:r>
        <w:rPr>
          <w:spacing w:val="27"/>
          <w:vertAlign w:val="baseline"/>
        </w:rPr>
        <w:t> </w:t>
      </w:r>
      <w:r>
        <w:rPr>
          <w:vertAlign w:val="baseline"/>
        </w:rPr>
        <w:t>be</w:t>
      </w:r>
      <w:r>
        <w:rPr>
          <w:spacing w:val="28"/>
          <w:vertAlign w:val="baseline"/>
        </w:rPr>
        <w:t> </w:t>
      </w:r>
      <w:r>
        <w:rPr>
          <w:vertAlign w:val="baseline"/>
        </w:rPr>
        <w:t>counselled</w:t>
      </w:r>
      <w:r>
        <w:rPr>
          <w:spacing w:val="30"/>
          <w:vertAlign w:val="baseline"/>
        </w:rPr>
        <w:t> </w:t>
      </w:r>
      <w:r>
        <w:rPr>
          <w:vertAlign w:val="baseline"/>
        </w:rPr>
        <w:t>about</w:t>
      </w:r>
      <w:r>
        <w:rPr>
          <w:spacing w:val="29"/>
          <w:vertAlign w:val="baseline"/>
        </w:rPr>
        <w:t> </w:t>
      </w:r>
      <w:r>
        <w:rPr>
          <w:vertAlign w:val="baseline"/>
        </w:rPr>
        <w:t>the</w:t>
      </w:r>
      <w:r>
        <w:rPr>
          <w:spacing w:val="30"/>
          <w:vertAlign w:val="baseline"/>
        </w:rPr>
        <w:t> </w:t>
      </w:r>
      <w:r>
        <w:rPr>
          <w:vertAlign w:val="baseline"/>
        </w:rPr>
        <w:t>risk</w:t>
      </w:r>
      <w:r>
        <w:rPr>
          <w:spacing w:val="31"/>
          <w:vertAlign w:val="baseline"/>
        </w:rPr>
        <w:t> </w:t>
      </w:r>
      <w:r>
        <w:rPr>
          <w:vertAlign w:val="baseline"/>
        </w:rPr>
        <w:t>factors</w:t>
      </w:r>
      <w:r>
        <w:rPr>
          <w:spacing w:val="30"/>
          <w:vertAlign w:val="baseline"/>
        </w:rPr>
        <w:t> </w:t>
      </w:r>
      <w:r>
        <w:rPr>
          <w:vertAlign w:val="baseline"/>
        </w:rPr>
        <w:t>and</w:t>
      </w:r>
      <w:r>
        <w:rPr>
          <w:spacing w:val="28"/>
          <w:vertAlign w:val="baseline"/>
        </w:rPr>
        <w:t> </w:t>
      </w:r>
      <w:r>
        <w:rPr>
          <w:vertAlign w:val="baseline"/>
        </w:rPr>
        <w:t>to</w:t>
      </w:r>
      <w:r>
        <w:rPr>
          <w:spacing w:val="29"/>
          <w:vertAlign w:val="baseline"/>
        </w:rPr>
        <w:t> </w:t>
      </w:r>
      <w:r>
        <w:rPr>
          <w:vertAlign w:val="baseline"/>
        </w:rPr>
        <w:t>report</w:t>
      </w:r>
      <w:r>
        <w:rPr>
          <w:spacing w:val="28"/>
          <w:vertAlign w:val="baseline"/>
        </w:rPr>
        <w:t> </w:t>
      </w:r>
      <w:r>
        <w:rPr>
          <w:vertAlign w:val="baseline"/>
        </w:rPr>
        <w:t>all</w:t>
      </w:r>
      <w:r>
        <w:rPr>
          <w:spacing w:val="30"/>
          <w:vertAlign w:val="baseline"/>
        </w:rPr>
        <w:t> </w:t>
      </w:r>
      <w:r>
        <w:rPr>
          <w:vertAlign w:val="baseline"/>
        </w:rPr>
        <w:t>signs</w:t>
      </w:r>
      <w:r>
        <w:rPr>
          <w:spacing w:val="29"/>
          <w:vertAlign w:val="baseline"/>
        </w:rPr>
        <w:t> </w:t>
      </w:r>
      <w:r>
        <w:rPr>
          <w:vertAlign w:val="baseline"/>
        </w:rPr>
        <w:t>and</w:t>
      </w:r>
      <w:r>
        <w:rPr>
          <w:spacing w:val="-3"/>
          <w:vertAlign w:val="baseline"/>
        </w:rPr>
        <w:t> </w:t>
      </w:r>
      <w:r>
        <w:rPr>
          <w:vertAlign w:val="baseline"/>
        </w:rPr>
        <w:t>symptoms</w:t>
      </w:r>
    </w:p>
    <w:p>
      <w:pPr>
        <w:pStyle w:val="BodyText"/>
        <w:spacing w:line="212" w:lineRule="exact"/>
        <w:ind w:left="678"/>
      </w:pPr>
      <w:r>
        <w:rPr/>
        <w:t>of toxicity.</w:t>
      </w:r>
    </w:p>
    <w:p>
      <w:pPr>
        <w:pStyle w:val="ListParagraph"/>
        <w:numPr>
          <w:ilvl w:val="2"/>
          <w:numId w:val="6"/>
        </w:numPr>
        <w:tabs>
          <w:tab w:pos="1530" w:val="left" w:leader="none"/>
        </w:tabs>
        <w:spacing w:line="240" w:lineRule="auto" w:before="99" w:after="0"/>
        <w:ind w:left="1529" w:right="2507" w:hanging="425"/>
        <w:jc w:val="both"/>
        <w:rPr>
          <w:rFonts w:ascii="Symbol" w:hAnsi="Symbol"/>
          <w:sz w:val="20"/>
        </w:rPr>
      </w:pPr>
      <w:r>
        <w:rPr>
          <w:sz w:val="20"/>
        </w:rPr>
        <w:t>FBC, U&amp;Es, creatinine, LFTs and chest X-ray should be measured before starting treatment.</w:t>
      </w:r>
    </w:p>
    <w:p>
      <w:pPr>
        <w:pStyle w:val="ListParagraph"/>
        <w:numPr>
          <w:ilvl w:val="2"/>
          <w:numId w:val="6"/>
        </w:numPr>
        <w:tabs>
          <w:tab w:pos="1530" w:val="left" w:leader="none"/>
        </w:tabs>
        <w:spacing w:line="240" w:lineRule="auto" w:before="0" w:after="0"/>
        <w:ind w:left="1529" w:right="2507" w:hanging="425"/>
        <w:jc w:val="both"/>
        <w:rPr>
          <w:rFonts w:ascii="Symbol" w:hAnsi="Symbol"/>
          <w:sz w:val="20"/>
        </w:rPr>
      </w:pPr>
      <w:r>
        <w:rPr>
          <w:sz w:val="20"/>
        </w:rPr>
        <w:t>FBC, U&amp;Es and LFTs should then be monitored fortnightly until dose of methotrexate and</w:t>
      </w:r>
      <w:r>
        <w:rPr>
          <w:spacing w:val="1"/>
          <w:sz w:val="20"/>
        </w:rPr>
        <w:t> </w:t>
      </w:r>
      <w:r>
        <w:rPr>
          <w:sz w:val="20"/>
        </w:rPr>
        <w:t>monitoring</w:t>
      </w:r>
      <w:r>
        <w:rPr>
          <w:spacing w:val="1"/>
          <w:sz w:val="20"/>
        </w:rPr>
        <w:t> </w:t>
      </w:r>
      <w:r>
        <w:rPr>
          <w:sz w:val="20"/>
        </w:rPr>
        <w:t>is</w:t>
      </w:r>
      <w:r>
        <w:rPr>
          <w:spacing w:val="1"/>
          <w:sz w:val="20"/>
        </w:rPr>
        <w:t> </w:t>
      </w:r>
      <w:r>
        <w:rPr>
          <w:sz w:val="20"/>
        </w:rPr>
        <w:t>stable</w:t>
      </w:r>
      <w:r>
        <w:rPr>
          <w:spacing w:val="-11"/>
          <w:sz w:val="20"/>
        </w:rPr>
        <w:t> </w:t>
      </w:r>
      <w:r>
        <w:rPr>
          <w:sz w:val="20"/>
        </w:rPr>
        <w:t>for</w:t>
      </w:r>
      <w:r>
        <w:rPr>
          <w:spacing w:val="-9"/>
          <w:sz w:val="20"/>
        </w:rPr>
        <w:t> </w:t>
      </w:r>
      <w:r>
        <w:rPr>
          <w:sz w:val="20"/>
        </w:rPr>
        <w:t>6</w:t>
      </w:r>
      <w:r>
        <w:rPr>
          <w:spacing w:val="-11"/>
          <w:sz w:val="20"/>
        </w:rPr>
        <w:t> </w:t>
      </w:r>
      <w:r>
        <w:rPr>
          <w:sz w:val="20"/>
        </w:rPr>
        <w:t>weeks,</w:t>
      </w:r>
      <w:r>
        <w:rPr>
          <w:spacing w:val="-9"/>
          <w:sz w:val="20"/>
        </w:rPr>
        <w:t> </w:t>
      </w:r>
      <w:r>
        <w:rPr>
          <w:sz w:val="20"/>
        </w:rPr>
        <w:t>then</w:t>
      </w:r>
      <w:r>
        <w:rPr>
          <w:spacing w:val="-10"/>
          <w:sz w:val="20"/>
        </w:rPr>
        <w:t> </w:t>
      </w:r>
      <w:r>
        <w:rPr>
          <w:sz w:val="20"/>
        </w:rPr>
        <w:t>monthly</w:t>
      </w:r>
      <w:r>
        <w:rPr>
          <w:spacing w:val="-9"/>
          <w:sz w:val="20"/>
        </w:rPr>
        <w:t> </w:t>
      </w:r>
      <w:r>
        <w:rPr>
          <w:sz w:val="20"/>
        </w:rPr>
        <w:t>thereafter</w:t>
      </w:r>
      <w:r>
        <w:rPr>
          <w:spacing w:val="-9"/>
          <w:sz w:val="20"/>
        </w:rPr>
        <w:t> </w:t>
      </w:r>
      <w:r>
        <w:rPr>
          <w:sz w:val="20"/>
        </w:rPr>
        <w:t>until</w:t>
      </w:r>
      <w:r>
        <w:rPr>
          <w:spacing w:val="-9"/>
          <w:sz w:val="20"/>
        </w:rPr>
        <w:t> </w:t>
      </w:r>
      <w:r>
        <w:rPr>
          <w:sz w:val="20"/>
        </w:rPr>
        <w:t>the</w:t>
      </w:r>
      <w:r>
        <w:rPr>
          <w:spacing w:val="-9"/>
          <w:sz w:val="20"/>
        </w:rPr>
        <w:t> </w:t>
      </w:r>
      <w:r>
        <w:rPr>
          <w:sz w:val="20"/>
        </w:rPr>
        <w:t>dose</w:t>
      </w:r>
      <w:r>
        <w:rPr>
          <w:spacing w:val="-10"/>
          <w:sz w:val="20"/>
        </w:rPr>
        <w:t> </w:t>
      </w:r>
      <w:r>
        <w:rPr>
          <w:sz w:val="20"/>
        </w:rPr>
        <w:t>and</w:t>
      </w:r>
      <w:r>
        <w:rPr>
          <w:spacing w:val="-10"/>
          <w:sz w:val="20"/>
        </w:rPr>
        <w:t> </w:t>
      </w:r>
      <w:r>
        <w:rPr>
          <w:sz w:val="20"/>
        </w:rPr>
        <w:t>disease is stable for 1</w:t>
      </w:r>
      <w:r>
        <w:rPr>
          <w:spacing w:val="5"/>
          <w:sz w:val="20"/>
        </w:rPr>
        <w:t> </w:t>
      </w:r>
      <w:r>
        <w:rPr>
          <w:sz w:val="20"/>
        </w:rPr>
        <w:t>year.</w:t>
      </w:r>
    </w:p>
    <w:p>
      <w:pPr>
        <w:pStyle w:val="ListParagraph"/>
        <w:numPr>
          <w:ilvl w:val="2"/>
          <w:numId w:val="6"/>
        </w:numPr>
        <w:tabs>
          <w:tab w:pos="1530" w:val="left" w:leader="none"/>
        </w:tabs>
        <w:spacing w:line="240" w:lineRule="auto" w:before="0" w:after="0"/>
        <w:ind w:left="1529" w:right="2506" w:hanging="425"/>
        <w:jc w:val="both"/>
        <w:rPr>
          <w:rFonts w:ascii="Symbol" w:hAnsi="Symbol"/>
          <w:sz w:val="20"/>
        </w:rPr>
      </w:pPr>
      <w:r>
        <w:rPr>
          <w:sz w:val="20"/>
        </w:rPr>
        <w:t>Thereafter, the monitoring may be reduced in frequency to every two to three months, based on clinical judgement with due consideration for risk factors including age, co- morbidity, renal impairment,</w:t>
      </w:r>
      <w:r>
        <w:rPr>
          <w:spacing w:val="-2"/>
          <w:sz w:val="20"/>
        </w:rPr>
        <w:t> </w:t>
      </w:r>
      <w:r>
        <w:rPr>
          <w:sz w:val="20"/>
        </w:rPr>
        <w:t>etc.</w:t>
      </w:r>
    </w:p>
    <w:p>
      <w:pPr>
        <w:pStyle w:val="BodyText"/>
        <w:spacing w:before="179"/>
        <w:ind w:left="678" w:right="751"/>
      </w:pPr>
      <w:r>
        <w:rPr/>
        <w:t>(NB.</w:t>
      </w:r>
      <w:r>
        <w:rPr>
          <w:spacing w:val="-10"/>
        </w:rPr>
        <w:t> </w:t>
      </w:r>
      <w:r>
        <w:rPr/>
        <w:t>The</w:t>
      </w:r>
      <w:r>
        <w:rPr>
          <w:spacing w:val="-9"/>
        </w:rPr>
        <w:t> </w:t>
      </w:r>
      <w:r>
        <w:rPr/>
        <w:t>frequency</w:t>
      </w:r>
      <w:r>
        <w:rPr>
          <w:spacing w:val="-9"/>
        </w:rPr>
        <w:t> </w:t>
      </w:r>
      <w:r>
        <w:rPr/>
        <w:t>of</w:t>
      </w:r>
      <w:r>
        <w:rPr>
          <w:spacing w:val="-9"/>
        </w:rPr>
        <w:t> </w:t>
      </w:r>
      <w:r>
        <w:rPr/>
        <w:t>monitoring</w:t>
      </w:r>
      <w:r>
        <w:rPr>
          <w:spacing w:val="-8"/>
        </w:rPr>
        <w:t> </w:t>
      </w:r>
      <w:r>
        <w:rPr/>
        <w:t>advised</w:t>
      </w:r>
      <w:r>
        <w:rPr>
          <w:spacing w:val="-9"/>
        </w:rPr>
        <w:t> </w:t>
      </w:r>
      <w:r>
        <w:rPr/>
        <w:t>by</w:t>
      </w:r>
      <w:r>
        <w:rPr>
          <w:spacing w:val="-8"/>
        </w:rPr>
        <w:t> </w:t>
      </w:r>
      <w:r>
        <w:rPr/>
        <w:t>the</w:t>
      </w:r>
      <w:r>
        <w:rPr>
          <w:spacing w:val="-9"/>
        </w:rPr>
        <w:t> </w:t>
      </w:r>
      <w:r>
        <w:rPr/>
        <w:t>specialist</w:t>
      </w:r>
      <w:r>
        <w:rPr>
          <w:spacing w:val="-9"/>
        </w:rPr>
        <w:t> </w:t>
      </w:r>
      <w:r>
        <w:rPr/>
        <w:t>to</w:t>
      </w:r>
      <w:r>
        <w:rPr>
          <w:spacing w:val="-8"/>
        </w:rPr>
        <w:t> </w:t>
      </w:r>
      <w:r>
        <w:rPr/>
        <w:t>the</w:t>
      </w:r>
      <w:r>
        <w:rPr>
          <w:spacing w:val="-9"/>
        </w:rPr>
        <w:t> </w:t>
      </w:r>
      <w:r>
        <w:rPr/>
        <w:t>GP</w:t>
      </w:r>
      <w:r>
        <w:rPr>
          <w:spacing w:val="-9"/>
        </w:rPr>
        <w:t> </w:t>
      </w:r>
      <w:r>
        <w:rPr/>
        <w:t>may</w:t>
      </w:r>
      <w:r>
        <w:rPr>
          <w:spacing w:val="-9"/>
        </w:rPr>
        <w:t> </w:t>
      </w:r>
      <w:r>
        <w:rPr/>
        <w:t>vary</w:t>
      </w:r>
      <w:r>
        <w:rPr>
          <w:spacing w:val="-8"/>
        </w:rPr>
        <w:t> </w:t>
      </w:r>
      <w:r>
        <w:rPr/>
        <w:t>from</w:t>
      </w:r>
      <w:r>
        <w:rPr>
          <w:spacing w:val="-8"/>
        </w:rPr>
        <w:t> </w:t>
      </w:r>
      <w:r>
        <w:rPr/>
        <w:t>the</w:t>
      </w:r>
      <w:r>
        <w:rPr>
          <w:spacing w:val="-9"/>
        </w:rPr>
        <w:t> </w:t>
      </w:r>
      <w:r>
        <w:rPr/>
        <w:t>above</w:t>
      </w:r>
      <w:r>
        <w:rPr>
          <w:spacing w:val="-10"/>
        </w:rPr>
        <w:t> </w:t>
      </w:r>
      <w:r>
        <w:rPr/>
        <w:t>recommendations depending on patient factors. Check with specialist if</w:t>
      </w:r>
      <w:r>
        <w:rPr>
          <w:spacing w:val="-9"/>
        </w:rPr>
        <w:t> </w:t>
      </w:r>
      <w:r>
        <w:rPr/>
        <w:t>required)</w:t>
      </w:r>
    </w:p>
    <w:p>
      <w:pPr>
        <w:pStyle w:val="BodyText"/>
        <w:spacing w:before="158"/>
        <w:ind w:left="1246"/>
      </w:pPr>
      <w:r>
        <w:rPr/>
        <w:t>The following threshold laboratory values and symptoms require action as detailed in the table below.</w:t>
      </w:r>
    </w:p>
    <w:p>
      <w:pPr>
        <w:pStyle w:val="BodyText"/>
        <w:spacing w:before="4"/>
        <w:rPr>
          <w:sz w:val="15"/>
        </w:rPr>
      </w:pPr>
    </w:p>
    <w:tbl>
      <w:tblPr>
        <w:tblW w:w="0" w:type="auto"/>
        <w:jc w:val="left"/>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6520"/>
      </w:tblGrid>
      <w:tr>
        <w:trPr>
          <w:trHeight w:val="230" w:hRule="atLeast"/>
        </w:trPr>
        <w:tc>
          <w:tcPr>
            <w:tcW w:w="3402" w:type="dxa"/>
            <w:shd w:val="clear" w:color="auto" w:fill="538DD3"/>
          </w:tcPr>
          <w:p>
            <w:pPr>
              <w:pStyle w:val="TableParagraph"/>
              <w:spacing w:line="210" w:lineRule="exact"/>
              <w:ind w:left="106"/>
              <w:rPr>
                <w:b/>
                <w:sz w:val="20"/>
              </w:rPr>
            </w:pPr>
            <w:r>
              <w:rPr>
                <w:b/>
                <w:color w:val="FFFFFF"/>
                <w:sz w:val="20"/>
              </w:rPr>
              <w:t>Monitoring parameter</w:t>
            </w:r>
          </w:p>
        </w:tc>
        <w:tc>
          <w:tcPr>
            <w:tcW w:w="6520" w:type="dxa"/>
            <w:shd w:val="clear" w:color="auto" w:fill="538DD3"/>
          </w:tcPr>
          <w:p>
            <w:pPr>
              <w:pStyle w:val="TableParagraph"/>
              <w:spacing w:line="210" w:lineRule="exact"/>
              <w:ind w:left="106"/>
              <w:rPr>
                <w:b/>
                <w:sz w:val="20"/>
              </w:rPr>
            </w:pPr>
            <w:r>
              <w:rPr>
                <w:b/>
                <w:color w:val="FFFFFF"/>
                <w:sz w:val="20"/>
              </w:rPr>
              <w:t>Action to be taken if changed</w:t>
            </w:r>
          </w:p>
        </w:tc>
      </w:tr>
      <w:tr>
        <w:trPr>
          <w:trHeight w:val="483" w:hRule="atLeast"/>
        </w:trPr>
        <w:tc>
          <w:tcPr>
            <w:tcW w:w="3402" w:type="dxa"/>
          </w:tcPr>
          <w:p>
            <w:pPr>
              <w:pStyle w:val="TableParagraph"/>
              <w:spacing w:line="223" w:lineRule="exact"/>
              <w:ind w:left="106"/>
              <w:rPr>
                <w:sz w:val="20"/>
              </w:rPr>
            </w:pPr>
            <w:r>
              <w:rPr>
                <w:sz w:val="20"/>
              </w:rPr>
              <w:t>WBC &lt;3.5x10^9/L</w:t>
            </w:r>
          </w:p>
        </w:tc>
        <w:tc>
          <w:tcPr>
            <w:tcW w:w="6520" w:type="dxa"/>
          </w:tcPr>
          <w:p>
            <w:pPr>
              <w:pStyle w:val="TableParagraph"/>
              <w:spacing w:line="223" w:lineRule="exact"/>
              <w:ind w:left="106"/>
              <w:rPr>
                <w:sz w:val="20"/>
              </w:rPr>
            </w:pPr>
            <w:r>
              <w:rPr>
                <w:sz w:val="20"/>
              </w:rPr>
              <w:t>Withhold methotrexate </w:t>
            </w:r>
            <w:r>
              <w:rPr>
                <w:i/>
                <w:sz w:val="20"/>
                <w:u w:val="single"/>
              </w:rPr>
              <w:t>until discussed</w:t>
            </w:r>
            <w:r>
              <w:rPr>
                <w:i/>
                <w:sz w:val="20"/>
              </w:rPr>
              <w:t> </w:t>
            </w:r>
            <w:r>
              <w:rPr>
                <w:sz w:val="20"/>
              </w:rPr>
              <w:t>with specialist</w:t>
            </w:r>
          </w:p>
        </w:tc>
      </w:tr>
      <w:tr>
        <w:trPr>
          <w:trHeight w:val="548" w:hRule="atLeast"/>
        </w:trPr>
        <w:tc>
          <w:tcPr>
            <w:tcW w:w="3402" w:type="dxa"/>
          </w:tcPr>
          <w:p>
            <w:pPr>
              <w:pStyle w:val="TableParagraph"/>
              <w:spacing w:line="223" w:lineRule="exact"/>
              <w:ind w:left="106"/>
              <w:rPr>
                <w:sz w:val="20"/>
              </w:rPr>
            </w:pPr>
            <w:r>
              <w:rPr>
                <w:sz w:val="20"/>
              </w:rPr>
              <w:t>Neutrophils&lt;2.0x10^9/L</w:t>
            </w:r>
          </w:p>
        </w:tc>
        <w:tc>
          <w:tcPr>
            <w:tcW w:w="6520" w:type="dxa"/>
          </w:tcPr>
          <w:p>
            <w:pPr>
              <w:pStyle w:val="TableParagraph"/>
              <w:spacing w:line="223" w:lineRule="exact"/>
              <w:rPr>
                <w:sz w:val="20"/>
              </w:rPr>
            </w:pPr>
            <w:r>
              <w:rPr>
                <w:sz w:val="20"/>
              </w:rPr>
              <w:t>Withhold methotrexate </w:t>
            </w:r>
            <w:r>
              <w:rPr>
                <w:i/>
                <w:sz w:val="20"/>
                <w:u w:val="single"/>
              </w:rPr>
              <w:t>until discussed</w:t>
            </w:r>
            <w:r>
              <w:rPr>
                <w:i/>
                <w:sz w:val="20"/>
              </w:rPr>
              <w:t> </w:t>
            </w:r>
            <w:r>
              <w:rPr>
                <w:sz w:val="20"/>
              </w:rPr>
              <w:t>with specialist</w:t>
            </w:r>
          </w:p>
        </w:tc>
      </w:tr>
      <w:tr>
        <w:trPr>
          <w:trHeight w:val="556" w:hRule="atLeast"/>
        </w:trPr>
        <w:tc>
          <w:tcPr>
            <w:tcW w:w="3402" w:type="dxa"/>
          </w:tcPr>
          <w:p>
            <w:pPr>
              <w:pStyle w:val="TableParagraph"/>
              <w:spacing w:line="223" w:lineRule="exact"/>
              <w:ind w:left="106"/>
              <w:rPr>
                <w:sz w:val="20"/>
              </w:rPr>
            </w:pPr>
            <w:r>
              <w:rPr>
                <w:sz w:val="20"/>
              </w:rPr>
              <w:t>Platelets&lt;150x10^9 /L</w:t>
            </w:r>
          </w:p>
        </w:tc>
        <w:tc>
          <w:tcPr>
            <w:tcW w:w="6520" w:type="dxa"/>
          </w:tcPr>
          <w:p>
            <w:pPr>
              <w:pStyle w:val="TableParagraph"/>
              <w:spacing w:line="223" w:lineRule="exact"/>
              <w:rPr>
                <w:sz w:val="20"/>
              </w:rPr>
            </w:pPr>
            <w:r>
              <w:rPr>
                <w:sz w:val="20"/>
              </w:rPr>
              <w:t>Withhold methotrexate </w:t>
            </w:r>
            <w:r>
              <w:rPr>
                <w:i/>
                <w:sz w:val="20"/>
                <w:u w:val="single"/>
              </w:rPr>
              <w:t>until discussed</w:t>
            </w:r>
            <w:r>
              <w:rPr>
                <w:i/>
                <w:sz w:val="20"/>
              </w:rPr>
              <w:t> </w:t>
            </w:r>
            <w:r>
              <w:rPr>
                <w:sz w:val="20"/>
              </w:rPr>
              <w:t>with specialist</w:t>
            </w:r>
          </w:p>
        </w:tc>
      </w:tr>
      <w:tr>
        <w:trPr>
          <w:trHeight w:val="512" w:hRule="atLeast"/>
        </w:trPr>
        <w:tc>
          <w:tcPr>
            <w:tcW w:w="3402" w:type="dxa"/>
          </w:tcPr>
          <w:p>
            <w:pPr>
              <w:pStyle w:val="TableParagraph"/>
              <w:spacing w:line="235" w:lineRule="auto"/>
              <w:ind w:left="106"/>
              <w:rPr>
                <w:sz w:val="20"/>
              </w:rPr>
            </w:pPr>
            <w:r>
              <w:rPr>
                <w:sz w:val="20"/>
              </w:rPr>
              <w:t>AST, ALT &gt; twice upper limit of reference range</w:t>
            </w:r>
          </w:p>
        </w:tc>
        <w:tc>
          <w:tcPr>
            <w:tcW w:w="6520" w:type="dxa"/>
          </w:tcPr>
          <w:p>
            <w:pPr>
              <w:pStyle w:val="TableParagraph"/>
              <w:spacing w:line="223" w:lineRule="exact"/>
              <w:ind w:left="106"/>
              <w:rPr>
                <w:sz w:val="20"/>
              </w:rPr>
            </w:pPr>
            <w:r>
              <w:rPr>
                <w:sz w:val="20"/>
              </w:rPr>
              <w:t>Withhold methotrexate </w:t>
            </w:r>
            <w:r>
              <w:rPr>
                <w:i/>
                <w:sz w:val="20"/>
                <w:u w:val="single"/>
              </w:rPr>
              <w:t>until discussed</w:t>
            </w:r>
            <w:r>
              <w:rPr>
                <w:i/>
                <w:sz w:val="20"/>
              </w:rPr>
              <w:t> </w:t>
            </w:r>
            <w:r>
              <w:rPr>
                <w:sz w:val="20"/>
              </w:rPr>
              <w:t>with specialist</w:t>
            </w:r>
          </w:p>
        </w:tc>
      </w:tr>
      <w:tr>
        <w:trPr>
          <w:trHeight w:val="460" w:hRule="atLeast"/>
        </w:trPr>
        <w:tc>
          <w:tcPr>
            <w:tcW w:w="3402" w:type="dxa"/>
          </w:tcPr>
          <w:p>
            <w:pPr>
              <w:pStyle w:val="TableParagraph"/>
              <w:spacing w:line="226" w:lineRule="exact" w:before="1"/>
              <w:ind w:left="106"/>
              <w:rPr>
                <w:sz w:val="20"/>
              </w:rPr>
            </w:pPr>
            <w:r>
              <w:rPr>
                <w:sz w:val="20"/>
              </w:rPr>
              <w:t>Unexplained fall in albumin (in absence of active disease)</w:t>
            </w:r>
          </w:p>
        </w:tc>
        <w:tc>
          <w:tcPr>
            <w:tcW w:w="6520" w:type="dxa"/>
          </w:tcPr>
          <w:p>
            <w:pPr>
              <w:pStyle w:val="TableParagraph"/>
              <w:spacing w:line="225" w:lineRule="exact"/>
              <w:ind w:left="106"/>
              <w:rPr>
                <w:sz w:val="20"/>
              </w:rPr>
            </w:pPr>
            <w:r>
              <w:rPr>
                <w:sz w:val="20"/>
              </w:rPr>
              <w:t>Withhold methotrexate </w:t>
            </w:r>
            <w:r>
              <w:rPr>
                <w:i/>
                <w:sz w:val="20"/>
                <w:u w:val="single"/>
              </w:rPr>
              <w:t>until discussed</w:t>
            </w:r>
            <w:r>
              <w:rPr>
                <w:i/>
                <w:sz w:val="20"/>
              </w:rPr>
              <w:t> </w:t>
            </w:r>
            <w:r>
              <w:rPr>
                <w:sz w:val="20"/>
              </w:rPr>
              <w:t>with specialist</w:t>
            </w:r>
          </w:p>
        </w:tc>
      </w:tr>
      <w:tr>
        <w:trPr>
          <w:trHeight w:val="460" w:hRule="atLeast"/>
        </w:trPr>
        <w:tc>
          <w:tcPr>
            <w:tcW w:w="3402" w:type="dxa"/>
          </w:tcPr>
          <w:p>
            <w:pPr>
              <w:pStyle w:val="TableParagraph"/>
              <w:spacing w:line="222" w:lineRule="exact"/>
              <w:ind w:left="106"/>
              <w:rPr>
                <w:sz w:val="20"/>
              </w:rPr>
            </w:pPr>
            <w:r>
              <w:rPr>
                <w:sz w:val="20"/>
              </w:rPr>
              <w:t>Rash or oral ulceration, nausea and</w:t>
            </w:r>
          </w:p>
          <w:p>
            <w:pPr>
              <w:pStyle w:val="TableParagraph"/>
              <w:spacing w:line="219" w:lineRule="exact"/>
              <w:ind w:left="106"/>
              <w:rPr>
                <w:sz w:val="20"/>
              </w:rPr>
            </w:pPr>
            <w:r>
              <w:rPr>
                <w:sz w:val="20"/>
              </w:rPr>
              <w:t>vomiting, diarrhoea</w:t>
            </w:r>
          </w:p>
        </w:tc>
        <w:tc>
          <w:tcPr>
            <w:tcW w:w="6520" w:type="dxa"/>
          </w:tcPr>
          <w:p>
            <w:pPr>
              <w:pStyle w:val="TableParagraph"/>
              <w:spacing w:line="223" w:lineRule="exact"/>
              <w:ind w:left="106"/>
              <w:rPr>
                <w:sz w:val="20"/>
              </w:rPr>
            </w:pPr>
            <w:r>
              <w:rPr>
                <w:sz w:val="20"/>
              </w:rPr>
              <w:t>Withhold methotrexate </w:t>
            </w:r>
            <w:r>
              <w:rPr>
                <w:i/>
                <w:sz w:val="20"/>
                <w:u w:val="single"/>
              </w:rPr>
              <w:t>until discussed</w:t>
            </w:r>
            <w:r>
              <w:rPr>
                <w:i/>
                <w:sz w:val="20"/>
              </w:rPr>
              <w:t> </w:t>
            </w:r>
            <w:r>
              <w:rPr>
                <w:sz w:val="20"/>
              </w:rPr>
              <w:t>with specialist</w:t>
            </w:r>
          </w:p>
        </w:tc>
      </w:tr>
      <w:tr>
        <w:trPr>
          <w:trHeight w:val="464" w:hRule="atLeast"/>
        </w:trPr>
        <w:tc>
          <w:tcPr>
            <w:tcW w:w="3402" w:type="dxa"/>
          </w:tcPr>
          <w:p>
            <w:pPr>
              <w:pStyle w:val="TableParagraph"/>
              <w:spacing w:line="230" w:lineRule="exact"/>
              <w:ind w:left="106"/>
              <w:rPr>
                <w:sz w:val="20"/>
              </w:rPr>
            </w:pPr>
            <w:r>
              <w:rPr>
                <w:sz w:val="20"/>
              </w:rPr>
              <w:t>New or increasing dyspnoea or dry cough</w:t>
            </w:r>
          </w:p>
        </w:tc>
        <w:tc>
          <w:tcPr>
            <w:tcW w:w="6520" w:type="dxa"/>
          </w:tcPr>
          <w:p>
            <w:pPr>
              <w:pStyle w:val="TableParagraph"/>
              <w:spacing w:line="223" w:lineRule="exact"/>
              <w:ind w:left="106"/>
              <w:rPr>
                <w:sz w:val="20"/>
              </w:rPr>
            </w:pPr>
            <w:r>
              <w:rPr>
                <w:sz w:val="20"/>
              </w:rPr>
              <w:t>Withhold methotrexate and discuss </w:t>
            </w:r>
            <w:r>
              <w:rPr>
                <w:b/>
                <w:sz w:val="20"/>
              </w:rPr>
              <w:t>urgently </w:t>
            </w:r>
            <w:r>
              <w:rPr>
                <w:sz w:val="20"/>
              </w:rPr>
              <w:t>with specialist</w:t>
            </w:r>
          </w:p>
        </w:tc>
      </w:tr>
      <w:tr>
        <w:trPr>
          <w:trHeight w:val="459" w:hRule="atLeast"/>
        </w:trPr>
        <w:tc>
          <w:tcPr>
            <w:tcW w:w="3402" w:type="dxa"/>
          </w:tcPr>
          <w:p>
            <w:pPr>
              <w:pStyle w:val="TableParagraph"/>
              <w:spacing w:line="223" w:lineRule="exact"/>
              <w:ind w:left="106"/>
              <w:rPr>
                <w:sz w:val="20"/>
              </w:rPr>
            </w:pPr>
            <w:r>
              <w:rPr>
                <w:sz w:val="20"/>
              </w:rPr>
              <w:t>MCV&gt;105fl</w:t>
            </w:r>
          </w:p>
        </w:tc>
        <w:tc>
          <w:tcPr>
            <w:tcW w:w="6520" w:type="dxa"/>
          </w:tcPr>
          <w:p>
            <w:pPr>
              <w:pStyle w:val="TableParagraph"/>
              <w:spacing w:line="226" w:lineRule="exact"/>
              <w:rPr>
                <w:sz w:val="20"/>
              </w:rPr>
            </w:pPr>
            <w:r>
              <w:rPr>
                <w:sz w:val="20"/>
              </w:rPr>
              <w:t>Withhold and check serum B12, folate and TFT and discuss with specialist team if necessary</w:t>
            </w:r>
          </w:p>
        </w:tc>
      </w:tr>
      <w:tr>
        <w:trPr>
          <w:trHeight w:val="459" w:hRule="atLeast"/>
        </w:trPr>
        <w:tc>
          <w:tcPr>
            <w:tcW w:w="3402" w:type="dxa"/>
          </w:tcPr>
          <w:p>
            <w:pPr>
              <w:pStyle w:val="TableParagraph"/>
              <w:spacing w:line="230" w:lineRule="exact"/>
              <w:ind w:left="106"/>
              <w:rPr>
                <w:sz w:val="20"/>
              </w:rPr>
            </w:pPr>
            <w:r>
              <w:rPr>
                <w:sz w:val="20"/>
              </w:rPr>
              <w:t>Significant deterioration in renal function</w:t>
            </w:r>
          </w:p>
        </w:tc>
        <w:tc>
          <w:tcPr>
            <w:tcW w:w="6520" w:type="dxa"/>
          </w:tcPr>
          <w:p>
            <w:pPr>
              <w:pStyle w:val="TableParagraph"/>
              <w:spacing w:line="225" w:lineRule="exact"/>
              <w:ind w:left="106"/>
              <w:rPr>
                <w:sz w:val="20"/>
              </w:rPr>
            </w:pPr>
            <w:r>
              <w:rPr>
                <w:sz w:val="20"/>
              </w:rPr>
              <w:t>Withhold methotrexate </w:t>
            </w:r>
            <w:r>
              <w:rPr>
                <w:i/>
                <w:sz w:val="20"/>
                <w:u w:val="single"/>
              </w:rPr>
              <w:t>until discussed</w:t>
            </w:r>
            <w:r>
              <w:rPr>
                <w:i/>
                <w:sz w:val="20"/>
              </w:rPr>
              <w:t> </w:t>
            </w:r>
            <w:r>
              <w:rPr>
                <w:sz w:val="20"/>
              </w:rPr>
              <w:t>with specialist</w:t>
            </w:r>
          </w:p>
        </w:tc>
      </w:tr>
      <w:tr>
        <w:trPr>
          <w:trHeight w:val="459" w:hRule="atLeast"/>
        </w:trPr>
        <w:tc>
          <w:tcPr>
            <w:tcW w:w="3402" w:type="dxa"/>
          </w:tcPr>
          <w:p>
            <w:pPr>
              <w:pStyle w:val="TableParagraph"/>
              <w:spacing w:line="224" w:lineRule="exact"/>
              <w:ind w:left="106"/>
              <w:rPr>
                <w:sz w:val="20"/>
              </w:rPr>
            </w:pPr>
            <w:r>
              <w:rPr>
                <w:sz w:val="20"/>
              </w:rPr>
              <w:t>Abnormal bruising or severe sore</w:t>
            </w:r>
          </w:p>
          <w:p>
            <w:pPr>
              <w:pStyle w:val="TableParagraph"/>
              <w:spacing w:line="213" w:lineRule="exact" w:before="3"/>
              <w:ind w:left="106"/>
              <w:rPr>
                <w:sz w:val="20"/>
              </w:rPr>
            </w:pPr>
            <w:r>
              <w:rPr>
                <w:sz w:val="20"/>
              </w:rPr>
              <w:t>throat</w:t>
            </w:r>
          </w:p>
        </w:tc>
        <w:tc>
          <w:tcPr>
            <w:tcW w:w="6520" w:type="dxa"/>
          </w:tcPr>
          <w:p>
            <w:pPr>
              <w:pStyle w:val="TableParagraph"/>
              <w:spacing w:line="224" w:lineRule="exact"/>
              <w:ind w:left="106"/>
              <w:rPr>
                <w:sz w:val="20"/>
              </w:rPr>
            </w:pPr>
            <w:r>
              <w:rPr>
                <w:sz w:val="20"/>
              </w:rPr>
              <w:t>Immediate FBC and withhold methotrexate until FBC result available</w:t>
            </w:r>
          </w:p>
        </w:tc>
      </w:tr>
    </w:tbl>
    <w:p>
      <w:pPr>
        <w:pStyle w:val="BodyText"/>
        <w:spacing w:before="3"/>
        <w:rPr>
          <w:sz w:val="19"/>
        </w:rPr>
      </w:pPr>
    </w:p>
    <w:p>
      <w:pPr>
        <w:pStyle w:val="BodyText"/>
        <w:ind w:left="1104" w:right="1081"/>
      </w:pPr>
      <w:r>
        <w:rPr/>
        <w:t>The specialist may conduct additional investigations as required e.g. CRP, ESR, (and PIIINP and liver biopsy for psoriatic patients). The results will be sent to the GP.</w:t>
      </w:r>
    </w:p>
    <w:p>
      <w:pPr>
        <w:pStyle w:val="BodyText"/>
        <w:spacing w:before="11"/>
        <w:rPr>
          <w:sz w:val="23"/>
        </w:rPr>
      </w:pPr>
    </w:p>
    <w:p>
      <w:pPr>
        <w:pStyle w:val="Heading1"/>
        <w:tabs>
          <w:tab w:pos="11057" w:val="left" w:leader="none"/>
        </w:tabs>
        <w:spacing w:before="92"/>
      </w:pPr>
      <w:r>
        <w:rPr>
          <w:color w:val="FFFFFF"/>
          <w:shd w:fill="538DD3" w:color="auto" w:val="clear"/>
        </w:rPr>
        <w:t>Adverse Effects</w:t>
        <w:tab/>
      </w:r>
    </w:p>
    <w:p>
      <w:pPr>
        <w:pStyle w:val="BodyText"/>
        <w:spacing w:before="195"/>
        <w:ind w:left="678"/>
      </w:pPr>
      <w:r>
        <w:rPr/>
        <w:t>Possible adverse effects and what to do if they occur:</w:t>
      </w:r>
    </w:p>
    <w:p>
      <w:pPr>
        <w:pStyle w:val="ListParagraph"/>
        <w:numPr>
          <w:ilvl w:val="0"/>
          <w:numId w:val="7"/>
        </w:numPr>
        <w:tabs>
          <w:tab w:pos="1346" w:val="left" w:leader="none"/>
        </w:tabs>
        <w:spacing w:line="240" w:lineRule="auto" w:before="184" w:after="0"/>
        <w:ind w:left="1388" w:right="892" w:hanging="425"/>
        <w:jc w:val="both"/>
        <w:rPr>
          <w:sz w:val="20"/>
        </w:rPr>
      </w:pPr>
      <w:r>
        <w:rPr>
          <w:b/>
          <w:sz w:val="20"/>
        </w:rPr>
        <w:t>Nausea and diarrhoea </w:t>
      </w:r>
      <w:r>
        <w:rPr>
          <w:sz w:val="20"/>
        </w:rPr>
        <w:t>– these will be minimised by the folic acid therapy. Some patients benefit by taking their NSAID (if they are on one) a few hours before or after, rather than at the same time as their methotrexate</w:t>
      </w:r>
      <w:r>
        <w:rPr>
          <w:spacing w:val="-7"/>
          <w:sz w:val="20"/>
        </w:rPr>
        <w:t> </w:t>
      </w:r>
      <w:r>
        <w:rPr>
          <w:sz w:val="20"/>
        </w:rPr>
        <w:t>dose.</w:t>
      </w:r>
      <w:r>
        <w:rPr>
          <w:spacing w:val="-11"/>
          <w:sz w:val="20"/>
        </w:rPr>
        <w:t> </w:t>
      </w:r>
      <w:r>
        <w:rPr>
          <w:sz w:val="20"/>
        </w:rPr>
        <w:t>If</w:t>
      </w:r>
      <w:r>
        <w:rPr>
          <w:spacing w:val="-9"/>
          <w:sz w:val="20"/>
        </w:rPr>
        <w:t> </w:t>
      </w:r>
      <w:r>
        <w:rPr>
          <w:sz w:val="20"/>
        </w:rPr>
        <w:t>severe</w:t>
      </w:r>
      <w:r>
        <w:rPr>
          <w:spacing w:val="-9"/>
          <w:sz w:val="20"/>
        </w:rPr>
        <w:t> </w:t>
      </w:r>
      <w:r>
        <w:rPr>
          <w:sz w:val="20"/>
        </w:rPr>
        <w:t>despite</w:t>
      </w:r>
      <w:r>
        <w:rPr>
          <w:spacing w:val="-8"/>
          <w:sz w:val="20"/>
        </w:rPr>
        <w:t> </w:t>
      </w:r>
      <w:r>
        <w:rPr>
          <w:sz w:val="20"/>
        </w:rPr>
        <w:t>these</w:t>
      </w:r>
      <w:r>
        <w:rPr>
          <w:spacing w:val="-7"/>
          <w:sz w:val="20"/>
        </w:rPr>
        <w:t> </w:t>
      </w:r>
      <w:r>
        <w:rPr>
          <w:sz w:val="20"/>
        </w:rPr>
        <w:t>measures,</w:t>
      </w:r>
      <w:r>
        <w:rPr>
          <w:spacing w:val="-9"/>
          <w:sz w:val="20"/>
        </w:rPr>
        <w:t> </w:t>
      </w:r>
      <w:r>
        <w:rPr>
          <w:sz w:val="20"/>
        </w:rPr>
        <w:t>the</w:t>
      </w:r>
      <w:r>
        <w:rPr>
          <w:spacing w:val="-10"/>
          <w:sz w:val="20"/>
        </w:rPr>
        <w:t> </w:t>
      </w:r>
      <w:r>
        <w:rPr>
          <w:sz w:val="20"/>
        </w:rPr>
        <w:t>methotrexate</w:t>
      </w:r>
      <w:r>
        <w:rPr>
          <w:spacing w:val="-9"/>
          <w:sz w:val="20"/>
        </w:rPr>
        <w:t> </w:t>
      </w:r>
      <w:r>
        <w:rPr>
          <w:sz w:val="20"/>
        </w:rPr>
        <w:t>must</w:t>
      </w:r>
      <w:r>
        <w:rPr>
          <w:spacing w:val="-10"/>
          <w:sz w:val="20"/>
        </w:rPr>
        <w:t> </w:t>
      </w:r>
      <w:r>
        <w:rPr>
          <w:sz w:val="20"/>
        </w:rPr>
        <w:t>be</w:t>
      </w:r>
      <w:r>
        <w:rPr>
          <w:spacing w:val="-9"/>
          <w:sz w:val="20"/>
        </w:rPr>
        <w:t> </w:t>
      </w:r>
      <w:r>
        <w:rPr>
          <w:sz w:val="20"/>
        </w:rPr>
        <w:t>stopped,</w:t>
      </w:r>
      <w:r>
        <w:rPr>
          <w:spacing w:val="-8"/>
          <w:sz w:val="20"/>
        </w:rPr>
        <w:t> </w:t>
      </w:r>
      <w:r>
        <w:rPr>
          <w:sz w:val="20"/>
        </w:rPr>
        <w:t>and</w:t>
      </w:r>
      <w:r>
        <w:rPr>
          <w:spacing w:val="-9"/>
          <w:sz w:val="20"/>
        </w:rPr>
        <w:t> </w:t>
      </w:r>
      <w:r>
        <w:rPr>
          <w:sz w:val="20"/>
        </w:rPr>
        <w:t>the</w:t>
      </w:r>
      <w:r>
        <w:rPr>
          <w:spacing w:val="-8"/>
          <w:sz w:val="20"/>
        </w:rPr>
        <w:t> </w:t>
      </w:r>
      <w:r>
        <w:rPr>
          <w:sz w:val="20"/>
        </w:rPr>
        <w:t>specialist nurse or specialist registrar or Consultant,</w:t>
      </w:r>
      <w:r>
        <w:rPr>
          <w:spacing w:val="-2"/>
          <w:sz w:val="20"/>
        </w:rPr>
        <w:t> </w:t>
      </w:r>
      <w:r>
        <w:rPr>
          <w:sz w:val="20"/>
        </w:rPr>
        <w:t>contacted.</w:t>
      </w:r>
    </w:p>
    <w:p>
      <w:pPr>
        <w:pStyle w:val="ListParagraph"/>
        <w:numPr>
          <w:ilvl w:val="0"/>
          <w:numId w:val="7"/>
        </w:numPr>
        <w:tabs>
          <w:tab w:pos="1391" w:val="left" w:leader="none"/>
        </w:tabs>
        <w:spacing w:line="240" w:lineRule="auto" w:before="0" w:after="0"/>
        <w:ind w:left="1388" w:right="891" w:hanging="425"/>
        <w:jc w:val="both"/>
        <w:rPr>
          <w:sz w:val="20"/>
        </w:rPr>
      </w:pPr>
      <w:r>
        <w:rPr>
          <w:b/>
          <w:sz w:val="20"/>
        </w:rPr>
        <w:t>Mouth</w:t>
      </w:r>
      <w:r>
        <w:rPr>
          <w:b/>
          <w:spacing w:val="-9"/>
          <w:sz w:val="20"/>
        </w:rPr>
        <w:t> </w:t>
      </w:r>
      <w:r>
        <w:rPr>
          <w:b/>
          <w:sz w:val="20"/>
        </w:rPr>
        <w:t>ulcers,</w:t>
      </w:r>
      <w:r>
        <w:rPr>
          <w:b/>
          <w:spacing w:val="-7"/>
          <w:sz w:val="20"/>
        </w:rPr>
        <w:t> </w:t>
      </w:r>
      <w:r>
        <w:rPr>
          <w:b/>
          <w:sz w:val="20"/>
        </w:rPr>
        <w:t>hair</w:t>
      </w:r>
      <w:r>
        <w:rPr>
          <w:b/>
          <w:spacing w:val="-7"/>
          <w:sz w:val="20"/>
        </w:rPr>
        <w:t> </w:t>
      </w:r>
      <w:r>
        <w:rPr>
          <w:b/>
          <w:sz w:val="20"/>
        </w:rPr>
        <w:t>loss,</w:t>
      </w:r>
      <w:r>
        <w:rPr>
          <w:b/>
          <w:spacing w:val="-8"/>
          <w:sz w:val="20"/>
        </w:rPr>
        <w:t> </w:t>
      </w:r>
      <w:r>
        <w:rPr>
          <w:b/>
          <w:sz w:val="20"/>
        </w:rPr>
        <w:t>and</w:t>
      </w:r>
      <w:r>
        <w:rPr>
          <w:b/>
          <w:spacing w:val="-7"/>
          <w:sz w:val="20"/>
        </w:rPr>
        <w:t> </w:t>
      </w:r>
      <w:r>
        <w:rPr>
          <w:b/>
          <w:sz w:val="20"/>
        </w:rPr>
        <w:t>skin</w:t>
      </w:r>
      <w:r>
        <w:rPr>
          <w:b/>
          <w:spacing w:val="-8"/>
          <w:sz w:val="20"/>
        </w:rPr>
        <w:t> </w:t>
      </w:r>
      <w:r>
        <w:rPr>
          <w:b/>
          <w:sz w:val="20"/>
        </w:rPr>
        <w:t>rash</w:t>
      </w:r>
      <w:r>
        <w:rPr>
          <w:b/>
          <w:spacing w:val="-7"/>
          <w:sz w:val="20"/>
        </w:rPr>
        <w:t> </w:t>
      </w:r>
      <w:r>
        <w:rPr>
          <w:sz w:val="20"/>
        </w:rPr>
        <w:t>–</w:t>
      </w:r>
      <w:r>
        <w:rPr>
          <w:spacing w:val="-5"/>
          <w:sz w:val="20"/>
        </w:rPr>
        <w:t> </w:t>
      </w:r>
      <w:r>
        <w:rPr>
          <w:sz w:val="20"/>
        </w:rPr>
        <w:t>these</w:t>
      </w:r>
      <w:r>
        <w:rPr>
          <w:spacing w:val="-8"/>
          <w:sz w:val="20"/>
        </w:rPr>
        <w:t> </w:t>
      </w:r>
      <w:r>
        <w:rPr>
          <w:sz w:val="20"/>
        </w:rPr>
        <w:t>usually</w:t>
      </w:r>
      <w:r>
        <w:rPr>
          <w:spacing w:val="-6"/>
          <w:sz w:val="20"/>
        </w:rPr>
        <w:t> </w:t>
      </w:r>
      <w:r>
        <w:rPr>
          <w:sz w:val="20"/>
        </w:rPr>
        <w:t>respond</w:t>
      </w:r>
      <w:r>
        <w:rPr>
          <w:spacing w:val="-8"/>
          <w:sz w:val="20"/>
        </w:rPr>
        <w:t> </w:t>
      </w:r>
      <w:r>
        <w:rPr>
          <w:sz w:val="20"/>
        </w:rPr>
        <w:t>to</w:t>
      </w:r>
      <w:r>
        <w:rPr>
          <w:spacing w:val="-6"/>
          <w:sz w:val="20"/>
        </w:rPr>
        <w:t> </w:t>
      </w:r>
      <w:r>
        <w:rPr>
          <w:sz w:val="20"/>
        </w:rPr>
        <w:t>omitting</w:t>
      </w:r>
      <w:r>
        <w:rPr>
          <w:spacing w:val="-9"/>
          <w:sz w:val="20"/>
        </w:rPr>
        <w:t> </w:t>
      </w:r>
      <w:r>
        <w:rPr>
          <w:sz w:val="20"/>
        </w:rPr>
        <w:t>a</w:t>
      </w:r>
      <w:r>
        <w:rPr>
          <w:spacing w:val="-9"/>
          <w:sz w:val="20"/>
        </w:rPr>
        <w:t> </w:t>
      </w:r>
      <w:r>
        <w:rPr>
          <w:sz w:val="20"/>
        </w:rPr>
        <w:t>dose</w:t>
      </w:r>
      <w:r>
        <w:rPr>
          <w:spacing w:val="-6"/>
          <w:sz w:val="20"/>
        </w:rPr>
        <w:t> </w:t>
      </w:r>
      <w:r>
        <w:rPr>
          <w:sz w:val="20"/>
        </w:rPr>
        <w:t>and</w:t>
      </w:r>
      <w:r>
        <w:rPr>
          <w:spacing w:val="-8"/>
          <w:sz w:val="20"/>
        </w:rPr>
        <w:t> </w:t>
      </w:r>
      <w:r>
        <w:rPr>
          <w:sz w:val="20"/>
        </w:rPr>
        <w:t>resuming</w:t>
      </w:r>
      <w:r>
        <w:rPr>
          <w:spacing w:val="-5"/>
          <w:sz w:val="20"/>
        </w:rPr>
        <w:t> </w:t>
      </w:r>
      <w:r>
        <w:rPr>
          <w:sz w:val="20"/>
        </w:rPr>
        <w:t>at</w:t>
      </w:r>
      <w:r>
        <w:rPr>
          <w:spacing w:val="-8"/>
          <w:sz w:val="20"/>
        </w:rPr>
        <w:t> </w:t>
      </w:r>
      <w:r>
        <w:rPr>
          <w:sz w:val="20"/>
        </w:rPr>
        <w:t>a</w:t>
      </w:r>
      <w:r>
        <w:rPr>
          <w:spacing w:val="-9"/>
          <w:sz w:val="20"/>
        </w:rPr>
        <w:t> </w:t>
      </w:r>
      <w:r>
        <w:rPr>
          <w:sz w:val="20"/>
        </w:rPr>
        <w:t>dose reduced by 2.5mg. Topical hydrocortisone may be used for skin rash. If any are severe (particularly stomatitis),</w:t>
      </w:r>
      <w:r>
        <w:rPr>
          <w:spacing w:val="-7"/>
          <w:sz w:val="20"/>
        </w:rPr>
        <w:t> </w:t>
      </w:r>
      <w:r>
        <w:rPr>
          <w:sz w:val="20"/>
        </w:rPr>
        <w:t>the</w:t>
      </w:r>
      <w:r>
        <w:rPr>
          <w:spacing w:val="-5"/>
          <w:sz w:val="20"/>
        </w:rPr>
        <w:t> </w:t>
      </w:r>
      <w:r>
        <w:rPr>
          <w:sz w:val="20"/>
        </w:rPr>
        <w:t>methotrexate</w:t>
      </w:r>
      <w:r>
        <w:rPr>
          <w:spacing w:val="-5"/>
          <w:sz w:val="20"/>
        </w:rPr>
        <w:t> </w:t>
      </w:r>
      <w:r>
        <w:rPr>
          <w:sz w:val="20"/>
        </w:rPr>
        <w:t>must</w:t>
      </w:r>
      <w:r>
        <w:rPr>
          <w:spacing w:val="-5"/>
          <w:sz w:val="20"/>
        </w:rPr>
        <w:t> </w:t>
      </w:r>
      <w:r>
        <w:rPr>
          <w:sz w:val="20"/>
        </w:rPr>
        <w:t>be</w:t>
      </w:r>
      <w:r>
        <w:rPr>
          <w:spacing w:val="-7"/>
          <w:sz w:val="20"/>
        </w:rPr>
        <w:t> </w:t>
      </w:r>
      <w:r>
        <w:rPr>
          <w:sz w:val="20"/>
        </w:rPr>
        <w:t>stopped,</w:t>
      </w:r>
      <w:r>
        <w:rPr>
          <w:spacing w:val="-6"/>
          <w:sz w:val="20"/>
        </w:rPr>
        <w:t> </w:t>
      </w:r>
      <w:r>
        <w:rPr>
          <w:sz w:val="20"/>
        </w:rPr>
        <w:t>and</w:t>
      </w:r>
      <w:r>
        <w:rPr>
          <w:spacing w:val="-5"/>
          <w:sz w:val="20"/>
        </w:rPr>
        <w:t> </w:t>
      </w:r>
      <w:r>
        <w:rPr>
          <w:sz w:val="20"/>
        </w:rPr>
        <w:t>the</w:t>
      </w:r>
      <w:r>
        <w:rPr>
          <w:spacing w:val="-7"/>
          <w:sz w:val="20"/>
        </w:rPr>
        <w:t> </w:t>
      </w:r>
      <w:r>
        <w:rPr>
          <w:sz w:val="20"/>
        </w:rPr>
        <w:t>specialist</w:t>
      </w:r>
      <w:r>
        <w:rPr>
          <w:spacing w:val="-8"/>
          <w:sz w:val="20"/>
        </w:rPr>
        <w:t> </w:t>
      </w:r>
      <w:r>
        <w:rPr>
          <w:sz w:val="20"/>
        </w:rPr>
        <w:t>nurse</w:t>
      </w:r>
      <w:r>
        <w:rPr>
          <w:spacing w:val="-5"/>
          <w:sz w:val="20"/>
        </w:rPr>
        <w:t> </w:t>
      </w:r>
      <w:r>
        <w:rPr>
          <w:sz w:val="20"/>
        </w:rPr>
        <w:t>or</w:t>
      </w:r>
      <w:r>
        <w:rPr>
          <w:spacing w:val="-6"/>
          <w:sz w:val="20"/>
        </w:rPr>
        <w:t> </w:t>
      </w:r>
      <w:r>
        <w:rPr>
          <w:sz w:val="20"/>
        </w:rPr>
        <w:t>specialist</w:t>
      </w:r>
      <w:r>
        <w:rPr>
          <w:spacing w:val="-5"/>
          <w:sz w:val="20"/>
        </w:rPr>
        <w:t> </w:t>
      </w:r>
      <w:r>
        <w:rPr>
          <w:sz w:val="20"/>
        </w:rPr>
        <w:t>registrar</w:t>
      </w:r>
      <w:r>
        <w:rPr>
          <w:spacing w:val="-6"/>
          <w:sz w:val="20"/>
        </w:rPr>
        <w:t> </w:t>
      </w:r>
      <w:r>
        <w:rPr>
          <w:sz w:val="20"/>
        </w:rPr>
        <w:t>or</w:t>
      </w:r>
      <w:r>
        <w:rPr>
          <w:spacing w:val="-6"/>
          <w:sz w:val="20"/>
        </w:rPr>
        <w:t> </w:t>
      </w:r>
      <w:r>
        <w:rPr>
          <w:sz w:val="20"/>
        </w:rPr>
        <w:t>Consultant, contacted.</w:t>
      </w:r>
    </w:p>
    <w:p>
      <w:pPr>
        <w:spacing w:after="0" w:line="240" w:lineRule="auto"/>
        <w:jc w:val="both"/>
        <w:rPr>
          <w:sz w:val="20"/>
        </w:rPr>
        <w:sectPr>
          <w:pgSz w:w="11910" w:h="16840"/>
          <w:pgMar w:header="0" w:footer="1240" w:top="1560" w:bottom="1440" w:left="160" w:right="40"/>
        </w:sectPr>
      </w:pPr>
    </w:p>
    <w:p>
      <w:pPr>
        <w:pStyle w:val="ListParagraph"/>
        <w:numPr>
          <w:ilvl w:val="0"/>
          <w:numId w:val="7"/>
        </w:numPr>
        <w:tabs>
          <w:tab w:pos="1295" w:val="left" w:leader="none"/>
        </w:tabs>
        <w:spacing w:line="235" w:lineRule="auto" w:before="86" w:after="0"/>
        <w:ind w:left="1388" w:right="892" w:hanging="425"/>
        <w:jc w:val="both"/>
        <w:rPr>
          <w:sz w:val="20"/>
        </w:rPr>
      </w:pPr>
      <w:r>
        <w:rPr>
          <w:b/>
          <w:sz w:val="20"/>
        </w:rPr>
        <w:t>Recurrent</w:t>
      </w:r>
      <w:r>
        <w:rPr>
          <w:b/>
          <w:spacing w:val="-2"/>
          <w:sz w:val="20"/>
        </w:rPr>
        <w:t> </w:t>
      </w:r>
      <w:r>
        <w:rPr>
          <w:b/>
          <w:sz w:val="20"/>
        </w:rPr>
        <w:t>sore</w:t>
      </w:r>
      <w:r>
        <w:rPr>
          <w:b/>
          <w:spacing w:val="-3"/>
          <w:sz w:val="20"/>
        </w:rPr>
        <w:t> </w:t>
      </w:r>
      <w:r>
        <w:rPr>
          <w:b/>
          <w:sz w:val="20"/>
        </w:rPr>
        <w:t>throat,</w:t>
      </w:r>
      <w:r>
        <w:rPr>
          <w:b/>
          <w:spacing w:val="-4"/>
          <w:sz w:val="20"/>
        </w:rPr>
        <w:t> </w:t>
      </w:r>
      <w:r>
        <w:rPr>
          <w:b/>
          <w:sz w:val="20"/>
        </w:rPr>
        <w:t>infections</w:t>
      </w:r>
      <w:r>
        <w:rPr>
          <w:b/>
          <w:spacing w:val="-3"/>
          <w:sz w:val="20"/>
        </w:rPr>
        <w:t> </w:t>
      </w:r>
      <w:r>
        <w:rPr>
          <w:b/>
          <w:sz w:val="20"/>
        </w:rPr>
        <w:t>and</w:t>
      </w:r>
      <w:r>
        <w:rPr>
          <w:b/>
          <w:spacing w:val="-3"/>
          <w:sz w:val="20"/>
        </w:rPr>
        <w:t> </w:t>
      </w:r>
      <w:r>
        <w:rPr>
          <w:b/>
          <w:sz w:val="20"/>
        </w:rPr>
        <w:t>fevers</w:t>
      </w:r>
      <w:r>
        <w:rPr>
          <w:b/>
          <w:spacing w:val="-3"/>
          <w:sz w:val="20"/>
        </w:rPr>
        <w:t> </w:t>
      </w:r>
      <w:r>
        <w:rPr>
          <w:sz w:val="20"/>
        </w:rPr>
        <w:t>–</w:t>
      </w:r>
      <w:r>
        <w:rPr>
          <w:spacing w:val="-3"/>
          <w:sz w:val="20"/>
        </w:rPr>
        <w:t> </w:t>
      </w:r>
      <w:r>
        <w:rPr>
          <w:sz w:val="20"/>
        </w:rPr>
        <w:t>these</w:t>
      </w:r>
      <w:r>
        <w:rPr>
          <w:spacing w:val="-2"/>
          <w:sz w:val="20"/>
        </w:rPr>
        <w:t> </w:t>
      </w:r>
      <w:r>
        <w:rPr>
          <w:sz w:val="20"/>
        </w:rPr>
        <w:t>may</w:t>
      </w:r>
      <w:r>
        <w:rPr>
          <w:spacing w:val="-2"/>
          <w:sz w:val="20"/>
        </w:rPr>
        <w:t> </w:t>
      </w:r>
      <w:r>
        <w:rPr>
          <w:sz w:val="20"/>
        </w:rPr>
        <w:t>indicate</w:t>
      </w:r>
      <w:r>
        <w:rPr>
          <w:spacing w:val="-3"/>
          <w:sz w:val="20"/>
        </w:rPr>
        <w:t> </w:t>
      </w:r>
      <w:r>
        <w:rPr>
          <w:sz w:val="20"/>
        </w:rPr>
        <w:t>neutropenia,</w:t>
      </w:r>
      <w:r>
        <w:rPr>
          <w:spacing w:val="-3"/>
          <w:sz w:val="20"/>
        </w:rPr>
        <w:t> </w:t>
      </w:r>
      <w:r>
        <w:rPr>
          <w:sz w:val="20"/>
        </w:rPr>
        <w:t>so</w:t>
      </w:r>
      <w:r>
        <w:rPr>
          <w:spacing w:val="-3"/>
          <w:sz w:val="20"/>
        </w:rPr>
        <w:t> </w:t>
      </w:r>
      <w:r>
        <w:rPr>
          <w:sz w:val="20"/>
        </w:rPr>
        <w:t>the</w:t>
      </w:r>
      <w:r>
        <w:rPr>
          <w:spacing w:val="-3"/>
          <w:sz w:val="20"/>
        </w:rPr>
        <w:t> </w:t>
      </w:r>
      <w:r>
        <w:rPr>
          <w:sz w:val="20"/>
        </w:rPr>
        <w:t>methotrexate</w:t>
      </w:r>
      <w:r>
        <w:rPr>
          <w:spacing w:val="-5"/>
          <w:sz w:val="20"/>
        </w:rPr>
        <w:t> </w:t>
      </w:r>
      <w:r>
        <w:rPr>
          <w:sz w:val="20"/>
        </w:rPr>
        <w:t>must be</w:t>
      </w:r>
      <w:r>
        <w:rPr>
          <w:spacing w:val="-5"/>
          <w:sz w:val="20"/>
        </w:rPr>
        <w:t> </w:t>
      </w:r>
      <w:r>
        <w:rPr>
          <w:sz w:val="20"/>
        </w:rPr>
        <w:t>stopped,</w:t>
      </w:r>
      <w:r>
        <w:rPr>
          <w:spacing w:val="-5"/>
          <w:sz w:val="20"/>
        </w:rPr>
        <w:t> </w:t>
      </w:r>
      <w:r>
        <w:rPr>
          <w:sz w:val="20"/>
        </w:rPr>
        <w:t>the</w:t>
      </w:r>
      <w:r>
        <w:rPr>
          <w:spacing w:val="-5"/>
          <w:sz w:val="20"/>
        </w:rPr>
        <w:t> </w:t>
      </w:r>
      <w:r>
        <w:rPr>
          <w:sz w:val="20"/>
        </w:rPr>
        <w:t>FBC</w:t>
      </w:r>
      <w:r>
        <w:rPr>
          <w:spacing w:val="-7"/>
          <w:sz w:val="20"/>
        </w:rPr>
        <w:t> </w:t>
      </w:r>
      <w:r>
        <w:rPr>
          <w:sz w:val="20"/>
        </w:rPr>
        <w:t>checked,</w:t>
      </w:r>
      <w:r>
        <w:rPr>
          <w:spacing w:val="-7"/>
          <w:sz w:val="20"/>
        </w:rPr>
        <w:t> </w:t>
      </w:r>
      <w:r>
        <w:rPr>
          <w:sz w:val="20"/>
        </w:rPr>
        <w:t>and</w:t>
      </w:r>
      <w:r>
        <w:rPr>
          <w:spacing w:val="-4"/>
          <w:sz w:val="20"/>
        </w:rPr>
        <w:t> </w:t>
      </w:r>
      <w:r>
        <w:rPr>
          <w:sz w:val="20"/>
        </w:rPr>
        <w:t>the</w:t>
      </w:r>
      <w:r>
        <w:rPr>
          <w:spacing w:val="-6"/>
          <w:sz w:val="20"/>
        </w:rPr>
        <w:t> </w:t>
      </w:r>
      <w:r>
        <w:rPr>
          <w:sz w:val="20"/>
        </w:rPr>
        <w:t>specialist</w:t>
      </w:r>
      <w:r>
        <w:rPr>
          <w:spacing w:val="-5"/>
          <w:sz w:val="20"/>
        </w:rPr>
        <w:t> </w:t>
      </w:r>
      <w:r>
        <w:rPr>
          <w:sz w:val="20"/>
        </w:rPr>
        <w:t>nurse</w:t>
      </w:r>
      <w:r>
        <w:rPr>
          <w:spacing w:val="-4"/>
          <w:sz w:val="20"/>
        </w:rPr>
        <w:t> </w:t>
      </w:r>
      <w:r>
        <w:rPr>
          <w:sz w:val="20"/>
        </w:rPr>
        <w:t>or</w:t>
      </w:r>
      <w:r>
        <w:rPr>
          <w:spacing w:val="-5"/>
          <w:sz w:val="20"/>
        </w:rPr>
        <w:t> </w:t>
      </w:r>
      <w:r>
        <w:rPr>
          <w:sz w:val="20"/>
        </w:rPr>
        <w:t>specialist</w:t>
      </w:r>
      <w:r>
        <w:rPr>
          <w:spacing w:val="-5"/>
          <w:sz w:val="20"/>
        </w:rPr>
        <w:t> </w:t>
      </w:r>
      <w:r>
        <w:rPr>
          <w:sz w:val="20"/>
        </w:rPr>
        <w:t>registrar</w:t>
      </w:r>
      <w:r>
        <w:rPr>
          <w:spacing w:val="-5"/>
          <w:sz w:val="20"/>
        </w:rPr>
        <w:t> </w:t>
      </w:r>
      <w:r>
        <w:rPr>
          <w:sz w:val="20"/>
        </w:rPr>
        <w:t>or</w:t>
      </w:r>
      <w:r>
        <w:rPr>
          <w:spacing w:val="-7"/>
          <w:sz w:val="20"/>
        </w:rPr>
        <w:t> </w:t>
      </w:r>
      <w:r>
        <w:rPr>
          <w:sz w:val="20"/>
        </w:rPr>
        <w:t>Consultant</w:t>
      </w:r>
      <w:r>
        <w:rPr>
          <w:spacing w:val="-6"/>
          <w:sz w:val="20"/>
        </w:rPr>
        <w:t> </w:t>
      </w:r>
      <w:r>
        <w:rPr>
          <w:sz w:val="20"/>
        </w:rPr>
        <w:t>to</w:t>
      </w:r>
      <w:r>
        <w:rPr>
          <w:spacing w:val="-6"/>
          <w:sz w:val="20"/>
        </w:rPr>
        <w:t> </w:t>
      </w:r>
      <w:r>
        <w:rPr>
          <w:sz w:val="20"/>
        </w:rPr>
        <w:t>be</w:t>
      </w:r>
      <w:r>
        <w:rPr>
          <w:spacing w:val="-5"/>
          <w:sz w:val="20"/>
        </w:rPr>
        <w:t> </w:t>
      </w:r>
      <w:r>
        <w:rPr>
          <w:sz w:val="20"/>
        </w:rPr>
        <w:t>contacted.</w:t>
      </w:r>
    </w:p>
    <w:p>
      <w:pPr>
        <w:pStyle w:val="ListParagraph"/>
        <w:numPr>
          <w:ilvl w:val="0"/>
          <w:numId w:val="7"/>
        </w:numPr>
        <w:tabs>
          <w:tab w:pos="1321" w:val="left" w:leader="none"/>
        </w:tabs>
        <w:spacing w:line="240" w:lineRule="auto" w:before="3" w:after="0"/>
        <w:ind w:left="1388" w:right="891" w:hanging="425"/>
        <w:jc w:val="both"/>
        <w:rPr>
          <w:sz w:val="20"/>
        </w:rPr>
      </w:pPr>
      <w:r>
        <w:rPr>
          <w:b/>
          <w:sz w:val="20"/>
        </w:rPr>
        <w:t>Unexplained bruising or bleeding </w:t>
      </w:r>
      <w:r>
        <w:rPr>
          <w:sz w:val="20"/>
        </w:rPr>
        <w:t>– if severe, the APTT and FBC should be checked. If they are normal (see “Monitoring”), methotrexate may be continued and the specialist nurse or specialist registrar </w:t>
      </w:r>
      <w:r>
        <w:rPr>
          <w:spacing w:val="-3"/>
          <w:sz w:val="20"/>
        </w:rPr>
        <w:t>or  </w:t>
      </w:r>
      <w:r>
        <w:rPr>
          <w:sz w:val="20"/>
        </w:rPr>
        <w:t>Consultant, contacted. If they are abnormal, the methotrexate should be stopped, and the specialist nurse or specialist registrar or Consultant,</w:t>
      </w:r>
      <w:r>
        <w:rPr>
          <w:spacing w:val="-4"/>
          <w:sz w:val="20"/>
        </w:rPr>
        <w:t> </w:t>
      </w:r>
      <w:r>
        <w:rPr>
          <w:sz w:val="20"/>
        </w:rPr>
        <w:t>contacted.</w:t>
      </w:r>
    </w:p>
    <w:p>
      <w:pPr>
        <w:pStyle w:val="ListParagraph"/>
        <w:numPr>
          <w:ilvl w:val="0"/>
          <w:numId w:val="7"/>
        </w:numPr>
        <w:tabs>
          <w:tab w:pos="1390" w:val="left" w:leader="none"/>
        </w:tabs>
        <w:spacing w:line="240" w:lineRule="auto" w:before="0" w:after="0"/>
        <w:ind w:left="1388" w:right="890" w:hanging="425"/>
        <w:jc w:val="both"/>
        <w:rPr>
          <w:sz w:val="20"/>
        </w:rPr>
      </w:pPr>
      <w:r>
        <w:rPr>
          <w:b/>
          <w:sz w:val="20"/>
        </w:rPr>
        <w:t>Unexplained cough or shortness of breath </w:t>
      </w:r>
      <w:r>
        <w:rPr>
          <w:sz w:val="20"/>
        </w:rPr>
        <w:t>– these may indicate pneumonitis or pulmonary fibrosis, so the</w:t>
      </w:r>
      <w:r>
        <w:rPr>
          <w:spacing w:val="-10"/>
          <w:sz w:val="20"/>
        </w:rPr>
        <w:t> </w:t>
      </w:r>
      <w:r>
        <w:rPr>
          <w:sz w:val="20"/>
        </w:rPr>
        <w:t>methotrexate</w:t>
      </w:r>
      <w:r>
        <w:rPr>
          <w:spacing w:val="-11"/>
          <w:sz w:val="20"/>
        </w:rPr>
        <w:t> </w:t>
      </w:r>
      <w:r>
        <w:rPr>
          <w:sz w:val="20"/>
        </w:rPr>
        <w:t>should</w:t>
      </w:r>
      <w:r>
        <w:rPr>
          <w:spacing w:val="-10"/>
          <w:sz w:val="20"/>
        </w:rPr>
        <w:t> </w:t>
      </w:r>
      <w:r>
        <w:rPr>
          <w:sz w:val="20"/>
        </w:rPr>
        <w:t>be</w:t>
      </w:r>
      <w:r>
        <w:rPr>
          <w:spacing w:val="-11"/>
          <w:sz w:val="20"/>
        </w:rPr>
        <w:t> </w:t>
      </w:r>
      <w:r>
        <w:rPr>
          <w:sz w:val="20"/>
        </w:rPr>
        <w:t>stopped</w:t>
      </w:r>
      <w:r>
        <w:rPr>
          <w:spacing w:val="-10"/>
          <w:sz w:val="20"/>
        </w:rPr>
        <w:t> </w:t>
      </w:r>
      <w:r>
        <w:rPr>
          <w:sz w:val="20"/>
        </w:rPr>
        <w:t>and</w:t>
      </w:r>
      <w:r>
        <w:rPr>
          <w:spacing w:val="-10"/>
          <w:sz w:val="20"/>
        </w:rPr>
        <w:t> </w:t>
      </w:r>
      <w:r>
        <w:rPr>
          <w:sz w:val="20"/>
        </w:rPr>
        <w:t>the</w:t>
      </w:r>
      <w:r>
        <w:rPr>
          <w:spacing w:val="-10"/>
          <w:sz w:val="20"/>
        </w:rPr>
        <w:t> </w:t>
      </w:r>
      <w:r>
        <w:rPr>
          <w:sz w:val="20"/>
        </w:rPr>
        <w:t>specialist</w:t>
      </w:r>
      <w:r>
        <w:rPr>
          <w:spacing w:val="-10"/>
          <w:sz w:val="20"/>
        </w:rPr>
        <w:t> </w:t>
      </w:r>
      <w:r>
        <w:rPr>
          <w:sz w:val="20"/>
        </w:rPr>
        <w:t>nurse</w:t>
      </w:r>
      <w:r>
        <w:rPr>
          <w:spacing w:val="-8"/>
          <w:sz w:val="20"/>
        </w:rPr>
        <w:t> </w:t>
      </w:r>
      <w:r>
        <w:rPr>
          <w:sz w:val="20"/>
        </w:rPr>
        <w:t>or</w:t>
      </w:r>
      <w:r>
        <w:rPr>
          <w:spacing w:val="-10"/>
          <w:sz w:val="20"/>
        </w:rPr>
        <w:t> </w:t>
      </w:r>
      <w:r>
        <w:rPr>
          <w:sz w:val="20"/>
        </w:rPr>
        <w:t>specialist</w:t>
      </w:r>
      <w:r>
        <w:rPr>
          <w:spacing w:val="-10"/>
          <w:sz w:val="20"/>
        </w:rPr>
        <w:t> </w:t>
      </w:r>
      <w:r>
        <w:rPr>
          <w:sz w:val="20"/>
        </w:rPr>
        <w:t>registrar</w:t>
      </w:r>
      <w:r>
        <w:rPr>
          <w:spacing w:val="-11"/>
          <w:sz w:val="20"/>
        </w:rPr>
        <w:t> </w:t>
      </w:r>
      <w:r>
        <w:rPr>
          <w:sz w:val="20"/>
        </w:rPr>
        <w:t>or</w:t>
      </w:r>
      <w:r>
        <w:rPr>
          <w:spacing w:val="-10"/>
          <w:sz w:val="20"/>
        </w:rPr>
        <w:t> </w:t>
      </w:r>
      <w:r>
        <w:rPr>
          <w:sz w:val="20"/>
        </w:rPr>
        <w:t>Consultant,</w:t>
      </w:r>
      <w:r>
        <w:rPr>
          <w:spacing w:val="-10"/>
          <w:sz w:val="20"/>
        </w:rPr>
        <w:t> </w:t>
      </w:r>
      <w:r>
        <w:rPr>
          <w:sz w:val="20"/>
        </w:rPr>
        <w:t>contacted.</w:t>
      </w:r>
    </w:p>
    <w:p>
      <w:pPr>
        <w:pStyle w:val="ListParagraph"/>
        <w:numPr>
          <w:ilvl w:val="0"/>
          <w:numId w:val="7"/>
        </w:numPr>
        <w:tabs>
          <w:tab w:pos="1322" w:val="left" w:leader="none"/>
        </w:tabs>
        <w:spacing w:line="240" w:lineRule="auto" w:before="0" w:after="0"/>
        <w:ind w:left="1388" w:right="892" w:hanging="425"/>
        <w:jc w:val="both"/>
        <w:rPr>
          <w:sz w:val="20"/>
        </w:rPr>
      </w:pPr>
      <w:r>
        <w:rPr>
          <w:b/>
          <w:sz w:val="20"/>
        </w:rPr>
        <w:t>Jaundice, abdominal discomfort, or dark urine </w:t>
      </w:r>
      <w:r>
        <w:rPr>
          <w:sz w:val="20"/>
        </w:rPr>
        <w:t>– these may indicate liver damage,  so  the  methotrexate should be stopped and the specialist nurse or specialist registrar or Consultant,</w:t>
      </w:r>
      <w:r>
        <w:rPr>
          <w:spacing w:val="-27"/>
          <w:sz w:val="20"/>
        </w:rPr>
        <w:t> </w:t>
      </w:r>
      <w:r>
        <w:rPr>
          <w:sz w:val="20"/>
        </w:rPr>
        <w:t>contacted.</w:t>
      </w:r>
    </w:p>
    <w:p>
      <w:pPr>
        <w:pStyle w:val="BodyText"/>
        <w:spacing w:before="11"/>
        <w:rPr>
          <w:sz w:val="19"/>
        </w:rPr>
      </w:pPr>
    </w:p>
    <w:p>
      <w:pPr>
        <w:spacing w:before="0"/>
        <w:ind w:left="678" w:right="1081" w:firstLine="0"/>
        <w:jc w:val="left"/>
        <w:rPr>
          <w:i/>
          <w:sz w:val="20"/>
        </w:rPr>
      </w:pPr>
      <w:r>
        <w:rPr>
          <w:i/>
          <w:sz w:val="20"/>
        </w:rPr>
        <w:t>Methotrexate was launched in 1989 and no longer has black triangle status.  Serious suspected reactions (even   </w:t>
      </w:r>
      <w:r>
        <w:rPr>
          <w:i/>
          <w:sz w:val="20"/>
        </w:rPr>
        <w:t>if well recognised or causal link uncertain) should be reported to the MHRA via the </w:t>
      </w:r>
      <w:hyperlink r:id="rId8">
        <w:r>
          <w:rPr>
            <w:i/>
            <w:color w:val="0000FF"/>
            <w:sz w:val="20"/>
            <w:u w:val="single" w:color="0000FF"/>
          </w:rPr>
          <w:t>yellow card</w:t>
        </w:r>
        <w:r>
          <w:rPr>
            <w:i/>
            <w:color w:val="0000FF"/>
            <w:spacing w:val="-25"/>
            <w:sz w:val="20"/>
            <w:u w:val="single" w:color="0000FF"/>
          </w:rPr>
          <w:t> </w:t>
        </w:r>
        <w:r>
          <w:rPr>
            <w:i/>
            <w:color w:val="0000FF"/>
            <w:sz w:val="20"/>
            <w:u w:val="single" w:color="0000FF"/>
          </w:rPr>
          <w:t>scheme</w:t>
        </w:r>
        <w:r>
          <w:rPr>
            <w:i/>
            <w:sz w:val="20"/>
          </w:rPr>
          <w:t>.</w:t>
        </w:r>
      </w:hyperlink>
    </w:p>
    <w:p>
      <w:pPr>
        <w:pStyle w:val="Heading1"/>
        <w:tabs>
          <w:tab w:pos="11020" w:val="left" w:leader="none"/>
        </w:tabs>
        <w:spacing w:before="185"/>
      </w:pPr>
      <w:r>
        <w:rPr>
          <w:color w:val="FFFFFF"/>
          <w:shd w:fill="538DD3" w:color="auto" w:val="clear"/>
        </w:rPr>
        <w:t>Drug</w:t>
      </w:r>
      <w:r>
        <w:rPr>
          <w:color w:val="FFFFFF"/>
          <w:spacing w:val="-1"/>
          <w:shd w:fill="538DD3" w:color="auto" w:val="clear"/>
        </w:rPr>
        <w:t> </w:t>
      </w:r>
      <w:r>
        <w:rPr>
          <w:color w:val="FFFFFF"/>
          <w:shd w:fill="538DD3" w:color="auto" w:val="clear"/>
        </w:rPr>
        <w:t>Interactions</w:t>
        <w:tab/>
      </w:r>
    </w:p>
    <w:p>
      <w:pPr>
        <w:pStyle w:val="BodyText"/>
        <w:spacing w:before="3"/>
        <w:rPr>
          <w:b/>
          <w:sz w:val="26"/>
        </w:rPr>
      </w:pPr>
    </w:p>
    <w:p>
      <w:pPr>
        <w:pStyle w:val="BodyText"/>
        <w:ind w:left="678" w:right="1081"/>
      </w:pPr>
      <w:r>
        <w:rPr/>
        <w:t>Methotrexate is immunosuppressive and may therefore reduce immunological response to concurrent vaccination. Severe antigenic reactions may occur if a live vaccine is given concurrently.</w:t>
      </w:r>
    </w:p>
    <w:p>
      <w:pPr>
        <w:pStyle w:val="BodyText"/>
        <w:spacing w:before="184"/>
        <w:ind w:left="678" w:right="1468"/>
      </w:pPr>
      <w:r>
        <w:rPr/>
        <w:t>Methotrexate is extensively protein-bound and may be displaced by other protein-bound drugs (e.g. diuretics, salicylates, hypoglycaemics), with a potential for increased toxicity.</w:t>
      </w:r>
    </w:p>
    <w:p>
      <w:pPr>
        <w:pStyle w:val="BodyText"/>
        <w:spacing w:before="183"/>
        <w:ind w:left="678" w:right="736"/>
        <w:jc w:val="both"/>
      </w:pPr>
      <w:r>
        <w:rPr/>
        <w:t>NSAIDs can be continued whilst on methotrexate. The NSAID or its dose should not be changed without discussion with the Consultant. All patients should be regularly advised to avoid over-the-counter medications including aspirin and ibuprofen without the knowledge of the specialist team.</w:t>
      </w:r>
    </w:p>
    <w:p>
      <w:pPr>
        <w:pStyle w:val="BodyText"/>
        <w:spacing w:before="182"/>
        <w:ind w:left="678" w:right="1468"/>
      </w:pPr>
      <w:r>
        <w:rPr/>
        <w:t>Concomitant use of other drugs with nephrotoxic or hepatotoxic potential should be avoided. Folate antagonists such as trimethoprim and co-trimoxazole should not be given concomitantly.</w:t>
      </w:r>
    </w:p>
    <w:p>
      <w:pPr>
        <w:pStyle w:val="BodyText"/>
      </w:pPr>
    </w:p>
    <w:p>
      <w:pPr>
        <w:pStyle w:val="BodyText"/>
        <w:ind w:left="678"/>
      </w:pPr>
      <w:r>
        <w:rPr/>
        <w:t>For a full list of drug interactions, refer to the Summary of Product Characteristics via </w:t>
      </w:r>
      <w:hyperlink r:id="rId13">
        <w:r>
          <w:rPr>
            <w:color w:val="0000FF"/>
            <w:u w:val="single" w:color="0000FF"/>
          </w:rPr>
          <w:t>www.medicines.org.uk</w:t>
        </w:r>
        <w:r>
          <w:rPr/>
          <w:t>.</w:t>
        </w:r>
      </w:hyperlink>
    </w:p>
    <w:p>
      <w:pPr>
        <w:pStyle w:val="Heading1"/>
        <w:tabs>
          <w:tab w:pos="11020" w:val="left" w:leader="none"/>
        </w:tabs>
        <w:spacing w:before="185"/>
      </w:pPr>
      <w:r>
        <w:rPr>
          <w:color w:val="FFFFFF"/>
          <w:shd w:fill="538DD3" w:color="auto" w:val="clear"/>
        </w:rPr>
        <w:t>Pregnancy and</w:t>
      </w:r>
      <w:r>
        <w:rPr>
          <w:color w:val="FFFFFF"/>
          <w:spacing w:val="1"/>
          <w:shd w:fill="538DD3" w:color="auto" w:val="clear"/>
        </w:rPr>
        <w:t> </w:t>
      </w:r>
      <w:r>
        <w:rPr>
          <w:color w:val="FFFFFF"/>
          <w:shd w:fill="538DD3" w:color="auto" w:val="clear"/>
        </w:rPr>
        <w:t>Lactation</w:t>
        <w:tab/>
      </w:r>
    </w:p>
    <w:p>
      <w:pPr>
        <w:pStyle w:val="BodyText"/>
        <w:spacing w:before="3"/>
        <w:rPr>
          <w:b/>
          <w:sz w:val="21"/>
        </w:rPr>
      </w:pPr>
    </w:p>
    <w:p>
      <w:pPr>
        <w:pStyle w:val="ListParagraph"/>
        <w:numPr>
          <w:ilvl w:val="1"/>
          <w:numId w:val="7"/>
        </w:numPr>
        <w:tabs>
          <w:tab w:pos="1529" w:val="left" w:leader="none"/>
          <w:tab w:pos="1530" w:val="left" w:leader="none"/>
        </w:tabs>
        <w:spacing w:line="240" w:lineRule="auto" w:before="0" w:after="0"/>
        <w:ind w:left="1529" w:right="740" w:hanging="360"/>
        <w:jc w:val="left"/>
        <w:rPr>
          <w:sz w:val="20"/>
        </w:rPr>
      </w:pPr>
      <w:r>
        <w:rPr>
          <w:sz w:val="20"/>
        </w:rPr>
        <w:t>All patients, male and female, should be advised to avoid conception and pregnancy during treatment with methotrexate as it is an abortifacient as well as a teratogenic</w:t>
      </w:r>
      <w:r>
        <w:rPr>
          <w:spacing w:val="-13"/>
          <w:sz w:val="20"/>
        </w:rPr>
        <w:t> </w:t>
      </w:r>
      <w:r>
        <w:rPr>
          <w:sz w:val="20"/>
        </w:rPr>
        <w:t>drug.</w:t>
      </w:r>
    </w:p>
    <w:p>
      <w:pPr>
        <w:pStyle w:val="ListParagraph"/>
        <w:numPr>
          <w:ilvl w:val="1"/>
          <w:numId w:val="7"/>
        </w:numPr>
        <w:tabs>
          <w:tab w:pos="1529" w:val="left" w:leader="none"/>
          <w:tab w:pos="1530" w:val="left" w:leader="none"/>
        </w:tabs>
        <w:spacing w:line="237" w:lineRule="auto" w:before="0" w:after="0"/>
        <w:ind w:left="1529" w:right="740" w:hanging="360"/>
        <w:jc w:val="left"/>
        <w:rPr>
          <w:sz w:val="20"/>
        </w:rPr>
      </w:pPr>
      <w:r>
        <w:rPr>
          <w:sz w:val="20"/>
        </w:rPr>
        <w:t>Patients</w:t>
      </w:r>
      <w:r>
        <w:rPr>
          <w:spacing w:val="-8"/>
          <w:sz w:val="20"/>
        </w:rPr>
        <w:t> </w:t>
      </w:r>
      <w:r>
        <w:rPr>
          <w:sz w:val="20"/>
        </w:rPr>
        <w:t>and</w:t>
      </w:r>
      <w:r>
        <w:rPr>
          <w:spacing w:val="-9"/>
          <w:sz w:val="20"/>
        </w:rPr>
        <w:t> </w:t>
      </w:r>
      <w:r>
        <w:rPr>
          <w:sz w:val="20"/>
        </w:rPr>
        <w:t>their</w:t>
      </w:r>
      <w:r>
        <w:rPr>
          <w:spacing w:val="-8"/>
          <w:sz w:val="20"/>
        </w:rPr>
        <w:t> </w:t>
      </w:r>
      <w:r>
        <w:rPr>
          <w:sz w:val="20"/>
        </w:rPr>
        <w:t>partners</w:t>
      </w:r>
      <w:r>
        <w:rPr>
          <w:spacing w:val="-8"/>
          <w:sz w:val="20"/>
        </w:rPr>
        <w:t> </w:t>
      </w:r>
      <w:r>
        <w:rPr>
          <w:sz w:val="20"/>
        </w:rPr>
        <w:t>should</w:t>
      </w:r>
      <w:r>
        <w:rPr>
          <w:spacing w:val="-7"/>
          <w:sz w:val="20"/>
        </w:rPr>
        <w:t> </w:t>
      </w:r>
      <w:r>
        <w:rPr>
          <w:sz w:val="20"/>
        </w:rPr>
        <w:t>be</w:t>
      </w:r>
      <w:r>
        <w:rPr>
          <w:spacing w:val="-7"/>
          <w:sz w:val="20"/>
        </w:rPr>
        <w:t> </w:t>
      </w:r>
      <w:r>
        <w:rPr>
          <w:sz w:val="20"/>
        </w:rPr>
        <w:t>advised</w:t>
      </w:r>
      <w:r>
        <w:rPr>
          <w:spacing w:val="-7"/>
          <w:sz w:val="20"/>
        </w:rPr>
        <w:t> </w:t>
      </w:r>
      <w:r>
        <w:rPr>
          <w:sz w:val="20"/>
        </w:rPr>
        <w:t>to</w:t>
      </w:r>
      <w:r>
        <w:rPr>
          <w:spacing w:val="-8"/>
          <w:sz w:val="20"/>
        </w:rPr>
        <w:t> </w:t>
      </w:r>
      <w:r>
        <w:rPr>
          <w:sz w:val="20"/>
        </w:rPr>
        <w:t>continue</w:t>
      </w:r>
      <w:r>
        <w:rPr>
          <w:spacing w:val="-10"/>
          <w:sz w:val="20"/>
        </w:rPr>
        <w:t> </w:t>
      </w:r>
      <w:r>
        <w:rPr>
          <w:sz w:val="20"/>
        </w:rPr>
        <w:t>contraception</w:t>
      </w:r>
      <w:r>
        <w:rPr>
          <w:spacing w:val="-8"/>
          <w:sz w:val="20"/>
        </w:rPr>
        <w:t> </w:t>
      </w:r>
      <w:r>
        <w:rPr>
          <w:sz w:val="20"/>
        </w:rPr>
        <w:t>for</w:t>
      </w:r>
      <w:r>
        <w:rPr>
          <w:spacing w:val="-6"/>
          <w:sz w:val="20"/>
        </w:rPr>
        <w:t> </w:t>
      </w:r>
      <w:r>
        <w:rPr>
          <w:sz w:val="20"/>
        </w:rPr>
        <w:t>at</w:t>
      </w:r>
      <w:r>
        <w:rPr>
          <w:spacing w:val="-8"/>
          <w:sz w:val="20"/>
        </w:rPr>
        <w:t> </w:t>
      </w:r>
      <w:r>
        <w:rPr>
          <w:sz w:val="20"/>
        </w:rPr>
        <w:t>least</w:t>
      </w:r>
      <w:r>
        <w:rPr>
          <w:spacing w:val="-8"/>
          <w:sz w:val="20"/>
        </w:rPr>
        <w:t> </w:t>
      </w:r>
      <w:r>
        <w:rPr>
          <w:sz w:val="20"/>
        </w:rPr>
        <w:t>3</w:t>
      </w:r>
      <w:r>
        <w:rPr>
          <w:spacing w:val="-9"/>
          <w:sz w:val="20"/>
        </w:rPr>
        <w:t> </w:t>
      </w:r>
      <w:r>
        <w:rPr>
          <w:sz w:val="20"/>
        </w:rPr>
        <w:t>months</w:t>
      </w:r>
      <w:r>
        <w:rPr>
          <w:spacing w:val="-7"/>
          <w:sz w:val="20"/>
        </w:rPr>
        <w:t> </w:t>
      </w:r>
      <w:r>
        <w:rPr>
          <w:sz w:val="20"/>
        </w:rPr>
        <w:t>after</w:t>
      </w:r>
      <w:r>
        <w:rPr>
          <w:spacing w:val="-8"/>
          <w:sz w:val="20"/>
        </w:rPr>
        <w:t> </w:t>
      </w:r>
      <w:r>
        <w:rPr>
          <w:sz w:val="20"/>
        </w:rPr>
        <w:t>cessation of methotrexate</w:t>
      </w:r>
      <w:r>
        <w:rPr>
          <w:spacing w:val="-2"/>
          <w:sz w:val="20"/>
        </w:rPr>
        <w:t> </w:t>
      </w:r>
      <w:r>
        <w:rPr>
          <w:sz w:val="20"/>
        </w:rPr>
        <w:t>therapy.</w:t>
      </w:r>
    </w:p>
    <w:p>
      <w:pPr>
        <w:pStyle w:val="ListParagraph"/>
        <w:numPr>
          <w:ilvl w:val="1"/>
          <w:numId w:val="7"/>
        </w:numPr>
        <w:tabs>
          <w:tab w:pos="1529" w:val="left" w:leader="none"/>
          <w:tab w:pos="1530" w:val="left" w:leader="none"/>
        </w:tabs>
        <w:spacing w:line="232" w:lineRule="exact" w:before="0" w:after="0"/>
        <w:ind w:left="1529" w:right="0" w:hanging="360"/>
        <w:jc w:val="left"/>
        <w:rPr>
          <w:sz w:val="20"/>
        </w:rPr>
      </w:pPr>
      <w:r>
        <w:rPr>
          <w:sz w:val="20"/>
        </w:rPr>
        <w:t>In</w:t>
      </w:r>
      <w:r>
        <w:rPr>
          <w:spacing w:val="17"/>
          <w:sz w:val="20"/>
        </w:rPr>
        <w:t> </w:t>
      </w:r>
      <w:r>
        <w:rPr>
          <w:sz w:val="20"/>
        </w:rPr>
        <w:t>the</w:t>
      </w:r>
      <w:r>
        <w:rPr>
          <w:spacing w:val="18"/>
          <w:sz w:val="20"/>
        </w:rPr>
        <w:t> </w:t>
      </w:r>
      <w:r>
        <w:rPr>
          <w:sz w:val="20"/>
        </w:rPr>
        <w:t>case</w:t>
      </w:r>
      <w:r>
        <w:rPr>
          <w:spacing w:val="17"/>
          <w:sz w:val="20"/>
        </w:rPr>
        <w:t> </w:t>
      </w:r>
      <w:r>
        <w:rPr>
          <w:sz w:val="20"/>
        </w:rPr>
        <w:t>of</w:t>
      </w:r>
      <w:r>
        <w:rPr>
          <w:spacing w:val="18"/>
          <w:sz w:val="20"/>
        </w:rPr>
        <w:t> </w:t>
      </w:r>
      <w:r>
        <w:rPr>
          <w:sz w:val="20"/>
        </w:rPr>
        <w:t>accidental</w:t>
      </w:r>
      <w:r>
        <w:rPr>
          <w:spacing w:val="17"/>
          <w:sz w:val="20"/>
        </w:rPr>
        <w:t> </w:t>
      </w:r>
      <w:r>
        <w:rPr>
          <w:sz w:val="20"/>
        </w:rPr>
        <w:t>pregnancy,</w:t>
      </w:r>
      <w:r>
        <w:rPr>
          <w:spacing w:val="16"/>
          <w:sz w:val="20"/>
        </w:rPr>
        <w:t> </w:t>
      </w:r>
      <w:r>
        <w:rPr>
          <w:sz w:val="20"/>
        </w:rPr>
        <w:t>stop</w:t>
      </w:r>
      <w:r>
        <w:rPr>
          <w:spacing w:val="18"/>
          <w:sz w:val="20"/>
        </w:rPr>
        <w:t> </w:t>
      </w:r>
      <w:r>
        <w:rPr>
          <w:sz w:val="20"/>
        </w:rPr>
        <w:t>methotrexate</w:t>
      </w:r>
      <w:r>
        <w:rPr>
          <w:spacing w:val="18"/>
          <w:sz w:val="20"/>
        </w:rPr>
        <w:t> </w:t>
      </w:r>
      <w:r>
        <w:rPr>
          <w:sz w:val="20"/>
        </w:rPr>
        <w:t>immediately,</w:t>
      </w:r>
      <w:r>
        <w:rPr>
          <w:spacing w:val="18"/>
          <w:sz w:val="20"/>
        </w:rPr>
        <w:t> </w:t>
      </w:r>
      <w:r>
        <w:rPr>
          <w:sz w:val="20"/>
        </w:rPr>
        <w:t>continue</w:t>
      </w:r>
      <w:r>
        <w:rPr>
          <w:spacing w:val="18"/>
          <w:sz w:val="20"/>
        </w:rPr>
        <w:t> </w:t>
      </w:r>
      <w:r>
        <w:rPr>
          <w:sz w:val="20"/>
        </w:rPr>
        <w:t>folic</w:t>
      </w:r>
      <w:r>
        <w:rPr>
          <w:spacing w:val="17"/>
          <w:sz w:val="20"/>
        </w:rPr>
        <w:t> </w:t>
      </w:r>
      <w:r>
        <w:rPr>
          <w:sz w:val="20"/>
        </w:rPr>
        <w:t>acid</w:t>
      </w:r>
      <w:r>
        <w:rPr>
          <w:spacing w:val="17"/>
          <w:sz w:val="20"/>
        </w:rPr>
        <w:t> </w:t>
      </w:r>
      <w:r>
        <w:rPr>
          <w:sz w:val="20"/>
        </w:rPr>
        <w:t>supplementation</w:t>
      </w:r>
    </w:p>
    <w:p>
      <w:pPr>
        <w:pStyle w:val="BodyText"/>
        <w:ind w:left="1529" w:right="751"/>
      </w:pPr>
      <w:r>
        <w:rPr/>
        <w:t>(5 mg daily) and refer the patient to the specialist for evaluation of foetal risk and advice on further management.</w:t>
      </w:r>
    </w:p>
    <w:p>
      <w:pPr>
        <w:pStyle w:val="ListParagraph"/>
        <w:numPr>
          <w:ilvl w:val="1"/>
          <w:numId w:val="7"/>
        </w:numPr>
        <w:tabs>
          <w:tab w:pos="1529" w:val="left" w:leader="none"/>
          <w:tab w:pos="1530" w:val="left" w:leader="none"/>
        </w:tabs>
        <w:spacing w:line="231" w:lineRule="exact" w:before="0" w:after="0"/>
        <w:ind w:left="1529" w:right="0" w:hanging="360"/>
        <w:jc w:val="left"/>
        <w:rPr>
          <w:sz w:val="20"/>
        </w:rPr>
      </w:pPr>
      <w:r>
        <w:rPr>
          <w:sz w:val="20"/>
        </w:rPr>
        <w:t>Patients should not breastfeed whilst taking</w:t>
      </w:r>
      <w:r>
        <w:rPr>
          <w:spacing w:val="-3"/>
          <w:sz w:val="20"/>
        </w:rPr>
        <w:t> </w:t>
      </w:r>
      <w:r>
        <w:rPr>
          <w:sz w:val="20"/>
        </w:rPr>
        <w:t>methotrexate.</w:t>
      </w:r>
    </w:p>
    <w:p>
      <w:pPr>
        <w:pStyle w:val="BodyText"/>
      </w:pPr>
    </w:p>
    <w:p>
      <w:pPr>
        <w:pStyle w:val="Heading1"/>
        <w:tabs>
          <w:tab w:pos="11020" w:val="left" w:leader="none"/>
        </w:tabs>
        <w:spacing w:before="219"/>
      </w:pPr>
      <w:r>
        <w:rPr>
          <w:color w:val="FFFFFF"/>
          <w:shd w:fill="538DD3" w:color="auto" w:val="clear"/>
        </w:rPr>
        <w:t>References</w:t>
        <w:tab/>
      </w:r>
    </w:p>
    <w:p>
      <w:pPr>
        <w:pStyle w:val="ListParagraph"/>
        <w:numPr>
          <w:ilvl w:val="0"/>
          <w:numId w:val="8"/>
        </w:numPr>
        <w:tabs>
          <w:tab w:pos="1387" w:val="left" w:leader="none"/>
          <w:tab w:pos="1388" w:val="left" w:leader="none"/>
        </w:tabs>
        <w:spacing w:line="240" w:lineRule="auto" w:before="139" w:after="0"/>
        <w:ind w:left="1388" w:right="974" w:hanging="568"/>
        <w:jc w:val="left"/>
        <w:rPr>
          <w:sz w:val="20"/>
        </w:rPr>
      </w:pPr>
      <w:r>
        <w:rPr>
          <w:sz w:val="20"/>
        </w:rPr>
        <w:t>BSR/BHPR guideline for disease-modifying anti-rheumatic drug (DMARD) therapy in consultation with the British Association of Dermatologists. Chakravarty et al.,Rheumatology, 2008. Accessed via</w:t>
      </w:r>
      <w:r>
        <w:rPr>
          <w:color w:val="0000FF"/>
          <w:sz w:val="20"/>
          <w:u w:val="single" w:color="0000FF"/>
        </w:rPr>
        <w:t> </w:t>
      </w:r>
      <w:hyperlink r:id="rId14">
        <w:r>
          <w:rPr>
            <w:color w:val="0000FF"/>
            <w:sz w:val="20"/>
            <w:u w:val="single" w:color="0000FF"/>
          </w:rPr>
          <w:t>http://rheumatology.oxfordjournals.org/cgi/data/kel216a/DC1/1</w:t>
        </w:r>
      </w:hyperlink>
    </w:p>
    <w:p>
      <w:pPr>
        <w:pStyle w:val="ListParagraph"/>
        <w:numPr>
          <w:ilvl w:val="0"/>
          <w:numId w:val="8"/>
        </w:numPr>
        <w:tabs>
          <w:tab w:pos="1387" w:val="left" w:leader="none"/>
          <w:tab w:pos="1388" w:val="left" w:leader="none"/>
        </w:tabs>
        <w:spacing w:line="230" w:lineRule="exact" w:before="0" w:after="0"/>
        <w:ind w:left="1388" w:right="0" w:hanging="568"/>
        <w:jc w:val="left"/>
        <w:rPr>
          <w:sz w:val="20"/>
        </w:rPr>
      </w:pPr>
      <w:r>
        <w:rPr>
          <w:sz w:val="20"/>
        </w:rPr>
        <w:t>National Patient Safety Agency</w:t>
      </w:r>
      <w:r>
        <w:rPr>
          <w:color w:val="0000FF"/>
          <w:spacing w:val="39"/>
          <w:sz w:val="20"/>
        </w:rPr>
        <w:t> </w:t>
      </w:r>
      <w:hyperlink r:id="rId15">
        <w:r>
          <w:rPr>
            <w:color w:val="0000FF"/>
            <w:sz w:val="20"/>
            <w:u w:val="single" w:color="0000FF"/>
          </w:rPr>
          <w:t>www.npsa.nhs.uk</w:t>
        </w:r>
      </w:hyperlink>
    </w:p>
    <w:p>
      <w:pPr>
        <w:pStyle w:val="ListParagraph"/>
        <w:numPr>
          <w:ilvl w:val="0"/>
          <w:numId w:val="8"/>
        </w:numPr>
        <w:tabs>
          <w:tab w:pos="1387" w:val="left" w:leader="none"/>
          <w:tab w:pos="1388" w:val="left" w:leader="none"/>
        </w:tabs>
        <w:spacing w:line="240" w:lineRule="auto" w:before="0" w:after="0"/>
        <w:ind w:left="1388" w:right="1425" w:hanging="568"/>
        <w:jc w:val="left"/>
        <w:rPr>
          <w:sz w:val="20"/>
        </w:rPr>
      </w:pPr>
      <w:r>
        <w:rPr>
          <w:sz w:val="20"/>
        </w:rPr>
        <w:t>Summary of Product Characteristics Maxtrex tablets 2.5 mg. Pharmacia (last updated Oct 2014) - accessed (Mar 2015) via</w:t>
      </w:r>
      <w:r>
        <w:rPr>
          <w:color w:val="0000FF"/>
          <w:spacing w:val="41"/>
          <w:sz w:val="20"/>
        </w:rPr>
        <w:t> </w:t>
      </w:r>
      <w:hyperlink r:id="rId13">
        <w:r>
          <w:rPr>
            <w:color w:val="0000FF"/>
            <w:sz w:val="20"/>
            <w:u w:val="single" w:color="0000FF"/>
          </w:rPr>
          <w:t>www.medicines.org.uk</w:t>
        </w:r>
      </w:hyperlink>
    </w:p>
    <w:p>
      <w:pPr>
        <w:pStyle w:val="ListParagraph"/>
        <w:numPr>
          <w:ilvl w:val="0"/>
          <w:numId w:val="8"/>
        </w:numPr>
        <w:tabs>
          <w:tab w:pos="1387" w:val="left" w:leader="none"/>
          <w:tab w:pos="1388" w:val="left" w:leader="none"/>
        </w:tabs>
        <w:spacing w:line="240" w:lineRule="auto" w:before="0" w:after="0"/>
        <w:ind w:left="1388" w:right="792" w:hanging="568"/>
        <w:jc w:val="left"/>
        <w:rPr>
          <w:sz w:val="20"/>
        </w:rPr>
      </w:pPr>
      <w:r>
        <w:rPr>
          <w:sz w:val="20"/>
        </w:rPr>
        <w:t>Clinical Knowledge Summaries (accessed July 2015);</w:t>
      </w:r>
      <w:r>
        <w:rPr>
          <w:color w:val="0000FF"/>
          <w:sz w:val="20"/>
          <w:u w:val="single" w:color="0000FF"/>
        </w:rPr>
        <w:t> </w:t>
      </w:r>
      <w:hyperlink r:id="rId16">
        <w:r>
          <w:rPr>
            <w:color w:val="0000FF"/>
            <w:spacing w:val="-1"/>
            <w:sz w:val="20"/>
            <w:u w:val="single" w:color="0000FF"/>
          </w:rPr>
          <w:t>http://www.cks.nhs.uk/dmards/management/scenario_methotrexate/methotrexate_monitoring_requirements</w:t>
        </w:r>
      </w:hyperlink>
    </w:p>
    <w:p>
      <w:pPr>
        <w:pStyle w:val="ListParagraph"/>
        <w:numPr>
          <w:ilvl w:val="0"/>
          <w:numId w:val="8"/>
        </w:numPr>
        <w:tabs>
          <w:tab w:pos="1387" w:val="left" w:leader="none"/>
          <w:tab w:pos="1388" w:val="left" w:leader="none"/>
        </w:tabs>
        <w:spacing w:line="230" w:lineRule="exact" w:before="0" w:after="0"/>
        <w:ind w:left="1388" w:right="0" w:hanging="568"/>
        <w:jc w:val="left"/>
        <w:rPr>
          <w:sz w:val="20"/>
        </w:rPr>
      </w:pPr>
      <w:r>
        <w:rPr>
          <w:sz w:val="20"/>
        </w:rPr>
        <w:t>BNF Current Edition. Last accessed BNF68 (March 2015)</w:t>
      </w:r>
      <w:r>
        <w:rPr>
          <w:color w:val="0000FF"/>
          <w:spacing w:val="31"/>
          <w:sz w:val="20"/>
        </w:rPr>
        <w:t> </w:t>
      </w:r>
      <w:hyperlink r:id="rId17">
        <w:r>
          <w:rPr>
            <w:color w:val="0000FF"/>
            <w:sz w:val="20"/>
            <w:u w:val="single" w:color="0000FF"/>
          </w:rPr>
          <w:t>http://bnf.org/bnf/bnf/current/</w:t>
        </w:r>
      </w:hyperlink>
    </w:p>
    <w:p>
      <w:pPr>
        <w:pStyle w:val="ListParagraph"/>
        <w:numPr>
          <w:ilvl w:val="0"/>
          <w:numId w:val="8"/>
        </w:numPr>
        <w:tabs>
          <w:tab w:pos="1387" w:val="left" w:leader="none"/>
          <w:tab w:pos="1388" w:val="left" w:leader="none"/>
        </w:tabs>
        <w:spacing w:line="240" w:lineRule="auto" w:before="0" w:after="0"/>
        <w:ind w:left="1388" w:right="714" w:hanging="568"/>
        <w:jc w:val="left"/>
        <w:rPr>
          <w:sz w:val="20"/>
        </w:rPr>
      </w:pPr>
      <w:r>
        <w:rPr>
          <w:sz w:val="20"/>
        </w:rPr>
        <w:t>The green book – Department of health guidance on Immunisation against infectious disease, chapter 7, last updated Oct 2014 - accessed via</w:t>
      </w:r>
      <w:r>
        <w:rPr>
          <w:color w:val="0000FF"/>
          <w:sz w:val="20"/>
        </w:rPr>
        <w:t> </w:t>
      </w:r>
      <w:hyperlink r:id="rId18">
        <w:r>
          <w:rPr>
            <w:color w:val="0000FF"/>
            <w:sz w:val="20"/>
            <w:u w:val="single" w:color="0000FF"/>
          </w:rPr>
          <w:t>www.gov.uk</w:t>
        </w:r>
        <w:r>
          <w:rPr>
            <w:color w:val="0000FF"/>
            <w:sz w:val="20"/>
          </w:rPr>
          <w:t> </w:t>
        </w:r>
      </w:hyperlink>
      <w:r>
        <w:rPr>
          <w:sz w:val="20"/>
        </w:rPr>
        <w:t>(March</w:t>
      </w:r>
      <w:r>
        <w:rPr>
          <w:spacing w:val="-5"/>
          <w:sz w:val="20"/>
        </w:rPr>
        <w:t> </w:t>
      </w:r>
      <w:r>
        <w:rPr>
          <w:sz w:val="20"/>
        </w:rPr>
        <w:t>2015)</w:t>
      </w:r>
    </w:p>
    <w:p>
      <w:pPr>
        <w:pStyle w:val="ListParagraph"/>
        <w:numPr>
          <w:ilvl w:val="0"/>
          <w:numId w:val="8"/>
        </w:numPr>
        <w:tabs>
          <w:tab w:pos="1387" w:val="left" w:leader="none"/>
          <w:tab w:pos="1388" w:val="left" w:leader="none"/>
        </w:tabs>
        <w:spacing w:line="240" w:lineRule="auto" w:before="1" w:after="0"/>
        <w:ind w:left="1388" w:right="2392" w:hanging="568"/>
        <w:jc w:val="left"/>
        <w:rPr>
          <w:sz w:val="20"/>
        </w:rPr>
      </w:pPr>
      <w:r>
        <w:rPr>
          <w:sz w:val="20"/>
        </w:rPr>
        <w:t>Centre for disease and control, vaccine information sheet for pneumoccus – accessed via</w:t>
      </w:r>
      <w:r>
        <w:rPr>
          <w:color w:val="0000FF"/>
          <w:sz w:val="20"/>
          <w:u w:val="single" w:color="0000FF"/>
        </w:rPr>
        <w:t> </w:t>
      </w:r>
      <w:hyperlink r:id="rId19">
        <w:r>
          <w:rPr>
            <w:color w:val="0000FF"/>
            <w:sz w:val="20"/>
            <w:u w:val="single" w:color="0000FF"/>
          </w:rPr>
          <w:t>http://www.cdc.gov/vaccines/hcp/vis/vis-statements/ppv.html</w:t>
        </w:r>
        <w:r>
          <w:rPr>
            <w:color w:val="0000FF"/>
            <w:sz w:val="20"/>
          </w:rPr>
          <w:t> </w:t>
        </w:r>
      </w:hyperlink>
      <w:r>
        <w:rPr>
          <w:sz w:val="20"/>
        </w:rPr>
        <w:t>(accessed March</w:t>
      </w:r>
      <w:r>
        <w:rPr>
          <w:spacing w:val="-3"/>
          <w:sz w:val="20"/>
        </w:rPr>
        <w:t> </w:t>
      </w:r>
      <w:r>
        <w:rPr>
          <w:sz w:val="20"/>
        </w:rPr>
        <w:t>2015)</w:t>
      </w:r>
    </w:p>
    <w:p>
      <w:pPr>
        <w:pStyle w:val="ListParagraph"/>
        <w:numPr>
          <w:ilvl w:val="0"/>
          <w:numId w:val="8"/>
        </w:numPr>
        <w:tabs>
          <w:tab w:pos="1387" w:val="left" w:leader="none"/>
          <w:tab w:pos="1388" w:val="left" w:leader="none"/>
        </w:tabs>
        <w:spacing w:line="230" w:lineRule="exact" w:before="0" w:after="0"/>
        <w:ind w:left="1388" w:right="0" w:hanging="568"/>
        <w:jc w:val="left"/>
        <w:rPr>
          <w:sz w:val="20"/>
        </w:rPr>
      </w:pPr>
      <w:r>
        <w:rPr>
          <w:sz w:val="20"/>
        </w:rPr>
        <w:t>British Association of Dermatology recommendations.</w:t>
      </w:r>
      <w:r>
        <w:rPr>
          <w:color w:val="0000FF"/>
          <w:spacing w:val="-3"/>
          <w:sz w:val="20"/>
        </w:rPr>
        <w:t> </w:t>
      </w:r>
      <w:hyperlink r:id="rId20">
        <w:r>
          <w:rPr>
            <w:color w:val="0000FF"/>
            <w:sz w:val="20"/>
            <w:u w:val="single" w:color="0000FF"/>
          </w:rPr>
          <w:t>http://www.bad.org.uk/shared/get-</w:t>
        </w:r>
      </w:hyperlink>
    </w:p>
    <w:p>
      <w:pPr>
        <w:spacing w:after="0" w:line="230" w:lineRule="exact"/>
        <w:jc w:val="left"/>
        <w:rPr>
          <w:sz w:val="20"/>
        </w:rPr>
        <w:sectPr>
          <w:pgSz w:w="11910" w:h="16840"/>
          <w:pgMar w:header="0" w:footer="1240" w:top="1540" w:bottom="1520" w:left="160" w:right="40"/>
        </w:sectPr>
      </w:pPr>
    </w:p>
    <w:p>
      <w:pPr>
        <w:pStyle w:val="BodyText"/>
        <w:spacing w:line="230" w:lineRule="exact" w:before="71"/>
        <w:ind w:left="1388"/>
      </w:pPr>
      <w:hyperlink r:id="rId20">
        <w:r>
          <w:rPr>
            <w:color w:val="0000FF"/>
            <w:u w:val="single" w:color="0000FF"/>
          </w:rPr>
          <w:t>file.ashx?id=106&amp;itemtype=document</w:t>
        </w:r>
      </w:hyperlink>
    </w:p>
    <w:p>
      <w:pPr>
        <w:pStyle w:val="ListParagraph"/>
        <w:numPr>
          <w:ilvl w:val="0"/>
          <w:numId w:val="8"/>
        </w:numPr>
        <w:tabs>
          <w:tab w:pos="1387" w:val="left" w:leader="none"/>
          <w:tab w:pos="1388" w:val="left" w:leader="none"/>
        </w:tabs>
        <w:spacing w:line="240" w:lineRule="auto" w:before="0" w:after="0"/>
        <w:ind w:left="1388" w:right="947" w:hanging="568"/>
        <w:jc w:val="left"/>
        <w:rPr>
          <w:sz w:val="20"/>
        </w:rPr>
      </w:pPr>
      <w:r>
        <w:rPr>
          <w:sz w:val="20"/>
        </w:rPr>
        <w:t>BSR/BHPR Guideline on prescribing drugs in pregnancy and breastfeeding – Part I: standard and biologic disease-modifying anti-rheumatic drugs and corticosteroids. Flint J </w:t>
      </w:r>
      <w:r>
        <w:rPr>
          <w:i/>
          <w:sz w:val="20"/>
        </w:rPr>
        <w:t>et al</w:t>
      </w:r>
      <w:r>
        <w:rPr>
          <w:sz w:val="20"/>
        </w:rPr>
        <w:t>. 2016 Accessed via:</w:t>
      </w:r>
      <w:r>
        <w:rPr>
          <w:color w:val="0000FF"/>
          <w:sz w:val="20"/>
          <w:u w:val="single" w:color="0000FF"/>
        </w:rPr>
        <w:t> </w:t>
      </w:r>
      <w:hyperlink r:id="rId21">
        <w:r>
          <w:rPr>
            <w:color w:val="0000FF"/>
            <w:sz w:val="20"/>
            <w:u w:val="single" w:color="0000FF"/>
          </w:rPr>
          <w:t>http://rheumatology.oxfordjournals.org/content/suppl/2016/01/09/kev404.DC1/kev404-Full_Guidelines.pdf</w:t>
        </w:r>
      </w:hyperlink>
    </w:p>
    <w:p>
      <w:pPr>
        <w:pStyle w:val="ListParagraph"/>
        <w:numPr>
          <w:ilvl w:val="0"/>
          <w:numId w:val="8"/>
        </w:numPr>
        <w:tabs>
          <w:tab w:pos="1387" w:val="left" w:leader="none"/>
          <w:tab w:pos="1388" w:val="left" w:leader="none"/>
        </w:tabs>
        <w:spacing w:line="240" w:lineRule="auto" w:before="0" w:after="0"/>
        <w:ind w:left="1388" w:right="1092" w:hanging="568"/>
        <w:jc w:val="left"/>
        <w:rPr>
          <w:sz w:val="20"/>
        </w:rPr>
      </w:pPr>
      <w:r>
        <w:rPr>
          <w:sz w:val="20"/>
        </w:rPr>
        <w:t>General Medical Council - Good practice in prescribing and managing medicines and devices – Prescribing Guidance: Prescribing unlicensed medicines (January 2013) - accessed via http://www.gmc- uk.org/guidance/ethical_guidance/14327.asp</w:t>
      </w:r>
    </w:p>
    <w:p>
      <w:pPr>
        <w:pStyle w:val="ListParagraph"/>
        <w:numPr>
          <w:ilvl w:val="0"/>
          <w:numId w:val="8"/>
        </w:numPr>
        <w:tabs>
          <w:tab w:pos="1387" w:val="left" w:leader="none"/>
          <w:tab w:pos="1388" w:val="left" w:leader="none"/>
        </w:tabs>
        <w:spacing w:line="240" w:lineRule="auto" w:before="0" w:after="0"/>
        <w:ind w:left="1388" w:right="1615" w:hanging="568"/>
        <w:jc w:val="left"/>
        <w:rPr>
          <w:sz w:val="20"/>
        </w:rPr>
      </w:pPr>
      <w:r>
        <w:rPr>
          <w:sz w:val="20"/>
        </w:rPr>
        <w:t>North Central London Joint Formulary Committee (NCL JFC) Minutes August 2016 – accessed via https:/</w:t>
      </w:r>
      <w:hyperlink r:id="rId22">
        <w:r>
          <w:rPr>
            <w:sz w:val="20"/>
          </w:rPr>
          <w:t>/www.ncl</w:t>
        </w:r>
      </w:hyperlink>
      <w:r>
        <w:rPr>
          <w:sz w:val="20"/>
        </w:rPr>
        <w:t>-</w:t>
      </w:r>
      <w:hyperlink r:id="rId22">
        <w:r>
          <w:rPr>
            <w:sz w:val="20"/>
          </w:rPr>
          <w:t>mon.nhs.uk/documentation/ncl-jfc/minutes/</w:t>
        </w:r>
      </w:hyperlink>
    </w:p>
    <w:p>
      <w:pPr>
        <w:pStyle w:val="ListParagraph"/>
        <w:numPr>
          <w:ilvl w:val="0"/>
          <w:numId w:val="8"/>
        </w:numPr>
        <w:tabs>
          <w:tab w:pos="1387" w:val="left" w:leader="none"/>
          <w:tab w:pos="1388" w:val="left" w:leader="none"/>
        </w:tabs>
        <w:spacing w:line="240" w:lineRule="auto" w:before="1" w:after="0"/>
        <w:ind w:left="1388" w:right="870" w:hanging="568"/>
        <w:jc w:val="left"/>
        <w:rPr>
          <w:sz w:val="20"/>
        </w:rPr>
      </w:pPr>
      <w:r>
        <w:rPr>
          <w:sz w:val="20"/>
        </w:rPr>
        <w:t>Medicines and Healthcare products Regulatory Agency. Methotrexate once-weekly for autoimmune diseases: new measures to reduce risk of fatal overdose due to inadvertent daily instead of weekly dosing. Accessed via</w:t>
      </w:r>
      <w:r>
        <w:rPr>
          <w:color w:val="0000FF"/>
          <w:sz w:val="20"/>
        </w:rPr>
        <w:t> </w:t>
      </w:r>
      <w:hyperlink r:id="rId11">
        <w:r>
          <w:rPr>
            <w:color w:val="0000FF"/>
            <w:sz w:val="20"/>
            <w:u w:val="single" w:color="0000FF"/>
          </w:rPr>
          <w:t>https://www.gov.uk/drug-safety-update/methotrexate-once-weekly-for-autoimmune-diseases-</w:t>
        </w:r>
      </w:hyperlink>
      <w:hyperlink r:id="rId11">
        <w:r>
          <w:rPr>
            <w:color w:val="0000FF"/>
            <w:sz w:val="20"/>
            <w:u w:val="single" w:color="0000FF"/>
          </w:rPr>
          <w:t> new-measures-to-reduce-risk-of-fatal-overdose-due-to-inadvertent-daily-instead-of-weekly-dosing</w:t>
        </w:r>
      </w:hyperlink>
    </w:p>
    <w:p>
      <w:pPr>
        <w:spacing w:after="0" w:line="240" w:lineRule="auto"/>
        <w:jc w:val="left"/>
        <w:rPr>
          <w:sz w:val="20"/>
        </w:rPr>
        <w:sectPr>
          <w:pgSz w:w="11910" w:h="16840"/>
          <w:pgMar w:header="0" w:footer="1240" w:top="1560" w:bottom="1520" w:left="160" w:right="40"/>
        </w:sectPr>
      </w:pPr>
    </w:p>
    <w:p>
      <w:pPr>
        <w:pStyle w:val="Heading1"/>
        <w:tabs>
          <w:tab w:pos="11015" w:val="left" w:leader="none"/>
        </w:tabs>
        <w:spacing w:before="71"/>
        <w:ind w:left="759"/>
      </w:pPr>
      <w:r>
        <w:rPr>
          <w:color w:val="FFFFFF"/>
          <w:spacing w:val="-8"/>
          <w:w w:val="100"/>
          <w:shd w:fill="538DD3" w:color="auto" w:val="clear"/>
        </w:rPr>
        <w:t> </w:t>
      </w:r>
      <w:r>
        <w:rPr>
          <w:color w:val="FFFFFF"/>
          <w:shd w:fill="538DD3" w:color="auto" w:val="clear"/>
        </w:rPr>
        <w:t>Contact</w:t>
      </w:r>
      <w:r>
        <w:rPr>
          <w:color w:val="FFFFFF"/>
          <w:spacing w:val="-2"/>
          <w:shd w:fill="538DD3" w:color="auto" w:val="clear"/>
        </w:rPr>
        <w:t> </w:t>
      </w:r>
      <w:r>
        <w:rPr>
          <w:color w:val="FFFFFF"/>
          <w:shd w:fill="538DD3" w:color="auto" w:val="clear"/>
        </w:rPr>
        <w:t>Details</w:t>
        <w:tab/>
      </w:r>
    </w:p>
    <w:p>
      <w:pPr>
        <w:pStyle w:val="BodyText"/>
        <w:spacing w:before="10"/>
        <w:rPr>
          <w:b/>
          <w:sz w:val="15"/>
        </w:rPr>
      </w:pPr>
    </w:p>
    <w:tbl>
      <w:tblPr>
        <w:tblW w:w="0" w:type="auto"/>
        <w:jc w:val="left"/>
        <w:tblInd w:w="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4"/>
        <w:gridCol w:w="6145"/>
      </w:tblGrid>
      <w:tr>
        <w:trPr>
          <w:trHeight w:val="230" w:hRule="atLeast"/>
        </w:trPr>
        <w:tc>
          <w:tcPr>
            <w:tcW w:w="10079" w:type="dxa"/>
            <w:gridSpan w:val="2"/>
            <w:tcBorders>
              <w:top w:val="single" w:sz="12" w:space="0" w:color="585858"/>
              <w:left w:val="single" w:sz="12" w:space="0" w:color="585858"/>
              <w:bottom w:val="single" w:sz="12" w:space="0" w:color="585858"/>
              <w:right w:val="single" w:sz="12" w:space="0" w:color="585858"/>
            </w:tcBorders>
            <w:shd w:val="clear" w:color="auto" w:fill="C5D9F0"/>
          </w:tcPr>
          <w:p>
            <w:pPr>
              <w:pStyle w:val="TableParagraph"/>
              <w:spacing w:line="210" w:lineRule="exact" w:before="1"/>
              <w:rPr>
                <w:b/>
                <w:sz w:val="20"/>
              </w:rPr>
            </w:pPr>
            <w:r>
              <w:rPr>
                <w:b/>
                <w:sz w:val="20"/>
              </w:rPr>
              <w:t>Whittington Hospital</w:t>
            </w:r>
          </w:p>
        </w:tc>
      </w:tr>
      <w:tr>
        <w:trPr>
          <w:trHeight w:val="233" w:hRule="atLeast"/>
        </w:trPr>
        <w:tc>
          <w:tcPr>
            <w:tcW w:w="3934" w:type="dxa"/>
            <w:tcBorders>
              <w:top w:val="single" w:sz="12" w:space="0" w:color="585858"/>
              <w:left w:val="single" w:sz="12" w:space="0" w:color="585858"/>
            </w:tcBorders>
          </w:tcPr>
          <w:p>
            <w:pPr>
              <w:pStyle w:val="TableParagraph"/>
              <w:spacing w:line="213" w:lineRule="exact" w:before="1"/>
              <w:rPr>
                <w:sz w:val="20"/>
              </w:rPr>
            </w:pPr>
            <w:r>
              <w:rPr>
                <w:sz w:val="20"/>
              </w:rPr>
              <w:t>Switchboard number:</w:t>
            </w:r>
          </w:p>
        </w:tc>
        <w:tc>
          <w:tcPr>
            <w:tcW w:w="6145" w:type="dxa"/>
            <w:tcBorders>
              <w:top w:val="single" w:sz="12" w:space="0" w:color="585858"/>
              <w:right w:val="single" w:sz="12" w:space="0" w:color="585858"/>
            </w:tcBorders>
          </w:tcPr>
          <w:p>
            <w:pPr>
              <w:pStyle w:val="TableParagraph"/>
              <w:spacing w:line="213" w:lineRule="exact" w:before="1"/>
              <w:ind w:left="1283"/>
              <w:rPr>
                <w:sz w:val="20"/>
              </w:rPr>
            </w:pPr>
            <w:r>
              <w:rPr>
                <w:sz w:val="20"/>
              </w:rPr>
              <w:t>0207 272 3070</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Rheumatology CNS:</w:t>
            </w:r>
          </w:p>
        </w:tc>
        <w:tc>
          <w:tcPr>
            <w:tcW w:w="6145" w:type="dxa"/>
            <w:tcBorders>
              <w:right w:val="single" w:sz="12" w:space="0" w:color="585858"/>
            </w:tcBorders>
          </w:tcPr>
          <w:p>
            <w:pPr>
              <w:pStyle w:val="TableParagraph"/>
              <w:spacing w:line="210" w:lineRule="exact"/>
              <w:ind w:left="1283"/>
              <w:rPr>
                <w:sz w:val="20"/>
              </w:rPr>
            </w:pPr>
            <w:r>
              <w:rPr>
                <w:sz w:val="20"/>
              </w:rPr>
              <w:t>0207 288 5257</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Rheumatology consultant:</w:t>
            </w:r>
          </w:p>
        </w:tc>
        <w:tc>
          <w:tcPr>
            <w:tcW w:w="6145" w:type="dxa"/>
            <w:tcBorders>
              <w:right w:val="single" w:sz="12" w:space="0" w:color="585858"/>
            </w:tcBorders>
          </w:tcPr>
          <w:p>
            <w:pPr>
              <w:pStyle w:val="TableParagraph"/>
              <w:spacing w:line="210" w:lineRule="exact"/>
              <w:ind w:left="1283"/>
              <w:rPr>
                <w:sz w:val="20"/>
              </w:rPr>
            </w:pPr>
            <w:r>
              <w:rPr>
                <w:sz w:val="20"/>
              </w:rPr>
              <w:t>0207 288 5740</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CNS:</w:t>
            </w:r>
          </w:p>
        </w:tc>
        <w:tc>
          <w:tcPr>
            <w:tcW w:w="6145" w:type="dxa"/>
            <w:tcBorders>
              <w:right w:val="single" w:sz="12" w:space="0" w:color="585858"/>
            </w:tcBorders>
          </w:tcPr>
          <w:p>
            <w:pPr>
              <w:pStyle w:val="TableParagraph"/>
              <w:spacing w:line="210" w:lineRule="exact"/>
              <w:ind w:left="1283"/>
              <w:rPr>
                <w:sz w:val="20"/>
              </w:rPr>
            </w:pPr>
            <w:r>
              <w:rPr>
                <w:sz w:val="20"/>
              </w:rPr>
              <w:t>0207 288 5062</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consultant:</w:t>
            </w:r>
          </w:p>
        </w:tc>
        <w:tc>
          <w:tcPr>
            <w:tcW w:w="6145" w:type="dxa"/>
            <w:tcBorders>
              <w:right w:val="single" w:sz="12" w:space="0" w:color="585858"/>
            </w:tcBorders>
          </w:tcPr>
          <w:p>
            <w:pPr>
              <w:pStyle w:val="TableParagraph"/>
              <w:spacing w:line="210" w:lineRule="exact"/>
              <w:ind w:left="1283"/>
              <w:rPr>
                <w:sz w:val="20"/>
              </w:rPr>
            </w:pPr>
            <w:r>
              <w:rPr>
                <w:sz w:val="20"/>
              </w:rPr>
              <w:t>0207 288 5266</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Gastroenterology CNS:</w:t>
            </w:r>
          </w:p>
        </w:tc>
        <w:tc>
          <w:tcPr>
            <w:tcW w:w="6145" w:type="dxa"/>
            <w:tcBorders>
              <w:right w:val="single" w:sz="12" w:space="0" w:color="585858"/>
            </w:tcBorders>
          </w:tcPr>
          <w:p>
            <w:pPr>
              <w:pStyle w:val="TableParagraph"/>
              <w:spacing w:line="210" w:lineRule="exact"/>
              <w:ind w:left="1283"/>
              <w:rPr>
                <w:sz w:val="20"/>
              </w:rPr>
            </w:pPr>
            <w:r>
              <w:rPr>
                <w:sz w:val="20"/>
              </w:rPr>
              <w:t>Bleep 2893 or Extension 5692</w:t>
            </w:r>
          </w:p>
        </w:tc>
      </w:tr>
      <w:tr>
        <w:trPr>
          <w:trHeight w:val="686" w:hRule="atLeast"/>
        </w:trPr>
        <w:tc>
          <w:tcPr>
            <w:tcW w:w="3934" w:type="dxa"/>
            <w:tcBorders>
              <w:left w:val="single" w:sz="12" w:space="0" w:color="585858"/>
              <w:bottom w:val="single" w:sz="12" w:space="0" w:color="585858"/>
            </w:tcBorders>
          </w:tcPr>
          <w:p>
            <w:pPr>
              <w:pStyle w:val="TableParagraph"/>
              <w:ind w:right="1233"/>
              <w:rPr>
                <w:sz w:val="20"/>
              </w:rPr>
            </w:pPr>
            <w:r>
              <w:rPr>
                <w:sz w:val="20"/>
              </w:rPr>
              <w:t>Gastroenterology consultant: Gastroenterology Registrars:</w:t>
            </w:r>
          </w:p>
          <w:p>
            <w:pPr>
              <w:pStyle w:val="TableParagraph"/>
              <w:spacing w:line="209" w:lineRule="exact"/>
              <w:rPr>
                <w:sz w:val="20"/>
              </w:rPr>
            </w:pPr>
            <w:r>
              <w:rPr>
                <w:sz w:val="20"/>
              </w:rPr>
              <w:t>GI Helpline:</w:t>
            </w:r>
          </w:p>
        </w:tc>
        <w:tc>
          <w:tcPr>
            <w:tcW w:w="6145" w:type="dxa"/>
            <w:tcBorders>
              <w:bottom w:val="single" w:sz="12" w:space="0" w:color="585858"/>
              <w:right w:val="single" w:sz="12" w:space="0" w:color="585858"/>
            </w:tcBorders>
          </w:tcPr>
          <w:p>
            <w:pPr>
              <w:pStyle w:val="TableParagraph"/>
              <w:ind w:left="1283" w:right="3081"/>
              <w:rPr>
                <w:sz w:val="20"/>
              </w:rPr>
            </w:pPr>
            <w:r>
              <w:rPr>
                <w:sz w:val="20"/>
              </w:rPr>
              <w:t>Via switchboard Bleep 3036 or 3113</w:t>
            </w:r>
          </w:p>
          <w:p>
            <w:pPr>
              <w:pStyle w:val="TableParagraph"/>
              <w:spacing w:line="209" w:lineRule="exact"/>
              <w:ind w:left="1283"/>
              <w:rPr>
                <w:sz w:val="20"/>
              </w:rPr>
            </w:pPr>
            <w:r>
              <w:rPr>
                <w:sz w:val="20"/>
              </w:rPr>
              <w:t>020 7288 5692</w:t>
            </w:r>
          </w:p>
        </w:tc>
      </w:tr>
      <w:tr>
        <w:trPr>
          <w:trHeight w:val="229" w:hRule="atLeast"/>
        </w:trPr>
        <w:tc>
          <w:tcPr>
            <w:tcW w:w="10079" w:type="dxa"/>
            <w:gridSpan w:val="2"/>
            <w:tcBorders>
              <w:top w:val="single" w:sz="12" w:space="0" w:color="585858"/>
              <w:left w:val="single" w:sz="12" w:space="0" w:color="585858"/>
              <w:bottom w:val="single" w:sz="12" w:space="0" w:color="585858"/>
              <w:right w:val="single" w:sz="12" w:space="0" w:color="585858"/>
            </w:tcBorders>
            <w:shd w:val="clear" w:color="auto" w:fill="C5D9F0"/>
          </w:tcPr>
          <w:p>
            <w:pPr>
              <w:pStyle w:val="TableParagraph"/>
              <w:spacing w:line="209" w:lineRule="exact"/>
              <w:rPr>
                <w:b/>
                <w:sz w:val="20"/>
              </w:rPr>
            </w:pPr>
            <w:r>
              <w:rPr>
                <w:b/>
                <w:sz w:val="20"/>
              </w:rPr>
              <w:t>North Middlesex Hospital</w:t>
            </w:r>
          </w:p>
        </w:tc>
      </w:tr>
      <w:tr>
        <w:trPr>
          <w:trHeight w:val="234" w:hRule="atLeast"/>
        </w:trPr>
        <w:tc>
          <w:tcPr>
            <w:tcW w:w="3934" w:type="dxa"/>
            <w:tcBorders>
              <w:top w:val="single" w:sz="12" w:space="0" w:color="585858"/>
              <w:left w:val="single" w:sz="12" w:space="0" w:color="585858"/>
            </w:tcBorders>
          </w:tcPr>
          <w:p>
            <w:pPr>
              <w:pStyle w:val="TableParagraph"/>
              <w:spacing w:line="213" w:lineRule="exact" w:before="1"/>
              <w:rPr>
                <w:sz w:val="20"/>
              </w:rPr>
            </w:pPr>
            <w:r>
              <w:rPr>
                <w:sz w:val="20"/>
              </w:rPr>
              <w:t>Switchboard number:</w:t>
            </w:r>
          </w:p>
        </w:tc>
        <w:tc>
          <w:tcPr>
            <w:tcW w:w="6145" w:type="dxa"/>
            <w:tcBorders>
              <w:top w:val="single" w:sz="12" w:space="0" w:color="585858"/>
              <w:right w:val="single" w:sz="12" w:space="0" w:color="585858"/>
            </w:tcBorders>
          </w:tcPr>
          <w:p>
            <w:pPr>
              <w:pStyle w:val="TableParagraph"/>
              <w:spacing w:line="213" w:lineRule="exact" w:before="1"/>
              <w:ind w:left="1283"/>
              <w:rPr>
                <w:sz w:val="20"/>
              </w:rPr>
            </w:pPr>
            <w:r>
              <w:rPr>
                <w:sz w:val="20"/>
              </w:rPr>
              <w:t>0208 887 2000</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CNS:</w:t>
            </w:r>
          </w:p>
        </w:tc>
        <w:tc>
          <w:tcPr>
            <w:tcW w:w="6145" w:type="dxa"/>
            <w:tcBorders>
              <w:right w:val="single" w:sz="12" w:space="0" w:color="585858"/>
            </w:tcBorders>
          </w:tcPr>
          <w:p>
            <w:pPr>
              <w:pStyle w:val="TableParagraph"/>
              <w:spacing w:line="210" w:lineRule="exact"/>
              <w:ind w:left="1283"/>
              <w:rPr>
                <w:sz w:val="20"/>
              </w:rPr>
            </w:pPr>
            <w:r>
              <w:rPr>
                <w:sz w:val="20"/>
              </w:rPr>
              <w:t>0208 887 3662</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consultant:</w:t>
            </w:r>
          </w:p>
        </w:tc>
        <w:tc>
          <w:tcPr>
            <w:tcW w:w="6145" w:type="dxa"/>
            <w:tcBorders>
              <w:right w:val="single" w:sz="12" w:space="0" w:color="585858"/>
            </w:tcBorders>
          </w:tcPr>
          <w:p>
            <w:pPr>
              <w:pStyle w:val="TableParagraph"/>
              <w:spacing w:line="210" w:lineRule="exact"/>
              <w:ind w:left="1283"/>
              <w:rPr>
                <w:sz w:val="20"/>
              </w:rPr>
            </w:pPr>
            <w:r>
              <w:rPr>
                <w:sz w:val="20"/>
              </w:rPr>
              <w:t>0208 887 2347</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Dermatology CNS:</w:t>
            </w:r>
          </w:p>
        </w:tc>
        <w:tc>
          <w:tcPr>
            <w:tcW w:w="6145" w:type="dxa"/>
            <w:tcBorders>
              <w:right w:val="single" w:sz="12" w:space="0" w:color="585858"/>
            </w:tcBorders>
          </w:tcPr>
          <w:p>
            <w:pPr>
              <w:pStyle w:val="TableParagraph"/>
              <w:spacing w:line="210" w:lineRule="exact"/>
              <w:ind w:left="1283"/>
              <w:rPr>
                <w:sz w:val="20"/>
              </w:rPr>
            </w:pPr>
            <w:r>
              <w:rPr>
                <w:sz w:val="20"/>
              </w:rPr>
              <w:t>0208 887 2426</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Gastroenterology CNS:</w:t>
            </w:r>
          </w:p>
        </w:tc>
        <w:tc>
          <w:tcPr>
            <w:tcW w:w="6145" w:type="dxa"/>
            <w:tcBorders>
              <w:right w:val="single" w:sz="12" w:space="0" w:color="585858"/>
            </w:tcBorders>
          </w:tcPr>
          <w:p>
            <w:pPr>
              <w:pStyle w:val="TableParagraph"/>
              <w:spacing w:line="210" w:lineRule="exact"/>
              <w:ind w:left="1283"/>
              <w:rPr>
                <w:sz w:val="20"/>
              </w:rPr>
            </w:pPr>
            <w:r>
              <w:rPr>
                <w:sz w:val="20"/>
              </w:rPr>
              <w:t>0208 887 2960</w:t>
            </w:r>
          </w:p>
        </w:tc>
      </w:tr>
      <w:tr>
        <w:trPr>
          <w:trHeight w:val="226" w:hRule="atLeast"/>
        </w:trPr>
        <w:tc>
          <w:tcPr>
            <w:tcW w:w="3934" w:type="dxa"/>
            <w:tcBorders>
              <w:left w:val="single" w:sz="12" w:space="0" w:color="585858"/>
              <w:bottom w:val="single" w:sz="12" w:space="0" w:color="585858"/>
            </w:tcBorders>
          </w:tcPr>
          <w:p>
            <w:pPr>
              <w:pStyle w:val="TableParagraph"/>
              <w:spacing w:line="206" w:lineRule="exact"/>
              <w:rPr>
                <w:sz w:val="20"/>
              </w:rPr>
            </w:pPr>
            <w:r>
              <w:rPr>
                <w:sz w:val="20"/>
              </w:rPr>
              <w:t>Gastroenterology consultant:</w:t>
            </w:r>
          </w:p>
        </w:tc>
        <w:tc>
          <w:tcPr>
            <w:tcW w:w="6145" w:type="dxa"/>
            <w:tcBorders>
              <w:bottom w:val="single" w:sz="12" w:space="0" w:color="585858"/>
              <w:right w:val="single" w:sz="12" w:space="0" w:color="585858"/>
            </w:tcBorders>
          </w:tcPr>
          <w:p>
            <w:pPr>
              <w:pStyle w:val="TableParagraph"/>
              <w:spacing w:line="206" w:lineRule="exact"/>
              <w:ind w:left="1283"/>
              <w:rPr>
                <w:sz w:val="20"/>
              </w:rPr>
            </w:pPr>
            <w:r>
              <w:rPr>
                <w:sz w:val="20"/>
              </w:rPr>
              <w:t>0208 887 2251</w:t>
            </w:r>
          </w:p>
        </w:tc>
      </w:tr>
      <w:tr>
        <w:trPr>
          <w:trHeight w:val="230" w:hRule="atLeast"/>
        </w:trPr>
        <w:tc>
          <w:tcPr>
            <w:tcW w:w="10079" w:type="dxa"/>
            <w:gridSpan w:val="2"/>
            <w:tcBorders>
              <w:top w:val="single" w:sz="12" w:space="0" w:color="585858"/>
              <w:left w:val="single" w:sz="12" w:space="0" w:color="585858"/>
              <w:bottom w:val="single" w:sz="12" w:space="0" w:color="585858"/>
              <w:right w:val="single" w:sz="12" w:space="0" w:color="585858"/>
            </w:tcBorders>
            <w:shd w:val="clear" w:color="auto" w:fill="C5D9F0"/>
          </w:tcPr>
          <w:p>
            <w:pPr>
              <w:pStyle w:val="TableParagraph"/>
              <w:spacing w:line="210" w:lineRule="exact" w:before="1"/>
              <w:rPr>
                <w:b/>
                <w:sz w:val="20"/>
              </w:rPr>
            </w:pPr>
            <w:r>
              <w:rPr>
                <w:b/>
                <w:sz w:val="20"/>
              </w:rPr>
              <w:t>Royal Free Hospital</w:t>
            </w:r>
          </w:p>
        </w:tc>
      </w:tr>
      <w:tr>
        <w:trPr>
          <w:trHeight w:val="233" w:hRule="atLeast"/>
        </w:trPr>
        <w:tc>
          <w:tcPr>
            <w:tcW w:w="3934" w:type="dxa"/>
            <w:tcBorders>
              <w:top w:val="single" w:sz="12" w:space="0" w:color="585858"/>
              <w:left w:val="single" w:sz="12" w:space="0" w:color="585858"/>
            </w:tcBorders>
          </w:tcPr>
          <w:p>
            <w:pPr>
              <w:pStyle w:val="TableParagraph"/>
              <w:spacing w:line="213" w:lineRule="exact" w:before="1"/>
              <w:rPr>
                <w:sz w:val="20"/>
              </w:rPr>
            </w:pPr>
            <w:r>
              <w:rPr>
                <w:sz w:val="20"/>
              </w:rPr>
              <w:t>Switchboard number:</w:t>
            </w:r>
          </w:p>
        </w:tc>
        <w:tc>
          <w:tcPr>
            <w:tcW w:w="6145" w:type="dxa"/>
            <w:tcBorders>
              <w:top w:val="single" w:sz="12" w:space="0" w:color="585858"/>
              <w:right w:val="single" w:sz="12" w:space="0" w:color="585858"/>
            </w:tcBorders>
          </w:tcPr>
          <w:p>
            <w:pPr>
              <w:pStyle w:val="TableParagraph"/>
              <w:spacing w:line="213" w:lineRule="exact" w:before="1"/>
              <w:ind w:left="1283"/>
              <w:rPr>
                <w:sz w:val="20"/>
              </w:rPr>
            </w:pPr>
            <w:r>
              <w:rPr>
                <w:sz w:val="20"/>
              </w:rPr>
              <w:t>0207 794 0500</w:t>
            </w:r>
          </w:p>
        </w:tc>
      </w:tr>
      <w:tr>
        <w:trPr>
          <w:trHeight w:val="460" w:hRule="atLeast"/>
        </w:trPr>
        <w:tc>
          <w:tcPr>
            <w:tcW w:w="3934" w:type="dxa"/>
            <w:tcBorders>
              <w:left w:val="single" w:sz="12" w:space="0" w:color="585858"/>
            </w:tcBorders>
          </w:tcPr>
          <w:p>
            <w:pPr>
              <w:pStyle w:val="TableParagraph"/>
              <w:spacing w:before="111"/>
              <w:rPr>
                <w:sz w:val="20"/>
              </w:rPr>
            </w:pPr>
            <w:r>
              <w:rPr>
                <w:sz w:val="20"/>
              </w:rPr>
              <w:t>Rheumatology CNS:</w:t>
            </w:r>
          </w:p>
        </w:tc>
        <w:tc>
          <w:tcPr>
            <w:tcW w:w="6145" w:type="dxa"/>
            <w:tcBorders>
              <w:right w:val="single" w:sz="12" w:space="0" w:color="585858"/>
            </w:tcBorders>
          </w:tcPr>
          <w:p>
            <w:pPr>
              <w:pStyle w:val="TableParagraph"/>
              <w:spacing w:line="226" w:lineRule="exact"/>
              <w:ind w:left="1283"/>
              <w:rPr>
                <w:sz w:val="20"/>
              </w:rPr>
            </w:pPr>
            <w:r>
              <w:rPr>
                <w:sz w:val="20"/>
              </w:rPr>
              <w:t>Extension 32494 / 34062 or</w:t>
            </w:r>
          </w:p>
          <w:p>
            <w:pPr>
              <w:pStyle w:val="TableParagraph"/>
              <w:spacing w:line="213" w:lineRule="exact"/>
              <w:ind w:left="1283"/>
              <w:rPr>
                <w:sz w:val="20"/>
              </w:rPr>
            </w:pPr>
            <w:hyperlink r:id="rId23">
              <w:r>
                <w:rPr>
                  <w:color w:val="0000FF"/>
                  <w:sz w:val="20"/>
                  <w:u w:val="single" w:color="0000FF"/>
                </w:rPr>
                <w:t>rf-tr.rheumnurseshampstead@nhs.net</w:t>
              </w:r>
            </w:hyperlink>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consultant:</w:t>
            </w:r>
          </w:p>
        </w:tc>
        <w:tc>
          <w:tcPr>
            <w:tcW w:w="6145" w:type="dxa"/>
            <w:tcBorders>
              <w:right w:val="single" w:sz="12" w:space="0" w:color="585858"/>
            </w:tcBorders>
          </w:tcPr>
          <w:p>
            <w:pPr>
              <w:pStyle w:val="TableParagraph"/>
              <w:spacing w:line="210" w:lineRule="exact"/>
              <w:ind w:left="1283"/>
              <w:rPr>
                <w:sz w:val="20"/>
              </w:rPr>
            </w:pPr>
            <w:r>
              <w:rPr>
                <w:sz w:val="20"/>
              </w:rPr>
              <w:t>Extension 32494</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CNS:</w:t>
            </w:r>
          </w:p>
        </w:tc>
        <w:tc>
          <w:tcPr>
            <w:tcW w:w="6145" w:type="dxa"/>
            <w:tcBorders>
              <w:right w:val="single" w:sz="12" w:space="0" w:color="585858"/>
            </w:tcBorders>
          </w:tcPr>
          <w:p>
            <w:pPr>
              <w:pStyle w:val="TableParagraph"/>
              <w:spacing w:line="210" w:lineRule="exact"/>
              <w:ind w:left="1283"/>
              <w:rPr>
                <w:sz w:val="20"/>
              </w:rPr>
            </w:pPr>
            <w:r>
              <w:rPr>
                <w:sz w:val="20"/>
              </w:rPr>
              <w:t>Extension 31623</w:t>
            </w:r>
          </w:p>
        </w:tc>
      </w:tr>
      <w:tr>
        <w:trPr>
          <w:trHeight w:val="230" w:hRule="atLeast"/>
        </w:trPr>
        <w:tc>
          <w:tcPr>
            <w:tcW w:w="3934" w:type="dxa"/>
            <w:tcBorders>
              <w:left w:val="single" w:sz="12" w:space="0" w:color="585858"/>
            </w:tcBorders>
          </w:tcPr>
          <w:p>
            <w:pPr>
              <w:pStyle w:val="TableParagraph"/>
              <w:spacing w:line="211" w:lineRule="exact"/>
              <w:rPr>
                <w:sz w:val="20"/>
              </w:rPr>
            </w:pPr>
            <w:r>
              <w:rPr>
                <w:sz w:val="20"/>
              </w:rPr>
              <w:t>Dermatology consultant:</w:t>
            </w:r>
          </w:p>
        </w:tc>
        <w:tc>
          <w:tcPr>
            <w:tcW w:w="6145" w:type="dxa"/>
            <w:tcBorders>
              <w:right w:val="single" w:sz="12" w:space="0" w:color="585858"/>
            </w:tcBorders>
          </w:tcPr>
          <w:p>
            <w:pPr>
              <w:pStyle w:val="TableParagraph"/>
              <w:spacing w:line="211" w:lineRule="exact"/>
              <w:ind w:left="1283"/>
              <w:rPr>
                <w:sz w:val="20"/>
              </w:rPr>
            </w:pPr>
            <w:r>
              <w:rPr>
                <w:sz w:val="20"/>
              </w:rPr>
              <w:t>Extension 31623</w:t>
            </w:r>
          </w:p>
        </w:tc>
      </w:tr>
      <w:tr>
        <w:trPr>
          <w:trHeight w:val="266" w:hRule="atLeast"/>
        </w:trPr>
        <w:tc>
          <w:tcPr>
            <w:tcW w:w="3934" w:type="dxa"/>
            <w:tcBorders>
              <w:left w:val="single" w:sz="12" w:space="0" w:color="585858"/>
            </w:tcBorders>
          </w:tcPr>
          <w:p>
            <w:pPr>
              <w:pStyle w:val="TableParagraph"/>
              <w:spacing w:line="227" w:lineRule="exact"/>
              <w:rPr>
                <w:sz w:val="20"/>
              </w:rPr>
            </w:pPr>
            <w:r>
              <w:rPr>
                <w:sz w:val="20"/>
              </w:rPr>
              <w:t>Gastroenterology CNS:</w:t>
            </w:r>
          </w:p>
        </w:tc>
        <w:tc>
          <w:tcPr>
            <w:tcW w:w="6145" w:type="dxa"/>
            <w:tcBorders>
              <w:right w:val="single" w:sz="12" w:space="0" w:color="585858"/>
            </w:tcBorders>
          </w:tcPr>
          <w:p>
            <w:pPr>
              <w:pStyle w:val="TableParagraph"/>
              <w:spacing w:line="246" w:lineRule="exact"/>
              <w:ind w:left="1283"/>
              <w:rPr>
                <w:rFonts w:ascii="Calibri"/>
                <w:sz w:val="22"/>
              </w:rPr>
            </w:pPr>
            <w:r>
              <w:rPr>
                <w:sz w:val="20"/>
              </w:rPr>
              <w:t>0207 830 2283 or </w:t>
            </w:r>
            <w:hyperlink r:id="rId24">
              <w:r>
                <w:rPr>
                  <w:rFonts w:ascii="Calibri"/>
                  <w:color w:val="0000FF"/>
                  <w:sz w:val="22"/>
                  <w:u w:val="single" w:color="0000FF"/>
                </w:rPr>
                <w:t>rf.ibdnurses@nhs.net</w:t>
              </w:r>
            </w:hyperlink>
          </w:p>
        </w:tc>
      </w:tr>
      <w:tr>
        <w:trPr>
          <w:trHeight w:val="228" w:hRule="atLeast"/>
        </w:trPr>
        <w:tc>
          <w:tcPr>
            <w:tcW w:w="3934" w:type="dxa"/>
            <w:tcBorders>
              <w:left w:val="single" w:sz="12" w:space="0" w:color="585858"/>
              <w:bottom w:val="single" w:sz="12" w:space="0" w:color="585858"/>
            </w:tcBorders>
          </w:tcPr>
          <w:p>
            <w:pPr>
              <w:pStyle w:val="TableParagraph"/>
              <w:spacing w:line="208" w:lineRule="exact"/>
              <w:rPr>
                <w:sz w:val="20"/>
              </w:rPr>
            </w:pPr>
            <w:r>
              <w:rPr>
                <w:sz w:val="20"/>
              </w:rPr>
              <w:t>Gastroenterology consultant:</w:t>
            </w:r>
          </w:p>
        </w:tc>
        <w:tc>
          <w:tcPr>
            <w:tcW w:w="6145" w:type="dxa"/>
            <w:tcBorders>
              <w:bottom w:val="single" w:sz="12" w:space="0" w:color="585858"/>
              <w:right w:val="single" w:sz="12" w:space="0" w:color="585858"/>
            </w:tcBorders>
          </w:tcPr>
          <w:p>
            <w:pPr>
              <w:pStyle w:val="TableParagraph"/>
              <w:spacing w:line="208" w:lineRule="exact"/>
              <w:ind w:left="1283"/>
              <w:rPr>
                <w:sz w:val="20"/>
              </w:rPr>
            </w:pPr>
            <w:r>
              <w:rPr>
                <w:sz w:val="20"/>
              </w:rPr>
              <w:t>0207 830 2283</w:t>
            </w:r>
          </w:p>
        </w:tc>
      </w:tr>
      <w:tr>
        <w:trPr>
          <w:trHeight w:val="230" w:hRule="atLeast"/>
        </w:trPr>
        <w:tc>
          <w:tcPr>
            <w:tcW w:w="10079" w:type="dxa"/>
            <w:gridSpan w:val="2"/>
            <w:tcBorders>
              <w:top w:val="single" w:sz="12" w:space="0" w:color="585858"/>
              <w:left w:val="single" w:sz="12" w:space="0" w:color="585858"/>
              <w:bottom w:val="single" w:sz="12" w:space="0" w:color="585858"/>
              <w:right w:val="single" w:sz="12" w:space="0" w:color="585858"/>
            </w:tcBorders>
            <w:shd w:val="clear" w:color="auto" w:fill="C5D9F0"/>
          </w:tcPr>
          <w:p>
            <w:pPr>
              <w:pStyle w:val="TableParagraph"/>
              <w:spacing w:line="210" w:lineRule="exact" w:before="1"/>
              <w:rPr>
                <w:b/>
                <w:sz w:val="20"/>
              </w:rPr>
            </w:pPr>
            <w:r>
              <w:rPr>
                <w:b/>
                <w:sz w:val="20"/>
              </w:rPr>
              <w:t>Barnet Hospital</w:t>
            </w:r>
          </w:p>
        </w:tc>
      </w:tr>
      <w:tr>
        <w:trPr>
          <w:trHeight w:val="233" w:hRule="atLeast"/>
        </w:trPr>
        <w:tc>
          <w:tcPr>
            <w:tcW w:w="3934" w:type="dxa"/>
            <w:tcBorders>
              <w:top w:val="single" w:sz="12" w:space="0" w:color="585858"/>
              <w:left w:val="single" w:sz="12" w:space="0" w:color="585858"/>
            </w:tcBorders>
          </w:tcPr>
          <w:p>
            <w:pPr>
              <w:pStyle w:val="TableParagraph"/>
              <w:spacing w:line="213" w:lineRule="exact" w:before="1"/>
              <w:rPr>
                <w:sz w:val="20"/>
              </w:rPr>
            </w:pPr>
            <w:r>
              <w:rPr>
                <w:sz w:val="20"/>
              </w:rPr>
              <w:t>Switchboard number:</w:t>
            </w:r>
          </w:p>
        </w:tc>
        <w:tc>
          <w:tcPr>
            <w:tcW w:w="6145" w:type="dxa"/>
            <w:tcBorders>
              <w:top w:val="single" w:sz="12" w:space="0" w:color="585858"/>
              <w:right w:val="single" w:sz="12" w:space="0" w:color="585858"/>
            </w:tcBorders>
          </w:tcPr>
          <w:p>
            <w:pPr>
              <w:pStyle w:val="TableParagraph"/>
              <w:spacing w:line="213" w:lineRule="exact" w:before="1"/>
              <w:ind w:left="1283"/>
              <w:rPr>
                <w:sz w:val="20"/>
              </w:rPr>
            </w:pPr>
            <w:r>
              <w:rPr>
                <w:sz w:val="20"/>
              </w:rPr>
              <w:t>0208 216 4600</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CNS:</w:t>
            </w:r>
          </w:p>
        </w:tc>
        <w:tc>
          <w:tcPr>
            <w:tcW w:w="6145" w:type="dxa"/>
            <w:tcBorders>
              <w:right w:val="single" w:sz="12" w:space="0" w:color="585858"/>
            </w:tcBorders>
          </w:tcPr>
          <w:p>
            <w:pPr>
              <w:pStyle w:val="TableParagraph"/>
              <w:spacing w:line="210" w:lineRule="exact"/>
              <w:ind w:left="1283"/>
              <w:rPr>
                <w:sz w:val="20"/>
              </w:rPr>
            </w:pPr>
            <w:r>
              <w:rPr>
                <w:sz w:val="20"/>
              </w:rPr>
              <w:t>0208 216 4523</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Rheumatology consultant:</w:t>
            </w:r>
          </w:p>
        </w:tc>
        <w:tc>
          <w:tcPr>
            <w:tcW w:w="6145" w:type="dxa"/>
            <w:tcBorders>
              <w:right w:val="single" w:sz="12" w:space="0" w:color="585858"/>
            </w:tcBorders>
          </w:tcPr>
          <w:p>
            <w:pPr>
              <w:pStyle w:val="TableParagraph"/>
              <w:spacing w:line="210" w:lineRule="exact"/>
              <w:ind w:left="1283"/>
              <w:rPr>
                <w:sz w:val="20"/>
              </w:rPr>
            </w:pPr>
            <w:r>
              <w:rPr>
                <w:sz w:val="20"/>
              </w:rPr>
              <w:t>0208 216 4028 / 5470</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CNS:</w:t>
            </w:r>
          </w:p>
        </w:tc>
        <w:tc>
          <w:tcPr>
            <w:tcW w:w="6145" w:type="dxa"/>
            <w:tcBorders>
              <w:right w:val="single" w:sz="12" w:space="0" w:color="585858"/>
            </w:tcBorders>
          </w:tcPr>
          <w:p>
            <w:pPr>
              <w:pStyle w:val="TableParagraph"/>
              <w:spacing w:line="210" w:lineRule="exact"/>
              <w:ind w:left="1283"/>
              <w:rPr>
                <w:sz w:val="20"/>
              </w:rPr>
            </w:pPr>
            <w:r>
              <w:rPr>
                <w:sz w:val="20"/>
              </w:rPr>
              <w:t>0208 216 5489</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consultant:</w:t>
            </w:r>
          </w:p>
        </w:tc>
        <w:tc>
          <w:tcPr>
            <w:tcW w:w="6145" w:type="dxa"/>
            <w:tcBorders>
              <w:right w:val="single" w:sz="12" w:space="0" w:color="585858"/>
            </w:tcBorders>
          </w:tcPr>
          <w:p>
            <w:pPr>
              <w:pStyle w:val="TableParagraph"/>
              <w:spacing w:line="210" w:lineRule="exact"/>
              <w:ind w:left="1283"/>
              <w:rPr>
                <w:sz w:val="20"/>
              </w:rPr>
            </w:pPr>
            <w:r>
              <w:rPr>
                <w:sz w:val="20"/>
              </w:rPr>
              <w:t>0208 216 5489</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Gastroenterology CNS:</w:t>
            </w:r>
          </w:p>
        </w:tc>
        <w:tc>
          <w:tcPr>
            <w:tcW w:w="6145" w:type="dxa"/>
            <w:tcBorders>
              <w:right w:val="single" w:sz="12" w:space="0" w:color="585858"/>
            </w:tcBorders>
          </w:tcPr>
          <w:p>
            <w:pPr>
              <w:pStyle w:val="TableParagraph"/>
              <w:spacing w:line="210" w:lineRule="exact"/>
              <w:ind w:left="1283"/>
              <w:rPr>
                <w:sz w:val="20"/>
              </w:rPr>
            </w:pPr>
            <w:r>
              <w:rPr>
                <w:sz w:val="20"/>
              </w:rPr>
              <w:t>n/a</w:t>
            </w:r>
          </w:p>
        </w:tc>
      </w:tr>
      <w:tr>
        <w:trPr>
          <w:trHeight w:val="226" w:hRule="atLeast"/>
        </w:trPr>
        <w:tc>
          <w:tcPr>
            <w:tcW w:w="3934" w:type="dxa"/>
            <w:tcBorders>
              <w:left w:val="single" w:sz="12" w:space="0" w:color="585858"/>
              <w:bottom w:val="single" w:sz="12" w:space="0" w:color="585858"/>
            </w:tcBorders>
          </w:tcPr>
          <w:p>
            <w:pPr>
              <w:pStyle w:val="TableParagraph"/>
              <w:spacing w:line="207" w:lineRule="exact"/>
              <w:rPr>
                <w:sz w:val="20"/>
              </w:rPr>
            </w:pPr>
            <w:r>
              <w:rPr>
                <w:sz w:val="20"/>
              </w:rPr>
              <w:t>Gastroenterology consultant:</w:t>
            </w:r>
          </w:p>
        </w:tc>
        <w:tc>
          <w:tcPr>
            <w:tcW w:w="6145" w:type="dxa"/>
            <w:tcBorders>
              <w:bottom w:val="single" w:sz="12" w:space="0" w:color="585858"/>
              <w:right w:val="single" w:sz="12" w:space="0" w:color="585858"/>
            </w:tcBorders>
          </w:tcPr>
          <w:p>
            <w:pPr>
              <w:pStyle w:val="TableParagraph"/>
              <w:spacing w:line="207" w:lineRule="exact"/>
              <w:ind w:left="1283"/>
              <w:rPr>
                <w:sz w:val="20"/>
              </w:rPr>
            </w:pPr>
            <w:r>
              <w:rPr>
                <w:sz w:val="20"/>
              </w:rPr>
              <w:t>n/a</w:t>
            </w:r>
          </w:p>
        </w:tc>
      </w:tr>
      <w:tr>
        <w:trPr>
          <w:trHeight w:val="229" w:hRule="atLeast"/>
        </w:trPr>
        <w:tc>
          <w:tcPr>
            <w:tcW w:w="10079" w:type="dxa"/>
            <w:gridSpan w:val="2"/>
            <w:tcBorders>
              <w:top w:val="single" w:sz="12" w:space="0" w:color="585858"/>
              <w:left w:val="single" w:sz="12" w:space="0" w:color="585858"/>
              <w:bottom w:val="single" w:sz="12" w:space="0" w:color="585858"/>
              <w:right w:val="single" w:sz="12" w:space="0" w:color="585858"/>
            </w:tcBorders>
            <w:shd w:val="clear" w:color="auto" w:fill="C5D9F0"/>
          </w:tcPr>
          <w:p>
            <w:pPr>
              <w:pStyle w:val="TableParagraph"/>
              <w:spacing w:line="209" w:lineRule="exact"/>
              <w:rPr>
                <w:b/>
                <w:sz w:val="20"/>
              </w:rPr>
            </w:pPr>
            <w:r>
              <w:rPr>
                <w:b/>
                <w:sz w:val="20"/>
              </w:rPr>
              <w:t>Chase Farm Hospital</w:t>
            </w:r>
          </w:p>
        </w:tc>
      </w:tr>
      <w:tr>
        <w:trPr>
          <w:trHeight w:val="234" w:hRule="atLeast"/>
        </w:trPr>
        <w:tc>
          <w:tcPr>
            <w:tcW w:w="3934" w:type="dxa"/>
            <w:tcBorders>
              <w:top w:val="single" w:sz="12" w:space="0" w:color="585858"/>
              <w:left w:val="single" w:sz="12" w:space="0" w:color="585858"/>
            </w:tcBorders>
          </w:tcPr>
          <w:p>
            <w:pPr>
              <w:pStyle w:val="TableParagraph"/>
              <w:spacing w:line="213" w:lineRule="exact" w:before="1"/>
              <w:rPr>
                <w:sz w:val="20"/>
              </w:rPr>
            </w:pPr>
            <w:r>
              <w:rPr>
                <w:sz w:val="20"/>
              </w:rPr>
              <w:t>Switchboard number:</w:t>
            </w:r>
          </w:p>
        </w:tc>
        <w:tc>
          <w:tcPr>
            <w:tcW w:w="6145" w:type="dxa"/>
            <w:tcBorders>
              <w:top w:val="single" w:sz="12" w:space="0" w:color="585858"/>
              <w:right w:val="single" w:sz="12" w:space="0" w:color="585858"/>
            </w:tcBorders>
          </w:tcPr>
          <w:p>
            <w:pPr>
              <w:pStyle w:val="TableParagraph"/>
              <w:spacing w:line="213" w:lineRule="exact" w:before="1"/>
              <w:ind w:left="1283"/>
              <w:rPr>
                <w:sz w:val="20"/>
              </w:rPr>
            </w:pPr>
            <w:r>
              <w:rPr>
                <w:sz w:val="20"/>
              </w:rPr>
              <w:t>0208 375 2999</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CNS:</w:t>
            </w:r>
          </w:p>
        </w:tc>
        <w:tc>
          <w:tcPr>
            <w:tcW w:w="6145" w:type="dxa"/>
            <w:tcBorders>
              <w:right w:val="single" w:sz="12" w:space="0" w:color="585858"/>
            </w:tcBorders>
          </w:tcPr>
          <w:p>
            <w:pPr>
              <w:pStyle w:val="TableParagraph"/>
              <w:spacing w:line="210" w:lineRule="exact"/>
              <w:ind w:left="1283"/>
              <w:rPr>
                <w:sz w:val="20"/>
              </w:rPr>
            </w:pPr>
            <w:r>
              <w:rPr>
                <w:sz w:val="20"/>
              </w:rPr>
              <w:t>0208 375 1628</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consultant:</w:t>
            </w:r>
          </w:p>
        </w:tc>
        <w:tc>
          <w:tcPr>
            <w:tcW w:w="6145" w:type="dxa"/>
            <w:tcBorders>
              <w:right w:val="single" w:sz="12" w:space="0" w:color="585858"/>
            </w:tcBorders>
          </w:tcPr>
          <w:p>
            <w:pPr>
              <w:pStyle w:val="TableParagraph"/>
              <w:spacing w:line="210" w:lineRule="exact"/>
              <w:ind w:left="1283"/>
              <w:rPr>
                <w:sz w:val="20"/>
              </w:rPr>
            </w:pPr>
            <w:r>
              <w:rPr>
                <w:sz w:val="20"/>
              </w:rPr>
              <w:t>0208 375 1608</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CNS:</w:t>
            </w:r>
          </w:p>
        </w:tc>
        <w:tc>
          <w:tcPr>
            <w:tcW w:w="6145" w:type="dxa"/>
            <w:tcBorders>
              <w:right w:val="single" w:sz="12" w:space="0" w:color="585858"/>
            </w:tcBorders>
          </w:tcPr>
          <w:p>
            <w:pPr>
              <w:pStyle w:val="TableParagraph"/>
              <w:spacing w:line="210" w:lineRule="exact"/>
              <w:ind w:left="1283"/>
              <w:rPr>
                <w:sz w:val="20"/>
              </w:rPr>
            </w:pPr>
            <w:r>
              <w:rPr>
                <w:sz w:val="20"/>
              </w:rPr>
              <w:t>0208 375 1999</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Dermatology consultant:</w:t>
            </w:r>
          </w:p>
        </w:tc>
        <w:tc>
          <w:tcPr>
            <w:tcW w:w="6145" w:type="dxa"/>
            <w:tcBorders>
              <w:right w:val="single" w:sz="12" w:space="0" w:color="585858"/>
            </w:tcBorders>
          </w:tcPr>
          <w:p>
            <w:pPr>
              <w:pStyle w:val="TableParagraph"/>
              <w:spacing w:line="210" w:lineRule="exact"/>
              <w:ind w:left="1283"/>
              <w:rPr>
                <w:sz w:val="20"/>
              </w:rPr>
            </w:pPr>
            <w:r>
              <w:rPr>
                <w:sz w:val="20"/>
              </w:rPr>
              <w:t>0208 375 1999</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Gastroenterology CNS:</w:t>
            </w:r>
          </w:p>
        </w:tc>
        <w:tc>
          <w:tcPr>
            <w:tcW w:w="6145" w:type="dxa"/>
            <w:tcBorders>
              <w:right w:val="single" w:sz="12" w:space="0" w:color="585858"/>
            </w:tcBorders>
          </w:tcPr>
          <w:p>
            <w:pPr>
              <w:pStyle w:val="TableParagraph"/>
              <w:spacing w:line="210" w:lineRule="exact"/>
              <w:ind w:left="1283"/>
              <w:rPr>
                <w:sz w:val="20"/>
              </w:rPr>
            </w:pPr>
            <w:r>
              <w:rPr>
                <w:sz w:val="20"/>
              </w:rPr>
              <w:t>n/a</w:t>
            </w:r>
          </w:p>
        </w:tc>
      </w:tr>
      <w:tr>
        <w:trPr>
          <w:trHeight w:val="226" w:hRule="atLeast"/>
        </w:trPr>
        <w:tc>
          <w:tcPr>
            <w:tcW w:w="3934" w:type="dxa"/>
            <w:tcBorders>
              <w:left w:val="single" w:sz="12" w:space="0" w:color="585858"/>
              <w:bottom w:val="single" w:sz="12" w:space="0" w:color="585858"/>
            </w:tcBorders>
          </w:tcPr>
          <w:p>
            <w:pPr>
              <w:pStyle w:val="TableParagraph"/>
              <w:spacing w:line="207" w:lineRule="exact"/>
              <w:rPr>
                <w:sz w:val="20"/>
              </w:rPr>
            </w:pPr>
            <w:r>
              <w:rPr>
                <w:sz w:val="20"/>
              </w:rPr>
              <w:t>Gastroenterology consultant:</w:t>
            </w:r>
          </w:p>
        </w:tc>
        <w:tc>
          <w:tcPr>
            <w:tcW w:w="6145" w:type="dxa"/>
            <w:tcBorders>
              <w:bottom w:val="single" w:sz="12" w:space="0" w:color="585858"/>
              <w:right w:val="single" w:sz="12" w:space="0" w:color="585858"/>
            </w:tcBorders>
          </w:tcPr>
          <w:p>
            <w:pPr>
              <w:pStyle w:val="TableParagraph"/>
              <w:spacing w:line="207" w:lineRule="exact"/>
              <w:ind w:left="1283"/>
              <w:rPr>
                <w:sz w:val="20"/>
              </w:rPr>
            </w:pPr>
            <w:r>
              <w:rPr>
                <w:sz w:val="20"/>
              </w:rPr>
              <w:t>n/a</w:t>
            </w:r>
          </w:p>
        </w:tc>
      </w:tr>
      <w:tr>
        <w:trPr>
          <w:trHeight w:val="229" w:hRule="atLeast"/>
        </w:trPr>
        <w:tc>
          <w:tcPr>
            <w:tcW w:w="10079" w:type="dxa"/>
            <w:gridSpan w:val="2"/>
            <w:tcBorders>
              <w:top w:val="single" w:sz="12" w:space="0" w:color="585858"/>
              <w:left w:val="single" w:sz="12" w:space="0" w:color="585858"/>
              <w:bottom w:val="single" w:sz="12" w:space="0" w:color="585858"/>
              <w:right w:val="single" w:sz="12" w:space="0" w:color="585858"/>
            </w:tcBorders>
            <w:shd w:val="clear" w:color="auto" w:fill="C5D9F0"/>
          </w:tcPr>
          <w:p>
            <w:pPr>
              <w:pStyle w:val="TableParagraph"/>
              <w:spacing w:line="209" w:lineRule="exact"/>
              <w:rPr>
                <w:b/>
                <w:sz w:val="20"/>
              </w:rPr>
            </w:pPr>
            <w:r>
              <w:rPr>
                <w:b/>
                <w:sz w:val="20"/>
              </w:rPr>
              <w:t>University College London hospitals</w:t>
            </w:r>
          </w:p>
        </w:tc>
      </w:tr>
      <w:tr>
        <w:trPr>
          <w:trHeight w:val="234" w:hRule="atLeast"/>
        </w:trPr>
        <w:tc>
          <w:tcPr>
            <w:tcW w:w="3934" w:type="dxa"/>
            <w:tcBorders>
              <w:top w:val="single" w:sz="12" w:space="0" w:color="585858"/>
              <w:left w:val="single" w:sz="12" w:space="0" w:color="585858"/>
            </w:tcBorders>
          </w:tcPr>
          <w:p>
            <w:pPr>
              <w:pStyle w:val="TableParagraph"/>
              <w:spacing w:line="213" w:lineRule="exact" w:before="1"/>
              <w:rPr>
                <w:sz w:val="20"/>
              </w:rPr>
            </w:pPr>
            <w:r>
              <w:rPr>
                <w:sz w:val="20"/>
              </w:rPr>
              <w:t>Switchboard number:</w:t>
            </w:r>
          </w:p>
        </w:tc>
        <w:tc>
          <w:tcPr>
            <w:tcW w:w="6145" w:type="dxa"/>
            <w:tcBorders>
              <w:top w:val="single" w:sz="12" w:space="0" w:color="585858"/>
              <w:right w:val="single" w:sz="12" w:space="0" w:color="585858"/>
            </w:tcBorders>
          </w:tcPr>
          <w:p>
            <w:pPr>
              <w:pStyle w:val="TableParagraph"/>
              <w:spacing w:line="213" w:lineRule="exact" w:before="1"/>
              <w:ind w:left="1283"/>
              <w:rPr>
                <w:sz w:val="20"/>
              </w:rPr>
            </w:pPr>
            <w:r>
              <w:rPr>
                <w:sz w:val="20"/>
              </w:rPr>
              <w:t>0203 456 7890</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CNS:</w:t>
            </w:r>
          </w:p>
        </w:tc>
        <w:tc>
          <w:tcPr>
            <w:tcW w:w="6145" w:type="dxa"/>
            <w:tcBorders>
              <w:right w:val="single" w:sz="12" w:space="0" w:color="585858"/>
            </w:tcBorders>
          </w:tcPr>
          <w:p>
            <w:pPr>
              <w:pStyle w:val="TableParagraph"/>
              <w:spacing w:line="210" w:lineRule="exact"/>
              <w:ind w:left="1283"/>
              <w:rPr>
                <w:sz w:val="20"/>
              </w:rPr>
            </w:pPr>
            <w:r>
              <w:rPr>
                <w:sz w:val="20"/>
              </w:rPr>
              <w:t>0203 447 9215 / 9035 / 9281 or</w:t>
            </w:r>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Rheumatology consultant:</w:t>
            </w:r>
          </w:p>
        </w:tc>
        <w:tc>
          <w:tcPr>
            <w:tcW w:w="6145" w:type="dxa"/>
            <w:tcBorders>
              <w:right w:val="single" w:sz="12" w:space="0" w:color="585858"/>
            </w:tcBorders>
          </w:tcPr>
          <w:p>
            <w:pPr>
              <w:pStyle w:val="TableParagraph"/>
              <w:spacing w:line="210" w:lineRule="exact"/>
              <w:ind w:left="1283"/>
              <w:rPr>
                <w:sz w:val="20"/>
              </w:rPr>
            </w:pPr>
            <w:hyperlink r:id="rId25">
              <w:r>
                <w:rPr>
                  <w:color w:val="0000FF"/>
                  <w:sz w:val="20"/>
                  <w:u w:val="single" w:color="0000FF"/>
                </w:rPr>
                <w:t>uclh.rheumatology@nhs.net</w:t>
              </w:r>
            </w:hyperlink>
          </w:p>
        </w:tc>
      </w:tr>
      <w:tr>
        <w:trPr>
          <w:trHeight w:val="230" w:hRule="atLeast"/>
        </w:trPr>
        <w:tc>
          <w:tcPr>
            <w:tcW w:w="3934" w:type="dxa"/>
            <w:tcBorders>
              <w:left w:val="single" w:sz="12" w:space="0" w:color="585858"/>
            </w:tcBorders>
          </w:tcPr>
          <w:p>
            <w:pPr>
              <w:pStyle w:val="TableParagraph"/>
              <w:spacing w:line="211" w:lineRule="exact"/>
              <w:rPr>
                <w:sz w:val="20"/>
              </w:rPr>
            </w:pPr>
            <w:r>
              <w:rPr>
                <w:sz w:val="20"/>
              </w:rPr>
              <w:t>Dermatology CNS:</w:t>
            </w:r>
          </w:p>
        </w:tc>
        <w:tc>
          <w:tcPr>
            <w:tcW w:w="6145" w:type="dxa"/>
            <w:tcBorders>
              <w:right w:val="single" w:sz="12" w:space="0" w:color="585858"/>
            </w:tcBorders>
          </w:tcPr>
          <w:p>
            <w:pPr>
              <w:pStyle w:val="TableParagraph"/>
              <w:spacing w:line="211" w:lineRule="exact"/>
              <w:ind w:left="1283"/>
              <w:rPr>
                <w:sz w:val="20"/>
              </w:rPr>
            </w:pPr>
            <w:r>
              <w:rPr>
                <w:sz w:val="20"/>
              </w:rPr>
              <w:t>07507790466</w:t>
            </w:r>
          </w:p>
        </w:tc>
      </w:tr>
      <w:tr>
        <w:trPr>
          <w:trHeight w:val="230" w:hRule="atLeast"/>
        </w:trPr>
        <w:tc>
          <w:tcPr>
            <w:tcW w:w="3934" w:type="dxa"/>
            <w:tcBorders>
              <w:left w:val="single" w:sz="12" w:space="0" w:color="585858"/>
            </w:tcBorders>
          </w:tcPr>
          <w:p>
            <w:pPr>
              <w:pStyle w:val="TableParagraph"/>
              <w:spacing w:line="210" w:lineRule="exact"/>
              <w:rPr>
                <w:sz w:val="20"/>
              </w:rPr>
            </w:pPr>
            <w:r>
              <w:rPr>
                <w:sz w:val="20"/>
              </w:rPr>
              <w:t>Dermatology consultant:</w:t>
            </w:r>
          </w:p>
        </w:tc>
        <w:tc>
          <w:tcPr>
            <w:tcW w:w="6145" w:type="dxa"/>
            <w:tcBorders>
              <w:right w:val="single" w:sz="12" w:space="0" w:color="585858"/>
            </w:tcBorders>
          </w:tcPr>
          <w:p>
            <w:pPr>
              <w:pStyle w:val="TableParagraph"/>
              <w:spacing w:line="210" w:lineRule="exact"/>
              <w:ind w:left="1283"/>
              <w:rPr>
                <w:sz w:val="20"/>
              </w:rPr>
            </w:pPr>
            <w:hyperlink r:id="rId26">
              <w:r>
                <w:rPr>
                  <w:color w:val="0000FF"/>
                  <w:sz w:val="20"/>
                  <w:u w:val="single" w:color="0000FF"/>
                </w:rPr>
                <w:t>uclh.dermatology@nhs.net</w:t>
              </w:r>
            </w:hyperlink>
          </w:p>
        </w:tc>
      </w:tr>
      <w:tr>
        <w:trPr>
          <w:trHeight w:val="229" w:hRule="atLeast"/>
        </w:trPr>
        <w:tc>
          <w:tcPr>
            <w:tcW w:w="3934" w:type="dxa"/>
            <w:tcBorders>
              <w:left w:val="single" w:sz="12" w:space="0" w:color="585858"/>
            </w:tcBorders>
          </w:tcPr>
          <w:p>
            <w:pPr>
              <w:pStyle w:val="TableParagraph"/>
              <w:spacing w:line="210" w:lineRule="exact"/>
              <w:rPr>
                <w:sz w:val="20"/>
              </w:rPr>
            </w:pPr>
            <w:r>
              <w:rPr>
                <w:sz w:val="20"/>
              </w:rPr>
              <w:t>Gastroenterology CNS:</w:t>
            </w:r>
          </w:p>
        </w:tc>
        <w:tc>
          <w:tcPr>
            <w:tcW w:w="6145" w:type="dxa"/>
            <w:tcBorders>
              <w:right w:val="single" w:sz="12" w:space="0" w:color="585858"/>
            </w:tcBorders>
          </w:tcPr>
          <w:p>
            <w:pPr>
              <w:pStyle w:val="TableParagraph"/>
              <w:spacing w:line="210" w:lineRule="exact"/>
              <w:ind w:left="1283"/>
              <w:rPr>
                <w:sz w:val="20"/>
              </w:rPr>
            </w:pPr>
            <w:r>
              <w:rPr>
                <w:sz w:val="20"/>
              </w:rPr>
              <w:t>0203 447 5120 or</w:t>
            </w:r>
          </w:p>
        </w:tc>
      </w:tr>
      <w:tr>
        <w:trPr>
          <w:trHeight w:val="226" w:hRule="atLeast"/>
        </w:trPr>
        <w:tc>
          <w:tcPr>
            <w:tcW w:w="3934" w:type="dxa"/>
            <w:tcBorders>
              <w:left w:val="single" w:sz="12" w:space="0" w:color="585858"/>
              <w:bottom w:val="single" w:sz="12" w:space="0" w:color="585858"/>
            </w:tcBorders>
          </w:tcPr>
          <w:p>
            <w:pPr>
              <w:pStyle w:val="TableParagraph"/>
              <w:spacing w:line="207" w:lineRule="exact"/>
              <w:rPr>
                <w:sz w:val="20"/>
              </w:rPr>
            </w:pPr>
            <w:r>
              <w:rPr>
                <w:sz w:val="20"/>
              </w:rPr>
              <w:t>Gastroenterology consultant:</w:t>
            </w:r>
          </w:p>
        </w:tc>
        <w:tc>
          <w:tcPr>
            <w:tcW w:w="6145" w:type="dxa"/>
            <w:tcBorders>
              <w:bottom w:val="single" w:sz="12" w:space="0" w:color="585858"/>
              <w:right w:val="single" w:sz="12" w:space="0" w:color="585858"/>
            </w:tcBorders>
          </w:tcPr>
          <w:p>
            <w:pPr>
              <w:pStyle w:val="TableParagraph"/>
              <w:spacing w:line="207" w:lineRule="exact"/>
              <w:ind w:left="1283"/>
              <w:rPr>
                <w:sz w:val="20"/>
              </w:rPr>
            </w:pPr>
            <w:hyperlink r:id="rId27">
              <w:r>
                <w:rPr>
                  <w:color w:val="0000FF"/>
                  <w:sz w:val="20"/>
                  <w:u w:val="single" w:color="0000FF"/>
                </w:rPr>
                <w:t>IBD.Advice@uclh.nhs.uk</w:t>
              </w:r>
            </w:hyperlink>
          </w:p>
        </w:tc>
      </w:tr>
    </w:tbl>
    <w:p>
      <w:pPr>
        <w:spacing w:after="0" w:line="207" w:lineRule="exact"/>
        <w:rPr>
          <w:sz w:val="20"/>
        </w:rPr>
        <w:sectPr>
          <w:pgSz w:w="11910" w:h="16840"/>
          <w:pgMar w:header="0" w:footer="1240" w:top="1560" w:bottom="1520" w:left="160" w:right="40"/>
        </w:sectPr>
      </w:pPr>
    </w:p>
    <w:p>
      <w:pPr>
        <w:pStyle w:val="BodyText"/>
        <w:spacing w:before="4"/>
        <w:rPr>
          <w:rFonts w:ascii="Times New Roman"/>
          <w:sz w:val="4"/>
        </w:rPr>
      </w:pPr>
    </w:p>
    <w:tbl>
      <w:tblPr>
        <w:tblW w:w="0" w:type="auto"/>
        <w:jc w:val="left"/>
        <w:tblInd w:w="974" w:type="dxa"/>
        <w:tblBorders>
          <w:top w:val="single" w:sz="18" w:space="0" w:color="7E7E7E"/>
          <w:left w:val="single" w:sz="18" w:space="0" w:color="7E7E7E"/>
          <w:bottom w:val="single" w:sz="18" w:space="0" w:color="7E7E7E"/>
          <w:right w:val="single" w:sz="18" w:space="0" w:color="7E7E7E"/>
          <w:insideH w:val="single" w:sz="18" w:space="0" w:color="7E7E7E"/>
          <w:insideV w:val="single" w:sz="18" w:space="0" w:color="7E7E7E"/>
        </w:tblBorders>
        <w:tblLayout w:type="fixed"/>
        <w:tblCellMar>
          <w:top w:w="0" w:type="dxa"/>
          <w:left w:w="0" w:type="dxa"/>
          <w:bottom w:w="0" w:type="dxa"/>
          <w:right w:w="0" w:type="dxa"/>
        </w:tblCellMar>
        <w:tblLook w:val="01E0"/>
      </w:tblPr>
      <w:tblGrid>
        <w:gridCol w:w="10063"/>
      </w:tblGrid>
      <w:tr>
        <w:trPr>
          <w:trHeight w:val="3672" w:hRule="atLeast"/>
        </w:trPr>
        <w:tc>
          <w:tcPr>
            <w:tcW w:w="10063" w:type="dxa"/>
            <w:tcBorders>
              <w:bottom w:val="single" w:sz="24" w:space="0" w:color="7E7E7E"/>
            </w:tcBorders>
            <w:shd w:val="clear" w:color="auto" w:fill="C5D9F0"/>
          </w:tcPr>
          <w:p>
            <w:pPr>
              <w:pStyle w:val="TableParagraph"/>
              <w:ind w:right="418"/>
              <w:rPr>
                <w:sz w:val="20"/>
              </w:rPr>
            </w:pPr>
            <w:r>
              <w:rPr>
                <w:sz w:val="20"/>
              </w:rPr>
              <w:t>Shared care guideline written by Jay Pang – Royal Free Hospital and Balram Malhotra – University College London Hospitals, Rheumatology and Dermatology Pharmacists.</w:t>
            </w:r>
          </w:p>
          <w:p>
            <w:pPr>
              <w:pStyle w:val="TableParagraph"/>
              <w:spacing w:line="230" w:lineRule="exact"/>
              <w:rPr>
                <w:sz w:val="20"/>
              </w:rPr>
            </w:pPr>
            <w:r>
              <w:rPr>
                <w:sz w:val="20"/>
              </w:rPr>
              <w:t>Agreed with NHS Camden May 2009.</w:t>
            </w:r>
          </w:p>
          <w:p>
            <w:pPr>
              <w:pStyle w:val="TableParagraph"/>
              <w:spacing w:before="1"/>
              <w:ind w:left="0"/>
              <w:rPr>
                <w:rFonts w:ascii="Times New Roman"/>
                <w:sz w:val="20"/>
              </w:rPr>
            </w:pPr>
          </w:p>
          <w:p>
            <w:pPr>
              <w:pStyle w:val="TableParagraph"/>
              <w:ind w:right="63"/>
              <w:rPr>
                <w:sz w:val="20"/>
              </w:rPr>
            </w:pPr>
            <w:r>
              <w:rPr>
                <w:sz w:val="20"/>
              </w:rPr>
              <w:t>Reviewed &amp; Updated by Aoife Tynan - Rheumatology and Dermatology Pharmacist (RFL) &amp; Kashyap Thakrar - Lead Formulary &amp; Medicines Management Pharmacist (UCLH), July 2015.</w:t>
            </w:r>
          </w:p>
          <w:p>
            <w:pPr>
              <w:pStyle w:val="TableParagraph"/>
              <w:ind w:left="0"/>
              <w:rPr>
                <w:rFonts w:ascii="Times New Roman"/>
                <w:sz w:val="20"/>
              </w:rPr>
            </w:pPr>
          </w:p>
          <w:p>
            <w:pPr>
              <w:pStyle w:val="TableParagraph"/>
              <w:ind w:right="241"/>
              <w:rPr>
                <w:sz w:val="20"/>
              </w:rPr>
            </w:pPr>
            <w:r>
              <w:rPr>
                <w:sz w:val="20"/>
              </w:rPr>
              <w:t>Reviewed &amp; Updated by Kashyap Thakrar - Lead Formulary &amp; Medicines Management Pharmacist (UCLH) &amp; Hanisha Amin – Camden CCG Prescribing Adviser, February 2017</w:t>
            </w:r>
          </w:p>
          <w:p>
            <w:pPr>
              <w:pStyle w:val="TableParagraph"/>
              <w:spacing w:line="230" w:lineRule="exact"/>
              <w:rPr>
                <w:sz w:val="20"/>
              </w:rPr>
            </w:pPr>
            <w:r>
              <w:rPr>
                <w:sz w:val="20"/>
              </w:rPr>
              <w:t>Agreed with NHS Camden February 2017</w:t>
            </w:r>
          </w:p>
          <w:p>
            <w:pPr>
              <w:pStyle w:val="TableParagraph"/>
              <w:ind w:left="0"/>
              <w:rPr>
                <w:rFonts w:ascii="Times New Roman"/>
                <w:sz w:val="20"/>
              </w:rPr>
            </w:pPr>
          </w:p>
          <w:p>
            <w:pPr>
              <w:pStyle w:val="TableParagraph"/>
              <w:spacing w:line="480" w:lineRule="auto"/>
              <w:ind w:right="2541"/>
              <w:rPr>
                <w:sz w:val="20"/>
              </w:rPr>
            </w:pPr>
            <w:r>
              <w:rPr>
                <w:sz w:val="20"/>
              </w:rPr>
              <w:t>Approved by North Central London Medicines Optimisation Committee March 2017 Ratified by NCL Joint Formulary Committee April 2017</w:t>
            </w:r>
          </w:p>
          <w:p>
            <w:pPr>
              <w:pStyle w:val="TableParagraph"/>
              <w:spacing w:line="201" w:lineRule="exact" w:before="1"/>
              <w:rPr>
                <w:sz w:val="20"/>
              </w:rPr>
            </w:pPr>
            <w:r>
              <w:rPr>
                <w:sz w:val="20"/>
              </w:rPr>
              <w:t>Date of next review: April 2020</w:t>
            </w:r>
          </w:p>
        </w:tc>
      </w:tr>
      <w:tr>
        <w:trPr>
          <w:trHeight w:val="445" w:hRule="atLeast"/>
        </w:trPr>
        <w:tc>
          <w:tcPr>
            <w:tcW w:w="10063" w:type="dxa"/>
            <w:tcBorders>
              <w:top w:val="single" w:sz="24" w:space="0" w:color="7E7E7E"/>
              <w:bottom w:val="single" w:sz="24" w:space="0" w:color="7E7E7E"/>
            </w:tcBorders>
            <w:shd w:val="clear" w:color="auto" w:fill="C5D9F0"/>
          </w:tcPr>
          <w:p>
            <w:pPr>
              <w:pStyle w:val="TableParagraph"/>
              <w:spacing w:line="224" w:lineRule="exact"/>
              <w:rPr>
                <w:sz w:val="20"/>
              </w:rPr>
            </w:pPr>
            <w:r>
              <w:rPr>
                <w:sz w:val="20"/>
              </w:rPr>
              <w:t>December 2017 version 1.1 – Monitoring parameters “Action to be taken if changed” amended to state refer to</w:t>
            </w:r>
          </w:p>
          <w:p>
            <w:pPr>
              <w:pStyle w:val="TableParagraph"/>
              <w:spacing w:line="201" w:lineRule="exact"/>
              <w:rPr>
                <w:sz w:val="20"/>
              </w:rPr>
            </w:pPr>
            <w:r>
              <w:rPr>
                <w:sz w:val="20"/>
              </w:rPr>
              <w:t>“specialist” rather than “rheumatologist / dermatologist” as gastroenterology indications have been added.</w:t>
            </w:r>
          </w:p>
        </w:tc>
      </w:tr>
      <w:tr>
        <w:trPr>
          <w:trHeight w:val="214" w:hRule="atLeast"/>
        </w:trPr>
        <w:tc>
          <w:tcPr>
            <w:tcW w:w="10063" w:type="dxa"/>
            <w:tcBorders>
              <w:top w:val="single" w:sz="24" w:space="0" w:color="7E7E7E"/>
              <w:bottom w:val="single" w:sz="24" w:space="0" w:color="7E7E7E"/>
            </w:tcBorders>
            <w:shd w:val="clear" w:color="auto" w:fill="C5D9F0"/>
          </w:tcPr>
          <w:p>
            <w:pPr>
              <w:pStyle w:val="TableParagraph"/>
              <w:spacing w:line="195" w:lineRule="exact"/>
              <w:rPr>
                <w:sz w:val="20"/>
              </w:rPr>
            </w:pPr>
            <w:r>
              <w:rPr>
                <w:sz w:val="20"/>
              </w:rPr>
              <w:t>June 2018 version 1.2 – Title updated to “Prescribing and Monitoring of oral METHOTREXATE </w:t>
            </w:r>
            <w:r>
              <w:rPr>
                <w:b/>
                <w:sz w:val="20"/>
              </w:rPr>
              <w:t>in adults</w:t>
            </w:r>
            <w:r>
              <w:rPr>
                <w:sz w:val="20"/>
              </w:rPr>
              <w:t>”</w:t>
            </w:r>
          </w:p>
        </w:tc>
      </w:tr>
      <w:tr>
        <w:trPr>
          <w:trHeight w:val="790" w:hRule="atLeast"/>
        </w:trPr>
        <w:tc>
          <w:tcPr>
            <w:tcW w:w="10063" w:type="dxa"/>
            <w:tcBorders>
              <w:top w:val="single" w:sz="24" w:space="0" w:color="7E7E7E"/>
              <w:bottom w:val="single" w:sz="24" w:space="0" w:color="7E7E7E"/>
            </w:tcBorders>
            <w:shd w:val="clear" w:color="auto" w:fill="C5D9F0"/>
          </w:tcPr>
          <w:p>
            <w:pPr>
              <w:pStyle w:val="TableParagraph"/>
              <w:rPr>
                <w:rFonts w:ascii="Calibri" w:hAnsi="Calibri"/>
                <w:sz w:val="22"/>
              </w:rPr>
            </w:pPr>
            <w:r>
              <w:rPr>
                <w:sz w:val="20"/>
              </w:rPr>
              <w:t>September 2021 – Reviewed and updated to include </w:t>
            </w:r>
            <w:r>
              <w:rPr>
                <w:rFonts w:ascii="Calibri" w:hAnsi="Calibri"/>
                <w:sz w:val="22"/>
              </w:rPr>
              <w:t>updated safety guidance from the MHRA. Title amended to reflect current formulary position for use of methotrexate 2.5mg in stated indications only. Date of next</w:t>
            </w:r>
          </w:p>
          <w:p>
            <w:pPr>
              <w:pStyle w:val="TableParagraph"/>
              <w:spacing w:line="240" w:lineRule="exact"/>
              <w:rPr>
                <w:rFonts w:ascii="Calibri"/>
                <w:sz w:val="22"/>
              </w:rPr>
            </w:pPr>
            <w:r>
              <w:rPr>
                <w:rFonts w:ascii="Calibri"/>
                <w:sz w:val="22"/>
              </w:rPr>
              <w:t>review: September 2022</w:t>
            </w:r>
          </w:p>
        </w:tc>
      </w:tr>
    </w:tbl>
    <w:p>
      <w:pPr>
        <w:spacing w:after="0" w:line="240" w:lineRule="exact"/>
        <w:rPr>
          <w:rFonts w:ascii="Calibri"/>
          <w:sz w:val="22"/>
        </w:rPr>
        <w:sectPr>
          <w:pgSz w:w="11910" w:h="16840"/>
          <w:pgMar w:header="0" w:footer="1240" w:top="1580" w:bottom="1440" w:left="160" w:right="40"/>
        </w:sectPr>
      </w:pPr>
    </w:p>
    <w:p>
      <w:pPr>
        <w:spacing w:before="71"/>
        <w:ind w:left="678" w:right="0" w:firstLine="0"/>
        <w:jc w:val="left"/>
        <w:rPr>
          <w:sz w:val="20"/>
        </w:rPr>
      </w:pPr>
      <w:r>
        <w:rPr>
          <w:b/>
          <w:sz w:val="20"/>
        </w:rPr>
        <w:t>Methotrexate transfer form</w:t>
      </w:r>
      <w:r>
        <w:rPr>
          <w:sz w:val="20"/>
        </w:rPr>
        <w:t>: from [Trust] to GP practice</w:t>
      </w:r>
    </w:p>
    <w:p>
      <w:pPr>
        <w:pStyle w:val="BodyText"/>
        <w:spacing w:before="11"/>
        <w:rPr>
          <w:sz w:val="19"/>
        </w:rPr>
      </w:pPr>
    </w:p>
    <w:p>
      <w:pPr>
        <w:spacing w:before="0"/>
        <w:ind w:left="786" w:right="0" w:firstLine="0"/>
        <w:jc w:val="left"/>
        <w:rPr>
          <w:i/>
          <w:sz w:val="20"/>
        </w:rPr>
      </w:pPr>
      <w:r>
        <w:rPr>
          <w:b/>
          <w:sz w:val="20"/>
        </w:rPr>
        <w:t>Section A: to be completed by secondary care </w:t>
      </w:r>
      <w:r>
        <w:rPr>
          <w:i/>
          <w:sz w:val="20"/>
        </w:rPr>
        <w:t>Send to practice</w:t>
      </w:r>
    </w:p>
    <w:p>
      <w:pPr>
        <w:pStyle w:val="BodyText"/>
        <w:rPr>
          <w:i/>
        </w:rPr>
      </w:pPr>
    </w:p>
    <w:p>
      <w:pPr>
        <w:spacing w:before="0"/>
        <w:ind w:left="786" w:right="1087" w:firstLine="0"/>
        <w:jc w:val="left"/>
        <w:rPr>
          <w:i/>
          <w:sz w:val="20"/>
        </w:rPr>
      </w:pPr>
      <w:r>
        <w:rPr/>
        <w:pict>
          <v:shape style="position:absolute;margin-left:42.325001pt;margin-top:29.0949pt;width:246.3pt;height:92.25pt;mso-position-horizontal-relative:page;mso-position-vertical-relative:paragraph;z-index:-928;mso-wrap-distance-left:0;mso-wrap-distance-right:0" type="#_x0000_t202" filled="false" stroked="false">
            <v:textbox inset="0,0,0,0">
              <w:txbxContent>
                <w:p>
                  <w:pPr>
                    <w:spacing w:before="72"/>
                    <w:ind w:left="143" w:right="0" w:firstLine="0"/>
                    <w:jc w:val="left"/>
                    <w:rPr>
                      <w:i/>
                      <w:sz w:val="20"/>
                    </w:rPr>
                  </w:pPr>
                  <w:r>
                    <w:rPr>
                      <w:i/>
                      <w:sz w:val="20"/>
                    </w:rPr>
                    <w:t>Clinic stamp or give details below</w:t>
                  </w:r>
                </w:p>
              </w:txbxContent>
            </v:textbox>
            <w10:wrap type="topAndBottom"/>
          </v:shape>
        </w:pict>
      </w:r>
      <w:r>
        <w:rPr/>
        <w:pict>
          <v:group style="position:absolute;margin-left:289.075012pt;margin-top:28.3449pt;width:247.35pt;height:93.75pt;mso-position-horizontal-relative:page;mso-position-vertical-relative:paragraph;z-index:-880;mso-wrap-distance-left:0;mso-wrap-distance-right:0" coordorigin="5782,567" coordsize="4947,1875">
            <v:rect style="position:absolute;left:5789;top:574;width:4932;height:1860" filled="false" stroked="true" strokeweight=".75pt" strokecolor="#000000">
              <v:stroke dashstyle="solid"/>
            </v:rect>
            <v:shape style="position:absolute;left:5787;top:581;width:4926;height:1845" type="#_x0000_t202" filled="false" stroked="false">
              <v:textbox inset="0,0,0,0">
                <w:txbxContent>
                  <w:p>
                    <w:pPr>
                      <w:spacing w:before="72"/>
                      <w:ind w:left="152" w:right="0" w:firstLine="0"/>
                      <w:jc w:val="left"/>
                      <w:rPr>
                        <w:i/>
                        <w:sz w:val="20"/>
                      </w:rPr>
                    </w:pPr>
                    <w:r>
                      <w:rPr>
                        <w:i/>
                        <w:sz w:val="20"/>
                      </w:rPr>
                      <w:t>Fix address label here (ensure inc. NHS no.)</w:t>
                    </w:r>
                  </w:p>
                </w:txbxContent>
              </v:textbox>
              <w10:wrap type="none"/>
            </v:shape>
            <w10:wrap type="topAndBottom"/>
          </v:group>
        </w:pict>
      </w:r>
      <w:r>
        <w:rPr>
          <w:i/>
          <w:sz w:val="20"/>
        </w:rPr>
        <w:t>This document is to request the shared care pathway of your patient and comprises an agreement between the </w:t>
      </w:r>
      <w:r>
        <w:rPr>
          <w:i/>
          <w:sz w:val="20"/>
        </w:rPr>
        <w:t>GP and named consultant. The patient will continue to be seen by the named consultant as regular follow up.</w:t>
      </w:r>
    </w:p>
    <w:p>
      <w:pPr>
        <w:pStyle w:val="BodyText"/>
        <w:spacing w:before="3"/>
        <w:rPr>
          <w:i/>
          <w:sz w:val="8"/>
        </w:rPr>
      </w:pPr>
    </w:p>
    <w:p>
      <w:pPr>
        <w:spacing w:after="0"/>
        <w:rPr>
          <w:sz w:val="8"/>
        </w:rPr>
        <w:sectPr>
          <w:pgSz w:w="11910" w:h="16840"/>
          <w:pgMar w:header="0" w:footer="1240" w:top="1560" w:bottom="1440" w:left="160" w:right="40"/>
        </w:sectPr>
      </w:pPr>
    </w:p>
    <w:p>
      <w:pPr>
        <w:pStyle w:val="BodyText"/>
        <w:rPr>
          <w:i/>
          <w:sz w:val="22"/>
        </w:rPr>
      </w:pPr>
    </w:p>
    <w:p>
      <w:pPr>
        <w:pStyle w:val="BodyText"/>
        <w:spacing w:before="197"/>
        <w:ind w:left="678"/>
      </w:pPr>
      <w:r>
        <w:rPr/>
        <w:t>Department</w:t>
      </w:r>
    </w:p>
    <w:p>
      <w:pPr>
        <w:pStyle w:val="BodyText"/>
        <w:rPr>
          <w:sz w:val="22"/>
        </w:rPr>
      </w:pPr>
    </w:p>
    <w:p>
      <w:pPr>
        <w:pStyle w:val="BodyText"/>
        <w:rPr>
          <w:sz w:val="22"/>
        </w:rPr>
      </w:pPr>
    </w:p>
    <w:p>
      <w:pPr>
        <w:pStyle w:val="BodyText"/>
        <w:rPr>
          <w:sz w:val="22"/>
        </w:rPr>
      </w:pPr>
    </w:p>
    <w:p>
      <w:pPr>
        <w:pStyle w:val="BodyText"/>
        <w:spacing w:before="8"/>
        <w:rPr>
          <w:sz w:val="21"/>
        </w:rPr>
      </w:pPr>
    </w:p>
    <w:p>
      <w:pPr>
        <w:pStyle w:val="BodyText"/>
        <w:ind w:left="678" w:hanging="108"/>
      </w:pPr>
      <w:r>
        <w:rPr/>
        <w:t>Clinic</w:t>
      </w:r>
      <w:r>
        <w:rPr>
          <w:spacing w:val="-1"/>
        </w:rPr>
        <w:t> </w:t>
      </w:r>
      <w:r>
        <w:rPr/>
        <w:t>phone</w:t>
      </w:r>
    </w:p>
    <w:p>
      <w:pPr>
        <w:pStyle w:val="BodyText"/>
        <w:spacing w:before="5"/>
        <w:rPr>
          <w:sz w:val="30"/>
        </w:rPr>
      </w:pPr>
    </w:p>
    <w:p>
      <w:pPr>
        <w:pStyle w:val="BodyText"/>
        <w:ind w:left="678"/>
      </w:pPr>
      <w:r>
        <w:rPr/>
        <w:t>Consultant</w:t>
      </w:r>
    </w:p>
    <w:p>
      <w:pPr>
        <w:pStyle w:val="BodyText"/>
        <w:spacing w:before="4"/>
        <w:rPr>
          <w:sz w:val="23"/>
        </w:rPr>
      </w:pPr>
    </w:p>
    <w:p>
      <w:pPr>
        <w:pStyle w:val="BodyText"/>
        <w:ind w:left="678" w:right="365"/>
      </w:pPr>
      <w:r>
        <w:rPr/>
        <w:t>Email (nhs.net only)</w:t>
      </w:r>
    </w:p>
    <w:p>
      <w:pPr>
        <w:pStyle w:val="BodyText"/>
        <w:rPr>
          <w:sz w:val="22"/>
        </w:rPr>
      </w:pPr>
    </w:p>
    <w:p>
      <w:pPr>
        <w:pStyle w:val="BodyText"/>
        <w:rPr>
          <w:sz w:val="18"/>
        </w:rPr>
      </w:pPr>
    </w:p>
    <w:p>
      <w:pPr>
        <w:pStyle w:val="BodyText"/>
        <w:ind w:left="678" w:right="422"/>
      </w:pPr>
      <w:r>
        <w:rPr/>
        <w:pict>
          <v:rect style="position:absolute;margin-left:126pt;margin-top:.889877pt;width:406.65pt;height:24.75pt;mso-position-horizontal-relative:page;mso-position-vertical-relative:paragraph;z-index:1312" filled="false" stroked="true" strokeweight=".75pt" strokecolor="#000000">
            <v:stroke dashstyle="solid"/>
            <w10:wrap type="none"/>
          </v:rect>
        </w:pict>
      </w:r>
      <w:r>
        <w:rPr/>
        <w:t>Indication for prescription</w:t>
      </w:r>
    </w:p>
    <w:p>
      <w:pPr>
        <w:pStyle w:val="BodyText"/>
        <w:rPr>
          <w:sz w:val="22"/>
        </w:rPr>
      </w:pPr>
    </w:p>
    <w:p>
      <w:pPr>
        <w:pStyle w:val="BodyText"/>
        <w:rPr>
          <w:sz w:val="22"/>
        </w:rPr>
      </w:pPr>
    </w:p>
    <w:p>
      <w:pPr>
        <w:pStyle w:val="BodyText"/>
        <w:spacing w:before="8"/>
        <w:rPr>
          <w:sz w:val="19"/>
        </w:rPr>
      </w:pPr>
    </w:p>
    <w:p>
      <w:pPr>
        <w:spacing w:before="1"/>
        <w:ind w:left="678" w:right="38" w:firstLine="0"/>
        <w:jc w:val="left"/>
        <w:rPr>
          <w:sz w:val="20"/>
        </w:rPr>
      </w:pPr>
      <w:r>
        <w:rPr/>
        <w:pict>
          <v:shape style="position:absolute;margin-left:129.020004pt;margin-top:-17.270117pt;width:452.4pt;height:77.95pt;mso-position-horizontal-relative:page;mso-position-vertical-relative:paragraph;z-index:14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8"/>
                    <w:gridCol w:w="3260"/>
                    <w:gridCol w:w="3226"/>
                  </w:tblGrid>
                  <w:tr>
                    <w:trPr>
                      <w:trHeight w:val="340" w:hRule="atLeast"/>
                    </w:trPr>
                    <w:tc>
                      <w:tcPr>
                        <w:tcW w:w="2548" w:type="dxa"/>
                      </w:tcPr>
                      <w:p>
                        <w:pPr>
                          <w:pStyle w:val="TableParagraph"/>
                          <w:numPr>
                            <w:ilvl w:val="0"/>
                            <w:numId w:val="9"/>
                          </w:numPr>
                          <w:tabs>
                            <w:tab w:pos="267" w:val="left" w:leader="none"/>
                          </w:tabs>
                          <w:spacing w:line="240" w:lineRule="auto" w:before="0" w:after="0"/>
                          <w:ind w:left="266" w:right="0" w:hanging="159"/>
                          <w:jc w:val="left"/>
                          <w:rPr>
                            <w:sz w:val="18"/>
                          </w:rPr>
                        </w:pPr>
                        <w:r>
                          <w:rPr>
                            <w:sz w:val="18"/>
                          </w:rPr>
                          <w:t>Juvenile idiopathic</w:t>
                        </w:r>
                        <w:r>
                          <w:rPr>
                            <w:spacing w:val="-1"/>
                            <w:sz w:val="18"/>
                          </w:rPr>
                          <w:t> </w:t>
                        </w:r>
                        <w:r>
                          <w:rPr>
                            <w:sz w:val="18"/>
                          </w:rPr>
                          <w:t>arthritis</w:t>
                        </w:r>
                      </w:p>
                    </w:tc>
                    <w:tc>
                      <w:tcPr>
                        <w:tcW w:w="3260" w:type="dxa"/>
                      </w:tcPr>
                      <w:p>
                        <w:pPr>
                          <w:pStyle w:val="TableParagraph"/>
                          <w:numPr>
                            <w:ilvl w:val="0"/>
                            <w:numId w:val="10"/>
                          </w:numPr>
                          <w:tabs>
                            <w:tab w:pos="266" w:val="left" w:leader="none"/>
                          </w:tabs>
                          <w:spacing w:line="240" w:lineRule="auto" w:before="0" w:after="0"/>
                          <w:ind w:left="265" w:right="0" w:hanging="158"/>
                          <w:jc w:val="left"/>
                          <w:rPr>
                            <w:sz w:val="18"/>
                          </w:rPr>
                        </w:pPr>
                        <w:r>
                          <w:rPr>
                            <w:sz w:val="18"/>
                          </w:rPr>
                          <w:t>Systemic lupus erythematous</w:t>
                        </w:r>
                        <w:r>
                          <w:rPr>
                            <w:spacing w:val="-3"/>
                            <w:sz w:val="18"/>
                          </w:rPr>
                          <w:t> </w:t>
                        </w:r>
                        <w:r>
                          <w:rPr>
                            <w:sz w:val="18"/>
                          </w:rPr>
                          <w:t>(SLE)</w:t>
                        </w:r>
                      </w:p>
                    </w:tc>
                    <w:tc>
                      <w:tcPr>
                        <w:tcW w:w="3226" w:type="dxa"/>
                      </w:tcPr>
                      <w:p>
                        <w:pPr>
                          <w:pStyle w:val="TableParagraph"/>
                          <w:numPr>
                            <w:ilvl w:val="0"/>
                            <w:numId w:val="11"/>
                          </w:numPr>
                          <w:tabs>
                            <w:tab w:pos="266" w:val="left" w:leader="none"/>
                          </w:tabs>
                          <w:spacing w:line="240" w:lineRule="auto" w:before="0" w:after="0"/>
                          <w:ind w:left="265" w:right="0" w:hanging="158"/>
                          <w:jc w:val="left"/>
                          <w:rPr>
                            <w:sz w:val="18"/>
                          </w:rPr>
                        </w:pPr>
                        <w:r>
                          <w:rPr>
                            <w:sz w:val="18"/>
                          </w:rPr>
                          <w:t>Dermatomyositis</w:t>
                        </w:r>
                      </w:p>
                    </w:tc>
                  </w:tr>
                  <w:tr>
                    <w:trPr>
                      <w:trHeight w:val="340" w:hRule="atLeast"/>
                    </w:trPr>
                    <w:tc>
                      <w:tcPr>
                        <w:tcW w:w="2548" w:type="dxa"/>
                      </w:tcPr>
                      <w:p>
                        <w:pPr>
                          <w:pStyle w:val="TableParagraph"/>
                          <w:numPr>
                            <w:ilvl w:val="0"/>
                            <w:numId w:val="12"/>
                          </w:numPr>
                          <w:tabs>
                            <w:tab w:pos="267" w:val="left" w:leader="none"/>
                          </w:tabs>
                          <w:spacing w:line="240" w:lineRule="auto" w:before="0" w:after="0"/>
                          <w:ind w:left="266" w:right="0" w:hanging="159"/>
                          <w:jc w:val="left"/>
                          <w:rPr>
                            <w:sz w:val="18"/>
                          </w:rPr>
                        </w:pPr>
                        <w:r>
                          <w:rPr>
                            <w:sz w:val="18"/>
                          </w:rPr>
                          <w:t>Crohn’s</w:t>
                        </w:r>
                        <w:r>
                          <w:rPr>
                            <w:spacing w:val="-2"/>
                            <w:sz w:val="18"/>
                          </w:rPr>
                          <w:t> </w:t>
                        </w:r>
                        <w:r>
                          <w:rPr>
                            <w:sz w:val="18"/>
                          </w:rPr>
                          <w:t>disease</w:t>
                        </w:r>
                      </w:p>
                    </w:tc>
                    <w:tc>
                      <w:tcPr>
                        <w:tcW w:w="3260" w:type="dxa"/>
                      </w:tcPr>
                      <w:p>
                        <w:pPr>
                          <w:pStyle w:val="TableParagraph"/>
                          <w:numPr>
                            <w:ilvl w:val="0"/>
                            <w:numId w:val="13"/>
                          </w:numPr>
                          <w:tabs>
                            <w:tab w:pos="266" w:val="left" w:leader="none"/>
                          </w:tabs>
                          <w:spacing w:line="240" w:lineRule="auto" w:before="0" w:after="0"/>
                          <w:ind w:left="265" w:right="0" w:hanging="158"/>
                          <w:jc w:val="left"/>
                          <w:rPr>
                            <w:sz w:val="18"/>
                          </w:rPr>
                        </w:pPr>
                        <w:r>
                          <w:rPr>
                            <w:sz w:val="18"/>
                          </w:rPr>
                          <w:t>Scleroderma</w:t>
                        </w:r>
                      </w:p>
                    </w:tc>
                    <w:tc>
                      <w:tcPr>
                        <w:tcW w:w="3226" w:type="dxa"/>
                      </w:tcPr>
                      <w:p>
                        <w:pPr>
                          <w:pStyle w:val="TableParagraph"/>
                          <w:numPr>
                            <w:ilvl w:val="0"/>
                            <w:numId w:val="14"/>
                          </w:numPr>
                          <w:tabs>
                            <w:tab w:pos="266" w:val="left" w:leader="none"/>
                          </w:tabs>
                          <w:spacing w:line="240" w:lineRule="auto" w:before="0" w:after="0"/>
                          <w:ind w:left="265" w:right="0" w:hanging="158"/>
                          <w:jc w:val="left"/>
                          <w:rPr>
                            <w:sz w:val="18"/>
                          </w:rPr>
                        </w:pPr>
                        <w:r>
                          <w:rPr>
                            <w:sz w:val="18"/>
                          </w:rPr>
                          <w:t>Inflammatory</w:t>
                        </w:r>
                        <w:r>
                          <w:rPr>
                            <w:spacing w:val="-1"/>
                            <w:sz w:val="18"/>
                          </w:rPr>
                          <w:t> </w:t>
                        </w:r>
                        <w:r>
                          <w:rPr>
                            <w:sz w:val="18"/>
                          </w:rPr>
                          <w:t>myopathy</w:t>
                        </w:r>
                      </w:p>
                    </w:tc>
                  </w:tr>
                  <w:tr>
                    <w:trPr>
                      <w:trHeight w:val="340" w:hRule="atLeast"/>
                    </w:trPr>
                    <w:tc>
                      <w:tcPr>
                        <w:tcW w:w="2548" w:type="dxa"/>
                      </w:tcPr>
                      <w:p>
                        <w:pPr>
                          <w:pStyle w:val="TableParagraph"/>
                          <w:numPr>
                            <w:ilvl w:val="0"/>
                            <w:numId w:val="15"/>
                          </w:numPr>
                          <w:tabs>
                            <w:tab w:pos="267" w:val="left" w:leader="none"/>
                          </w:tabs>
                          <w:spacing w:line="240" w:lineRule="auto" w:before="0" w:after="0"/>
                          <w:ind w:left="266" w:right="0" w:hanging="159"/>
                          <w:jc w:val="left"/>
                          <w:rPr>
                            <w:sz w:val="18"/>
                          </w:rPr>
                        </w:pPr>
                        <w:r>
                          <w:rPr>
                            <w:sz w:val="18"/>
                          </w:rPr>
                          <w:t>Sarcoidosis</w:t>
                        </w:r>
                      </w:p>
                    </w:tc>
                    <w:tc>
                      <w:tcPr>
                        <w:tcW w:w="3260" w:type="dxa"/>
                      </w:tcPr>
                      <w:p>
                        <w:pPr>
                          <w:pStyle w:val="TableParagraph"/>
                          <w:numPr>
                            <w:ilvl w:val="0"/>
                            <w:numId w:val="16"/>
                          </w:numPr>
                          <w:tabs>
                            <w:tab w:pos="266" w:val="left" w:leader="none"/>
                          </w:tabs>
                          <w:spacing w:line="240" w:lineRule="auto" w:before="0" w:after="0"/>
                          <w:ind w:left="265" w:right="0" w:hanging="158"/>
                          <w:jc w:val="left"/>
                          <w:rPr>
                            <w:sz w:val="18"/>
                          </w:rPr>
                        </w:pPr>
                        <w:r>
                          <w:rPr>
                            <w:sz w:val="18"/>
                          </w:rPr>
                          <w:t>Vasculitis</w:t>
                        </w:r>
                      </w:p>
                    </w:tc>
                    <w:tc>
                      <w:tcPr>
                        <w:tcW w:w="3226" w:type="dxa"/>
                      </w:tcPr>
                      <w:p>
                        <w:pPr>
                          <w:pStyle w:val="TableParagraph"/>
                          <w:numPr>
                            <w:ilvl w:val="0"/>
                            <w:numId w:val="17"/>
                          </w:numPr>
                          <w:tabs>
                            <w:tab w:pos="266" w:val="left" w:leader="none"/>
                          </w:tabs>
                          <w:spacing w:line="240" w:lineRule="auto" w:before="0" w:after="0"/>
                          <w:ind w:left="265" w:right="0" w:hanging="158"/>
                          <w:jc w:val="left"/>
                          <w:rPr>
                            <w:sz w:val="18"/>
                          </w:rPr>
                        </w:pPr>
                        <w:r>
                          <w:rPr>
                            <w:sz w:val="18"/>
                          </w:rPr>
                          <w:t>Pemphigoid</w:t>
                        </w:r>
                      </w:p>
                    </w:tc>
                  </w:tr>
                  <w:tr>
                    <w:trPr>
                      <w:trHeight w:val="487" w:hRule="atLeast"/>
                    </w:trPr>
                    <w:tc>
                      <w:tcPr>
                        <w:tcW w:w="2548" w:type="dxa"/>
                      </w:tcPr>
                      <w:p>
                        <w:pPr>
                          <w:pStyle w:val="TableParagraph"/>
                          <w:numPr>
                            <w:ilvl w:val="0"/>
                            <w:numId w:val="18"/>
                          </w:numPr>
                          <w:tabs>
                            <w:tab w:pos="267" w:val="left" w:leader="none"/>
                          </w:tabs>
                          <w:spacing w:line="240" w:lineRule="auto" w:before="0" w:after="0"/>
                          <w:ind w:left="266" w:right="0" w:hanging="159"/>
                          <w:jc w:val="left"/>
                          <w:rPr>
                            <w:sz w:val="18"/>
                          </w:rPr>
                        </w:pPr>
                        <w:r>
                          <w:rPr>
                            <w:sz w:val="18"/>
                          </w:rPr>
                          <w:t>Psoriatic</w:t>
                        </w:r>
                        <w:r>
                          <w:rPr>
                            <w:spacing w:val="-1"/>
                            <w:sz w:val="18"/>
                          </w:rPr>
                          <w:t> </w:t>
                        </w:r>
                        <w:r>
                          <w:rPr>
                            <w:sz w:val="18"/>
                          </w:rPr>
                          <w:t>arthritis</w:t>
                        </w:r>
                      </w:p>
                    </w:tc>
                    <w:tc>
                      <w:tcPr>
                        <w:tcW w:w="3260" w:type="dxa"/>
                      </w:tcPr>
                      <w:p>
                        <w:pPr>
                          <w:pStyle w:val="TableParagraph"/>
                          <w:numPr>
                            <w:ilvl w:val="0"/>
                            <w:numId w:val="19"/>
                          </w:numPr>
                          <w:tabs>
                            <w:tab w:pos="266" w:val="left" w:leader="none"/>
                          </w:tabs>
                          <w:spacing w:line="240" w:lineRule="auto" w:before="0" w:after="0"/>
                          <w:ind w:left="265" w:right="0" w:hanging="158"/>
                          <w:jc w:val="left"/>
                          <w:rPr>
                            <w:sz w:val="18"/>
                          </w:rPr>
                        </w:pPr>
                        <w:r>
                          <w:rPr>
                            <w:sz w:val="18"/>
                          </w:rPr>
                          <w:t>Atopic</w:t>
                        </w:r>
                        <w:r>
                          <w:rPr>
                            <w:spacing w:val="-1"/>
                            <w:sz w:val="18"/>
                          </w:rPr>
                          <w:t> </w:t>
                        </w:r>
                        <w:r>
                          <w:rPr>
                            <w:sz w:val="18"/>
                          </w:rPr>
                          <w:t>eczema</w:t>
                        </w:r>
                      </w:p>
                    </w:tc>
                    <w:tc>
                      <w:tcPr>
                        <w:tcW w:w="3226" w:type="dxa"/>
                      </w:tcPr>
                      <w:p>
                        <w:pPr>
                          <w:pStyle w:val="TableParagraph"/>
                          <w:ind w:left="107"/>
                          <w:rPr>
                            <w:sz w:val="16"/>
                          </w:rPr>
                        </w:pPr>
                        <w:r>
                          <w:rPr>
                            <w:sz w:val="16"/>
                          </w:rPr>
                          <w:t>Any other off-label indication has not been approved for shared care</w:t>
                        </w:r>
                      </w:p>
                    </w:tc>
                  </w:tr>
                </w:tbl>
                <w:p>
                  <w:pPr>
                    <w:pStyle w:val="BodyText"/>
                  </w:pPr>
                </w:p>
              </w:txbxContent>
            </v:textbox>
            <w10:wrap type="none"/>
          </v:shape>
        </w:pict>
      </w:r>
      <w:r>
        <w:rPr>
          <w:sz w:val="20"/>
        </w:rPr>
        <w:t>If the indication is </w:t>
      </w:r>
      <w:r>
        <w:rPr>
          <w:b/>
          <w:sz w:val="20"/>
        </w:rPr>
        <w:t>off-label </w:t>
      </w:r>
      <w:r>
        <w:rPr>
          <w:sz w:val="20"/>
        </w:rPr>
        <w:t>please tick:</w:t>
      </w:r>
    </w:p>
    <w:p>
      <w:pPr>
        <w:pStyle w:val="BodyText"/>
        <w:rPr>
          <w:sz w:val="22"/>
        </w:rPr>
      </w:pPr>
    </w:p>
    <w:p>
      <w:pPr>
        <w:pStyle w:val="BodyText"/>
        <w:rPr>
          <w:sz w:val="22"/>
        </w:rPr>
      </w:pPr>
    </w:p>
    <w:p>
      <w:pPr>
        <w:pStyle w:val="BodyText"/>
        <w:rPr>
          <w:sz w:val="22"/>
        </w:rPr>
      </w:pPr>
    </w:p>
    <w:p>
      <w:pPr>
        <w:pStyle w:val="BodyText"/>
        <w:spacing w:before="192"/>
        <w:ind w:left="678"/>
      </w:pPr>
      <w:r>
        <w:rPr/>
        <w:pict>
          <v:shape style="position:absolute;margin-left:126.599998pt;margin-top:2.029876pt;width:439.2pt;height:23.4pt;mso-position-horizontal-relative:page;mso-position-vertical-relative:paragraph;z-index:1432" type="#_x0000_t202" filled="false" stroked="true" strokeweight=".75pt" strokecolor="#000000">
            <v:textbox inset="0,0,0,0">
              <w:txbxContent>
                <w:p>
                  <w:pPr>
                    <w:pStyle w:val="BodyText"/>
                    <w:spacing w:before="73"/>
                    <w:ind w:left="144"/>
                  </w:pPr>
                  <w:r>
                    <w:rPr/>
                    <w:t>Methotrexate 2.5 mg tablets</w:t>
                  </w:r>
                </w:p>
              </w:txbxContent>
            </v:textbox>
            <v:stroke dashstyle="solid"/>
            <w10:wrap type="none"/>
          </v:shape>
        </w:pict>
      </w:r>
      <w:r>
        <w:rPr/>
        <w:t>Drug prescribed</w:t>
      </w:r>
    </w:p>
    <w:p>
      <w:pPr>
        <w:spacing w:line="276" w:lineRule="auto" w:before="94"/>
        <w:ind w:left="570" w:right="834" w:firstLine="0"/>
        <w:jc w:val="left"/>
        <w:rPr>
          <w:i/>
          <w:sz w:val="18"/>
        </w:rPr>
      </w:pPr>
      <w:r>
        <w:rPr/>
        <w:br w:type="column"/>
      </w:r>
      <w:r>
        <w:rPr>
          <w:i/>
          <w:sz w:val="18"/>
        </w:rPr>
        <w:t>Please ensure consultant contact details are included within this </w:t>
      </w:r>
      <w:r>
        <w:rPr>
          <w:i/>
          <w:sz w:val="18"/>
        </w:rPr>
        <w:t>request to enable the GP to contact the consultant for further support or advice if needed. Aim to respond to the GP within 24 hours of receiving a query.</w:t>
      </w:r>
    </w:p>
    <w:p>
      <w:pPr>
        <w:pStyle w:val="BodyText"/>
        <w:rPr>
          <w:i/>
        </w:rPr>
      </w:pPr>
    </w:p>
    <w:p>
      <w:pPr>
        <w:pStyle w:val="BodyText"/>
        <w:rPr>
          <w:i/>
        </w:rPr>
      </w:pPr>
    </w:p>
    <w:p>
      <w:pPr>
        <w:pStyle w:val="BodyText"/>
        <w:rPr>
          <w:i/>
        </w:rPr>
      </w:pPr>
    </w:p>
    <w:p>
      <w:pPr>
        <w:pStyle w:val="BodyText"/>
        <w:spacing w:before="4"/>
        <w:rPr>
          <w:i/>
          <w:sz w:val="29"/>
        </w:rPr>
      </w:pPr>
    </w:p>
    <w:p>
      <w:pPr>
        <w:pStyle w:val="BodyText"/>
        <w:ind w:left="1125" w:right="4860" w:firstLine="61"/>
      </w:pPr>
      <w:r>
        <w:rPr/>
        <w:pict>
          <v:rect style="position:absolute;margin-left:96.973999pt;margin-top:-97.300117pt;width:179.4pt;height:24.15pt;mso-position-horizontal-relative:page;mso-position-vertical-relative:paragraph;z-index:1192" filled="false" stroked="true" strokeweight=".75pt" strokecolor="#000000">
            <v:stroke dashstyle="solid"/>
            <w10:wrap type="none"/>
          </v:rect>
        </w:pict>
      </w:r>
      <w:r>
        <w:rPr/>
        <w:pict>
          <v:rect style="position:absolute;margin-left:126.75pt;margin-top:-35.520119pt;width:179.4pt;height:25.5pt;mso-position-horizontal-relative:page;mso-position-vertical-relative:paragraph;z-index:1216" filled="false" stroked="true" strokeweight=".75pt" strokecolor="#000000">
            <v:stroke dashstyle="solid"/>
            <w10:wrap type="none"/>
          </v:rect>
        </w:pict>
      </w:r>
      <w:r>
        <w:rPr/>
        <w:pict>
          <v:rect style="position:absolute;margin-left:126.75pt;margin-top:1.279880pt;width:179.4pt;height:24.75pt;mso-position-horizontal-relative:page;mso-position-vertical-relative:paragraph;z-index:1240" filled="false" stroked="true" strokeweight=".75pt" strokecolor="#000000">
            <v:stroke dashstyle="solid"/>
            <w10:wrap type="none"/>
          </v:rect>
        </w:pict>
      </w:r>
      <w:r>
        <w:rPr/>
        <w:pict>
          <v:rect style="position:absolute;margin-left:126.75pt;margin-top:36.619881pt;width:399pt;height:25.5pt;mso-position-horizontal-relative:page;mso-position-vertical-relative:paragraph;z-index:1264" filled="false" stroked="true" strokeweight=".75pt" strokecolor="#000000">
            <v:stroke dashstyle="solid"/>
            <w10:wrap type="none"/>
          </v:rect>
        </w:pict>
      </w:r>
      <w:r>
        <w:rPr/>
        <w:pict>
          <v:rect style="position:absolute;margin-left:357pt;margin-top:.87988pt;width:179.4pt;height:25.5pt;mso-position-horizontal-relative:page;mso-position-vertical-relative:paragraph;z-index:1288" filled="false" stroked="true" strokeweight=".75pt" strokecolor="#000000">
            <v:stroke dashstyle="solid"/>
            <w10:wrap type="none"/>
          </v:rect>
        </w:pict>
      </w:r>
      <w:r>
        <w:rPr/>
        <w:t>Tel./ Bleep</w:t>
      </w:r>
    </w:p>
    <w:p>
      <w:pPr>
        <w:spacing w:after="0"/>
        <w:sectPr>
          <w:type w:val="continuous"/>
          <w:pgSz w:w="11910" w:h="16840"/>
          <w:pgMar w:top="280" w:bottom="1440" w:left="160" w:right="40"/>
          <w:cols w:num="2" w:equalWidth="0">
            <w:col w:w="2266" w:space="2927"/>
            <w:col w:w="6517"/>
          </w:cols>
        </w:sectPr>
      </w:pPr>
    </w:p>
    <w:p>
      <w:pPr>
        <w:pStyle w:val="BodyText"/>
      </w:pPr>
    </w:p>
    <w:p>
      <w:pPr>
        <w:pStyle w:val="BodyText"/>
        <w:spacing w:before="6"/>
        <w:rPr>
          <w:sz w:val="18"/>
        </w:rPr>
      </w:pPr>
    </w:p>
    <w:p>
      <w:pPr>
        <w:pStyle w:val="BodyText"/>
        <w:tabs>
          <w:tab w:pos="4370" w:val="left" w:leader="none"/>
          <w:tab w:pos="8016" w:val="left" w:leader="none"/>
        </w:tabs>
        <w:spacing w:before="94"/>
        <w:ind w:left="678"/>
      </w:pPr>
      <w:r>
        <w:rPr/>
        <w:pict>
          <v:rect style="position:absolute;margin-left:126pt;margin-top:-4.020121pt;width:90pt;height:23.4pt;mso-position-horizontal-relative:page;mso-position-vertical-relative:paragraph;z-index:-32416" filled="false" stroked="true" strokeweight=".75pt" strokecolor="#000000">
            <v:stroke dashstyle="solid"/>
            <w10:wrap type="none"/>
          </v:rect>
        </w:pict>
      </w:r>
      <w:r>
        <w:rPr/>
        <w:pict>
          <v:rect style="position:absolute;margin-left:126.599998pt;margin-top:27.74988pt;width:439.2pt;height:26.4pt;mso-position-horizontal-relative:page;mso-position-vertical-relative:paragraph;z-index:1360" filled="false" stroked="true" strokeweight=".75pt" strokecolor="#000000">
            <v:stroke dashstyle="solid"/>
            <w10:wrap type="none"/>
          </v:rect>
        </w:pict>
      </w:r>
      <w:r>
        <w:rPr/>
        <w:pict>
          <v:rect style="position:absolute;margin-left:314.25pt;margin-top:-3.770121pt;width:83.4pt;height:23.4pt;mso-position-horizontal-relative:page;mso-position-vertical-relative:paragraph;z-index:-32368" filled="false" stroked="true" strokeweight=".75pt" strokecolor="#000000">
            <v:stroke dashstyle="solid"/>
            <w10:wrap type="none"/>
          </v:rect>
        </w:pict>
      </w:r>
      <w:r>
        <w:rPr/>
        <w:t>Date</w:t>
      </w:r>
      <w:r>
        <w:rPr>
          <w:spacing w:val="-1"/>
        </w:rPr>
        <w:t> </w:t>
      </w:r>
      <w:r>
        <w:rPr/>
        <w:t>started</w:t>
        <w:tab/>
        <w:t>Current</w:t>
      </w:r>
      <w:r>
        <w:rPr>
          <w:spacing w:val="-1"/>
        </w:rPr>
        <w:t> </w:t>
      </w:r>
      <w:r>
        <w:rPr/>
        <w:t>dose</w:t>
        <w:tab/>
        <w:t>mg ONCE a</w:t>
      </w:r>
      <w:r>
        <w:rPr>
          <w:spacing w:val="-1"/>
        </w:rPr>
        <w:t> </w:t>
      </w:r>
      <w:r>
        <w:rPr/>
        <w:t>week</w:t>
      </w:r>
    </w:p>
    <w:p>
      <w:pPr>
        <w:pStyle w:val="BodyText"/>
        <w:rPr>
          <w:sz w:val="22"/>
        </w:rPr>
      </w:pPr>
    </w:p>
    <w:p>
      <w:pPr>
        <w:pStyle w:val="BodyText"/>
        <w:spacing w:before="4"/>
        <w:rPr>
          <w:sz w:val="21"/>
        </w:rPr>
      </w:pPr>
    </w:p>
    <w:p>
      <w:pPr>
        <w:pStyle w:val="BodyText"/>
        <w:spacing w:before="1"/>
        <w:ind w:left="678" w:right="10111"/>
      </w:pPr>
      <w:r>
        <w:rPr/>
        <w:t>Relevant conditions</w:t>
      </w:r>
    </w:p>
    <w:p>
      <w:pPr>
        <w:pStyle w:val="BodyText"/>
        <w:spacing w:before="11"/>
        <w:rPr>
          <w:sz w:val="19"/>
        </w:rPr>
      </w:pPr>
    </w:p>
    <w:p>
      <w:pPr>
        <w:pStyle w:val="BodyText"/>
        <w:ind w:left="678" w:right="10078"/>
      </w:pPr>
      <w:r>
        <w:rPr/>
        <w:pict>
          <v:rect style="position:absolute;margin-left:125.800003pt;margin-top:1.089877pt;width:439.2pt;height:26.4pt;mso-position-horizontal-relative:page;mso-position-vertical-relative:paragraph;z-index:1408" filled="false" stroked="true" strokeweight=".75pt" strokecolor="#000000">
            <v:stroke dashstyle="solid"/>
            <w10:wrap type="none"/>
          </v:rect>
        </w:pict>
      </w:r>
      <w:r>
        <w:rPr/>
        <w:t>Monitoring variations</w:t>
      </w:r>
    </w:p>
    <w:p>
      <w:pPr>
        <w:spacing w:after="0"/>
        <w:sectPr>
          <w:type w:val="continuous"/>
          <w:pgSz w:w="11910" w:h="16840"/>
          <w:pgMar w:top="280" w:bottom="1440" w:left="160" w:right="40"/>
        </w:sectPr>
      </w:pPr>
    </w:p>
    <w:p>
      <w:pPr>
        <w:pStyle w:val="BodyText"/>
      </w:pPr>
      <w:r>
        <w:rPr/>
        <w:pict>
          <v:line style="position:absolute;mso-position-horizontal-relative:page;mso-position-vertical-relative:page;z-index:-32200" from="325.540009pt,494.319977pt" to="325.540009pt,588.759987pt" stroked="true" strokeweight=".48001pt" strokecolor="#000000">
            <v:stroke dashstyle="solid"/>
            <w10:wrap type="none"/>
          </v:line>
        </w:pict>
      </w:r>
      <w:r>
        <w:rPr/>
        <w:pict>
          <v:rect style="position:absolute;margin-left:131.5pt;margin-top:657.5pt;width:197.15pt;height:20.4pt;mso-position-horizontal-relative:page;mso-position-vertical-relative:page;z-index:-32128" filled="false" stroked="true" strokeweight=".25pt" strokecolor="#000000">
            <v:stroke dashstyle="solid"/>
            <w10:wrap type="none"/>
          </v:rect>
        </w:pict>
      </w:r>
    </w:p>
    <w:p>
      <w:pPr>
        <w:pStyle w:val="BodyText"/>
      </w:pPr>
    </w:p>
    <w:p>
      <w:pPr>
        <w:pStyle w:val="BodyText"/>
      </w:pPr>
    </w:p>
    <w:p>
      <w:pPr>
        <w:pStyle w:val="BodyText"/>
        <w:spacing w:before="8"/>
        <w:rPr>
          <w:sz w:val="26"/>
        </w:rPr>
      </w:pPr>
    </w:p>
    <w:tbl>
      <w:tblPr>
        <w:tblW w:w="0" w:type="auto"/>
        <w:jc w:val="left"/>
        <w:tblInd w:w="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2"/>
        <w:gridCol w:w="2540"/>
        <w:gridCol w:w="250"/>
        <w:gridCol w:w="4373"/>
      </w:tblGrid>
      <w:tr>
        <w:trPr>
          <w:trHeight w:val="813" w:hRule="atLeast"/>
        </w:trPr>
        <w:tc>
          <w:tcPr>
            <w:tcW w:w="10565" w:type="dxa"/>
            <w:gridSpan w:val="4"/>
          </w:tcPr>
          <w:p>
            <w:pPr>
              <w:pStyle w:val="TableParagraph"/>
              <w:spacing w:line="224" w:lineRule="exact"/>
              <w:ind w:left="308"/>
              <w:rPr>
                <w:i/>
                <w:sz w:val="20"/>
              </w:rPr>
            </w:pPr>
            <w:r>
              <w:rPr>
                <w:b/>
                <w:sz w:val="20"/>
              </w:rPr>
              <w:t>Section B: [Accept Shared Care] to be completed by practice </w:t>
            </w:r>
            <w:r>
              <w:rPr>
                <w:i/>
                <w:sz w:val="20"/>
              </w:rPr>
              <w:t>Send back </w:t>
            </w:r>
            <w:r>
              <w:rPr>
                <w:b/>
                <w:i/>
                <w:sz w:val="20"/>
              </w:rPr>
              <w:t>FAO referring consultant </w:t>
            </w:r>
            <w:r>
              <w:rPr>
                <w:i/>
                <w:sz w:val="20"/>
              </w:rPr>
              <w:t>above</w:t>
            </w:r>
          </w:p>
          <w:p>
            <w:pPr>
              <w:pStyle w:val="TableParagraph"/>
              <w:spacing w:before="120"/>
              <w:ind w:left="200"/>
              <w:rPr>
                <w:sz w:val="20"/>
              </w:rPr>
            </w:pPr>
            <w:r>
              <w:rPr>
                <w:sz w:val="20"/>
              </w:rPr>
              <w:t>The above patient has been accepted into our monitoring service.</w:t>
            </w:r>
          </w:p>
        </w:tc>
      </w:tr>
      <w:tr>
        <w:trPr>
          <w:trHeight w:val="470" w:hRule="atLeast"/>
        </w:trPr>
        <w:tc>
          <w:tcPr>
            <w:tcW w:w="3402" w:type="dxa"/>
            <w:tcBorders>
              <w:right w:val="single" w:sz="4" w:space="0" w:color="000000"/>
            </w:tcBorders>
          </w:tcPr>
          <w:p>
            <w:pPr>
              <w:pStyle w:val="TableParagraph"/>
              <w:spacing w:before="120"/>
              <w:ind w:left="200"/>
              <w:rPr>
                <w:sz w:val="20"/>
              </w:rPr>
            </w:pPr>
            <w:r>
              <w:rPr>
                <w:sz w:val="20"/>
              </w:rPr>
              <w:t>Practice date for next blood test</w:t>
            </w:r>
          </w:p>
        </w:tc>
        <w:tc>
          <w:tcPr>
            <w:tcW w:w="2540" w:type="dxa"/>
            <w:tcBorders>
              <w:left w:val="single" w:sz="4" w:space="0" w:color="000000"/>
            </w:tcBorders>
          </w:tcPr>
          <w:p>
            <w:pPr>
              <w:pStyle w:val="TableParagraph"/>
              <w:ind w:left="0"/>
              <w:rPr>
                <w:rFonts w:ascii="Times New Roman"/>
                <w:sz w:val="18"/>
              </w:rPr>
            </w:pPr>
          </w:p>
        </w:tc>
        <w:tc>
          <w:tcPr>
            <w:tcW w:w="250" w:type="dxa"/>
            <w:tcBorders>
              <w:right w:val="single" w:sz="4" w:space="0" w:color="000000"/>
            </w:tcBorders>
          </w:tcPr>
          <w:p>
            <w:pPr>
              <w:pStyle w:val="TableParagraph"/>
              <w:ind w:left="0"/>
              <w:rPr>
                <w:rFonts w:ascii="Times New Roman"/>
                <w:sz w:val="18"/>
              </w:rPr>
            </w:pPr>
          </w:p>
        </w:tc>
        <w:tc>
          <w:tcPr>
            <w:tcW w:w="4373" w:type="dxa"/>
            <w:tcBorders>
              <w:top w:val="single" w:sz="4" w:space="0" w:color="000000"/>
              <w:left w:val="single" w:sz="4" w:space="0" w:color="000000"/>
              <w:right w:val="single" w:sz="4" w:space="0" w:color="000000"/>
            </w:tcBorders>
          </w:tcPr>
          <w:p>
            <w:pPr>
              <w:pStyle w:val="TableParagraph"/>
              <w:spacing w:before="120"/>
              <w:ind w:left="102"/>
              <w:rPr>
                <w:sz w:val="20"/>
              </w:rPr>
            </w:pPr>
            <w:r>
              <w:rPr>
                <w:sz w:val="20"/>
              </w:rPr>
              <w:t>Practice stamp</w:t>
            </w:r>
          </w:p>
        </w:tc>
      </w:tr>
      <w:tr>
        <w:trPr>
          <w:trHeight w:val="303" w:hRule="atLeast"/>
        </w:trPr>
        <w:tc>
          <w:tcPr>
            <w:tcW w:w="3402" w:type="dxa"/>
            <w:tcBorders>
              <w:bottom w:val="single" w:sz="4" w:space="0" w:color="000000"/>
            </w:tcBorders>
          </w:tcPr>
          <w:p>
            <w:pPr>
              <w:pStyle w:val="TableParagraph"/>
              <w:ind w:left="0"/>
              <w:rPr>
                <w:rFonts w:ascii="Times New Roman"/>
                <w:sz w:val="18"/>
              </w:rPr>
            </w:pPr>
          </w:p>
        </w:tc>
        <w:tc>
          <w:tcPr>
            <w:tcW w:w="2540" w:type="dxa"/>
            <w:tcBorders>
              <w:top w:val="single" w:sz="4" w:space="0" w:color="000000"/>
              <w:bottom w:val="single" w:sz="4" w:space="0" w:color="000000"/>
            </w:tcBorders>
          </w:tcPr>
          <w:p>
            <w:pPr>
              <w:pStyle w:val="TableParagraph"/>
              <w:ind w:left="0"/>
              <w:rPr>
                <w:rFonts w:ascii="Times New Roman"/>
                <w:sz w:val="18"/>
              </w:rPr>
            </w:pPr>
          </w:p>
        </w:tc>
        <w:tc>
          <w:tcPr>
            <w:tcW w:w="250" w:type="dxa"/>
            <w:tcBorders>
              <w:right w:val="single" w:sz="4" w:space="0" w:color="000000"/>
            </w:tcBorders>
          </w:tcPr>
          <w:p>
            <w:pPr>
              <w:pStyle w:val="TableParagraph"/>
              <w:ind w:left="0"/>
              <w:rPr>
                <w:rFonts w:ascii="Times New Roman"/>
                <w:sz w:val="18"/>
              </w:rPr>
            </w:pPr>
          </w:p>
        </w:tc>
        <w:tc>
          <w:tcPr>
            <w:tcW w:w="4373" w:type="dxa"/>
            <w:tcBorders>
              <w:left w:val="single" w:sz="4" w:space="0" w:color="000000"/>
              <w:right w:val="single" w:sz="4" w:space="0" w:color="000000"/>
            </w:tcBorders>
          </w:tcPr>
          <w:p>
            <w:pPr>
              <w:pStyle w:val="TableParagraph"/>
              <w:ind w:left="0"/>
              <w:rPr>
                <w:rFonts w:ascii="Times New Roman"/>
                <w:sz w:val="18"/>
              </w:rPr>
            </w:pPr>
          </w:p>
        </w:tc>
      </w:tr>
      <w:tr>
        <w:trPr>
          <w:trHeight w:val="820" w:hRule="atLeast"/>
        </w:trPr>
        <w:tc>
          <w:tcPr>
            <w:tcW w:w="3402" w:type="dxa"/>
            <w:tcBorders>
              <w:top w:val="single" w:sz="4" w:space="0" w:color="000000"/>
              <w:bottom w:val="single" w:sz="4" w:space="0" w:color="000000"/>
              <w:right w:val="single" w:sz="4" w:space="0" w:color="000000"/>
            </w:tcBorders>
          </w:tcPr>
          <w:p>
            <w:pPr>
              <w:pStyle w:val="TableParagraph"/>
              <w:spacing w:line="350" w:lineRule="atLeast" w:before="1"/>
              <w:ind w:left="200" w:right="2120"/>
              <w:rPr>
                <w:sz w:val="20"/>
              </w:rPr>
            </w:pPr>
            <w:r>
              <w:rPr>
                <w:sz w:val="20"/>
              </w:rPr>
              <w:t>Signed / Designation</w:t>
            </w:r>
          </w:p>
        </w:tc>
        <w:tc>
          <w:tcPr>
            <w:tcW w:w="2540" w:type="dxa"/>
            <w:tcBorders>
              <w:left w:val="single" w:sz="4" w:space="0" w:color="000000"/>
            </w:tcBorders>
          </w:tcPr>
          <w:p>
            <w:pPr>
              <w:pStyle w:val="TableParagraph"/>
              <w:ind w:left="0"/>
              <w:rPr>
                <w:rFonts w:ascii="Times New Roman"/>
                <w:sz w:val="18"/>
              </w:rPr>
            </w:pPr>
          </w:p>
        </w:tc>
        <w:tc>
          <w:tcPr>
            <w:tcW w:w="250" w:type="dxa"/>
            <w:tcBorders>
              <w:right w:val="single" w:sz="4" w:space="0" w:color="000000"/>
            </w:tcBorders>
          </w:tcPr>
          <w:p>
            <w:pPr>
              <w:pStyle w:val="TableParagraph"/>
              <w:ind w:left="0"/>
              <w:rPr>
                <w:rFonts w:ascii="Times New Roman"/>
                <w:sz w:val="18"/>
              </w:rPr>
            </w:pPr>
          </w:p>
        </w:tc>
        <w:tc>
          <w:tcPr>
            <w:tcW w:w="4373" w:type="dxa"/>
            <w:tcBorders>
              <w:left w:val="single" w:sz="4" w:space="0" w:color="000000"/>
              <w:right w:val="single" w:sz="4" w:space="0" w:color="000000"/>
            </w:tcBorders>
          </w:tcPr>
          <w:p>
            <w:pPr>
              <w:pStyle w:val="TableParagraph"/>
              <w:ind w:left="0"/>
              <w:rPr>
                <w:rFonts w:ascii="Times New Roman"/>
                <w:sz w:val="18"/>
              </w:rPr>
            </w:pPr>
          </w:p>
        </w:tc>
      </w:tr>
      <w:tr>
        <w:trPr>
          <w:trHeight w:val="230" w:hRule="atLeast"/>
        </w:trPr>
        <w:tc>
          <w:tcPr>
            <w:tcW w:w="3402" w:type="dxa"/>
            <w:tcBorders>
              <w:top w:val="single" w:sz="4" w:space="0" w:color="000000"/>
            </w:tcBorders>
          </w:tcPr>
          <w:p>
            <w:pPr>
              <w:pStyle w:val="TableParagraph"/>
              <w:ind w:left="0"/>
              <w:rPr>
                <w:rFonts w:ascii="Times New Roman"/>
                <w:sz w:val="16"/>
              </w:rPr>
            </w:pPr>
          </w:p>
        </w:tc>
        <w:tc>
          <w:tcPr>
            <w:tcW w:w="2540" w:type="dxa"/>
            <w:tcBorders>
              <w:top w:val="single" w:sz="4" w:space="0" w:color="000000"/>
            </w:tcBorders>
          </w:tcPr>
          <w:p>
            <w:pPr>
              <w:pStyle w:val="TableParagraph"/>
              <w:ind w:left="0"/>
              <w:rPr>
                <w:rFonts w:ascii="Times New Roman"/>
                <w:sz w:val="16"/>
              </w:rPr>
            </w:pPr>
          </w:p>
        </w:tc>
        <w:tc>
          <w:tcPr>
            <w:tcW w:w="250" w:type="dxa"/>
            <w:tcBorders>
              <w:right w:val="single" w:sz="4" w:space="0" w:color="000000"/>
            </w:tcBorders>
          </w:tcPr>
          <w:p>
            <w:pPr>
              <w:pStyle w:val="TableParagraph"/>
              <w:ind w:left="0"/>
              <w:rPr>
                <w:rFonts w:ascii="Times New Roman"/>
                <w:sz w:val="16"/>
              </w:rPr>
            </w:pPr>
          </w:p>
        </w:tc>
        <w:tc>
          <w:tcPr>
            <w:tcW w:w="4373" w:type="dxa"/>
            <w:tcBorders>
              <w:left w:val="single" w:sz="4" w:space="0" w:color="000000"/>
              <w:right w:val="single" w:sz="4" w:space="0" w:color="000000"/>
            </w:tcBorders>
          </w:tcPr>
          <w:p>
            <w:pPr>
              <w:pStyle w:val="TableParagraph"/>
              <w:ind w:left="0"/>
              <w:rPr>
                <w:rFonts w:ascii="Times New Roman"/>
                <w:sz w:val="16"/>
              </w:rPr>
            </w:pPr>
          </w:p>
        </w:tc>
      </w:tr>
      <w:tr>
        <w:trPr>
          <w:trHeight w:val="469" w:hRule="atLeast"/>
        </w:trPr>
        <w:tc>
          <w:tcPr>
            <w:tcW w:w="3402" w:type="dxa"/>
          </w:tcPr>
          <w:p>
            <w:pPr>
              <w:pStyle w:val="TableParagraph"/>
              <w:spacing w:before="120"/>
              <w:ind w:left="200"/>
              <w:rPr>
                <w:sz w:val="20"/>
              </w:rPr>
            </w:pPr>
            <w:r>
              <w:rPr>
                <w:sz w:val="20"/>
              </w:rPr>
              <w:t>Date</w:t>
            </w:r>
          </w:p>
        </w:tc>
        <w:tc>
          <w:tcPr>
            <w:tcW w:w="2540" w:type="dxa"/>
          </w:tcPr>
          <w:p>
            <w:pPr>
              <w:pStyle w:val="TableParagraph"/>
              <w:ind w:left="0"/>
              <w:rPr>
                <w:rFonts w:ascii="Times New Roman"/>
                <w:sz w:val="18"/>
              </w:rPr>
            </w:pPr>
          </w:p>
        </w:tc>
        <w:tc>
          <w:tcPr>
            <w:tcW w:w="250" w:type="dxa"/>
            <w:tcBorders>
              <w:right w:val="single" w:sz="4" w:space="0" w:color="000000"/>
            </w:tcBorders>
          </w:tcPr>
          <w:p>
            <w:pPr>
              <w:pStyle w:val="TableParagraph"/>
              <w:ind w:left="0"/>
              <w:rPr>
                <w:rFonts w:ascii="Times New Roman"/>
                <w:sz w:val="18"/>
              </w:rPr>
            </w:pPr>
          </w:p>
        </w:tc>
        <w:tc>
          <w:tcPr>
            <w:tcW w:w="437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r>
    </w:tbl>
    <w:p>
      <w:pPr>
        <w:pStyle w:val="BodyText"/>
        <w:spacing w:line="230" w:lineRule="exact"/>
        <w:ind w:left="678"/>
      </w:pPr>
      <w:r>
        <w:rPr/>
        <w:pict>
          <v:line style="position:absolute;mso-position-horizontal-relative:page;mso-position-vertical-relative:paragraph;z-index:-32248" from="202.039993pt,-117.18pt" to="202.039993pt,-92.7pt" stroked="true" strokeweight=".48pt" strokecolor="#000000">
            <v:stroke dashstyle="solid"/>
            <w10:wrap type="none"/>
          </v:line>
        </w:pict>
      </w:r>
      <w:r>
        <w:rPr/>
        <w:pict>
          <v:line style="position:absolute;mso-position-horizontal-relative:page;mso-position-vertical-relative:paragraph;z-index:-32224" from="130.940002pt,-77.519997pt" to="130.940002pt,-35.519997pt" stroked="true" strokeweight=".48pt" strokecolor="#000000">
            <v:stroke dashstyle="solid"/>
            <w10:wrap type="none"/>
          </v:line>
        </w:pict>
      </w:r>
      <w:r>
        <w:rPr/>
        <w:pict>
          <v:rect style="position:absolute;margin-left:131.5pt;margin-top:-23.98pt;width:197.15pt;height:20.4pt;mso-position-horizontal-relative:page;mso-position-vertical-relative:paragraph;z-index:-32152" filled="false" stroked="true" strokeweight=".25pt" strokecolor="#000000">
            <v:stroke dashstyle="solid"/>
            <w10:wrap type="none"/>
          </v:rect>
        </w:pict>
      </w:r>
      <w:r>
        <w:rPr/>
        <w:t>Date of next blood test</w:t>
      </w:r>
    </w:p>
    <w:p>
      <w:pPr>
        <w:pStyle w:val="BodyText"/>
        <w:ind w:left="671"/>
      </w:pPr>
      <w:r>
        <w:rPr/>
        <w:pict>
          <v:group style="width:90.75pt;height:24.15pt;mso-position-horizontal-relative:char;mso-position-vertical-relative:line" coordorigin="0,0" coordsize="1815,483">
            <v:rect style="position:absolute;left:7;top:7;width:1800;height:468" filled="false" stroked="true" strokeweight=".75pt" strokecolor="#000000">
              <v:stroke dashstyle="solid"/>
            </v:rect>
          </v:group>
        </w:pict>
      </w:r>
      <w:r>
        <w:rPr/>
      </w:r>
    </w:p>
    <w:p>
      <w:pPr>
        <w:pStyle w:val="BodyText"/>
        <w:rPr>
          <w:sz w:val="22"/>
        </w:rPr>
      </w:pPr>
    </w:p>
    <w:p>
      <w:pPr>
        <w:pStyle w:val="BodyText"/>
        <w:spacing w:before="6"/>
        <w:rPr>
          <w:sz w:val="25"/>
        </w:rPr>
      </w:pPr>
    </w:p>
    <w:p>
      <w:pPr>
        <w:pStyle w:val="BodyText"/>
        <w:tabs>
          <w:tab w:pos="5009" w:val="left" w:leader="none"/>
        </w:tabs>
        <w:spacing w:before="1"/>
        <w:ind w:left="678"/>
      </w:pPr>
      <w:r>
        <w:rPr/>
        <w:pict>
          <v:rect style="position:absolute;margin-left:164.240005pt;margin-top:-16.080118pt;width:90pt;height:23.4pt;mso-position-horizontal-relative:page;mso-position-vertical-relative:paragraph;z-index:-32176" filled="false" stroked="true" strokeweight=".75pt" strokecolor="#000000">
            <v:stroke dashstyle="solid"/>
            <w10:wrap type="none"/>
          </v:rect>
        </w:pict>
      </w:r>
      <w:r>
        <w:rPr/>
        <w:t>Next disease review</w:t>
      </w:r>
      <w:r>
        <w:rPr>
          <w:spacing w:val="-1"/>
        </w:rPr>
        <w:t> </w:t>
      </w:r>
      <w:r>
        <w:rPr/>
        <w:t>due in</w:t>
        <w:tab/>
        <w:t>months’ time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6"/>
        </w:rPr>
      </w:pPr>
    </w:p>
    <w:tbl>
      <w:tblPr>
        <w:tblW w:w="0" w:type="auto"/>
        <w:jc w:val="left"/>
        <w:tblInd w:w="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6"/>
        <w:gridCol w:w="60"/>
        <w:gridCol w:w="3828"/>
        <w:gridCol w:w="63"/>
        <w:gridCol w:w="223"/>
        <w:gridCol w:w="4394"/>
      </w:tblGrid>
      <w:tr>
        <w:trPr>
          <w:trHeight w:val="813" w:hRule="atLeast"/>
        </w:trPr>
        <w:tc>
          <w:tcPr>
            <w:tcW w:w="10554" w:type="dxa"/>
            <w:gridSpan w:val="6"/>
          </w:tcPr>
          <w:p>
            <w:pPr>
              <w:pStyle w:val="TableParagraph"/>
              <w:spacing w:line="224" w:lineRule="exact"/>
              <w:ind w:left="200"/>
              <w:rPr>
                <w:i/>
                <w:sz w:val="20"/>
              </w:rPr>
            </w:pPr>
            <w:r>
              <w:rPr>
                <w:b/>
                <w:sz w:val="20"/>
              </w:rPr>
              <w:t>Section B: [Reject Shared Care] to be completed by practice </w:t>
            </w:r>
            <w:r>
              <w:rPr>
                <w:i/>
                <w:sz w:val="20"/>
              </w:rPr>
              <w:t>Send back </w:t>
            </w:r>
            <w:r>
              <w:rPr>
                <w:b/>
                <w:i/>
                <w:sz w:val="20"/>
              </w:rPr>
              <w:t>FAO referring consultant </w:t>
            </w:r>
            <w:r>
              <w:rPr>
                <w:i/>
                <w:sz w:val="20"/>
              </w:rPr>
              <w:t>above</w:t>
            </w:r>
          </w:p>
          <w:p>
            <w:pPr>
              <w:pStyle w:val="TableParagraph"/>
              <w:spacing w:before="120"/>
              <w:ind w:left="200"/>
              <w:rPr>
                <w:sz w:val="20"/>
              </w:rPr>
            </w:pPr>
            <w:r>
              <w:rPr>
                <w:sz w:val="20"/>
              </w:rPr>
              <w:t>The above patient has not been accepted into our monitoring service.</w:t>
            </w:r>
          </w:p>
        </w:tc>
      </w:tr>
      <w:tr>
        <w:trPr>
          <w:trHeight w:val="1869" w:hRule="atLeast"/>
        </w:trPr>
        <w:tc>
          <w:tcPr>
            <w:tcW w:w="1986" w:type="dxa"/>
          </w:tcPr>
          <w:p>
            <w:pPr>
              <w:pStyle w:val="TableParagraph"/>
              <w:spacing w:before="120"/>
              <w:ind w:left="200"/>
              <w:rPr>
                <w:sz w:val="20"/>
              </w:rPr>
            </w:pPr>
            <w:r>
              <w:rPr>
                <w:sz w:val="20"/>
              </w:rPr>
              <w:t>Reason</w:t>
            </w:r>
          </w:p>
        </w:tc>
        <w:tc>
          <w:tcPr>
            <w:tcW w:w="60" w:type="dxa"/>
            <w:tcBorders>
              <w:right w:val="single" w:sz="4" w:space="0" w:color="000000"/>
            </w:tcBorders>
          </w:tcPr>
          <w:p>
            <w:pPr>
              <w:pStyle w:val="TableParagraph"/>
              <w:ind w:left="0"/>
              <w:rPr>
                <w:rFonts w:ascii="Times New Roman"/>
                <w:sz w:val="18"/>
              </w:rPr>
            </w:pPr>
          </w:p>
        </w:tc>
        <w:tc>
          <w:tcPr>
            <w:tcW w:w="3828" w:type="dxa"/>
            <w:tcBorders>
              <w:top w:val="single" w:sz="4" w:space="0" w:color="000000"/>
              <w:left w:val="single" w:sz="4" w:space="0" w:color="000000"/>
              <w:bottom w:val="single" w:sz="4" w:space="0" w:color="000000"/>
            </w:tcBorders>
          </w:tcPr>
          <w:p>
            <w:pPr>
              <w:pStyle w:val="TableParagraph"/>
              <w:ind w:left="0"/>
              <w:rPr>
                <w:rFonts w:ascii="Times New Roman"/>
                <w:sz w:val="18"/>
              </w:rPr>
            </w:pPr>
          </w:p>
        </w:tc>
        <w:tc>
          <w:tcPr>
            <w:tcW w:w="63" w:type="dxa"/>
          </w:tcPr>
          <w:p>
            <w:pPr>
              <w:pStyle w:val="TableParagraph"/>
              <w:ind w:left="0"/>
              <w:rPr>
                <w:rFonts w:ascii="Times New Roman"/>
                <w:sz w:val="18"/>
              </w:rPr>
            </w:pPr>
          </w:p>
        </w:tc>
        <w:tc>
          <w:tcPr>
            <w:tcW w:w="223" w:type="dxa"/>
            <w:tcBorders>
              <w:right w:val="single" w:sz="4" w:space="0" w:color="000000"/>
            </w:tcBorders>
          </w:tcPr>
          <w:p>
            <w:pPr>
              <w:pStyle w:val="TableParagraph"/>
              <w:ind w:left="0"/>
              <w:rPr>
                <w:rFonts w:ascii="Times New Roman"/>
                <w:sz w:val="18"/>
              </w:rPr>
            </w:pPr>
          </w:p>
        </w:tc>
        <w:tc>
          <w:tcPr>
            <w:tcW w:w="4394" w:type="dxa"/>
            <w:tcBorders>
              <w:top w:val="single" w:sz="4" w:space="0" w:color="000000"/>
              <w:left w:val="single" w:sz="4" w:space="0" w:color="000000"/>
              <w:right w:val="single" w:sz="4" w:space="0" w:color="000000"/>
            </w:tcBorders>
          </w:tcPr>
          <w:p>
            <w:pPr>
              <w:pStyle w:val="TableParagraph"/>
              <w:spacing w:before="120"/>
              <w:ind w:left="99"/>
              <w:rPr>
                <w:sz w:val="20"/>
              </w:rPr>
            </w:pPr>
            <w:r>
              <w:rPr>
                <w:sz w:val="20"/>
              </w:rPr>
              <w:t>Practice stamp</w:t>
            </w:r>
          </w:p>
        </w:tc>
      </w:tr>
      <w:tr>
        <w:trPr>
          <w:trHeight w:val="304" w:hRule="atLeast"/>
        </w:trPr>
        <w:tc>
          <w:tcPr>
            <w:tcW w:w="1986" w:type="dxa"/>
          </w:tcPr>
          <w:p>
            <w:pPr>
              <w:pStyle w:val="TableParagraph"/>
              <w:ind w:left="0"/>
              <w:rPr>
                <w:rFonts w:ascii="Times New Roman"/>
                <w:sz w:val="18"/>
              </w:rPr>
            </w:pPr>
          </w:p>
        </w:tc>
        <w:tc>
          <w:tcPr>
            <w:tcW w:w="60" w:type="dxa"/>
            <w:tcBorders>
              <w:bottom w:val="single" w:sz="4" w:space="0" w:color="000000"/>
            </w:tcBorders>
          </w:tcPr>
          <w:p>
            <w:pPr>
              <w:pStyle w:val="TableParagraph"/>
              <w:ind w:left="0"/>
              <w:rPr>
                <w:rFonts w:ascii="Times New Roman"/>
                <w:sz w:val="18"/>
              </w:rPr>
            </w:pPr>
          </w:p>
        </w:tc>
        <w:tc>
          <w:tcPr>
            <w:tcW w:w="3828" w:type="dxa"/>
            <w:tcBorders>
              <w:top w:val="single" w:sz="4" w:space="0" w:color="000000"/>
              <w:bottom w:val="single" w:sz="4" w:space="0" w:color="000000"/>
            </w:tcBorders>
          </w:tcPr>
          <w:p>
            <w:pPr>
              <w:pStyle w:val="TableParagraph"/>
              <w:ind w:left="0"/>
              <w:rPr>
                <w:rFonts w:ascii="Times New Roman"/>
                <w:sz w:val="18"/>
              </w:rPr>
            </w:pPr>
          </w:p>
        </w:tc>
        <w:tc>
          <w:tcPr>
            <w:tcW w:w="63" w:type="dxa"/>
          </w:tcPr>
          <w:p>
            <w:pPr>
              <w:pStyle w:val="TableParagraph"/>
              <w:ind w:left="0"/>
              <w:rPr>
                <w:rFonts w:ascii="Times New Roman"/>
                <w:sz w:val="18"/>
              </w:rPr>
            </w:pPr>
          </w:p>
        </w:tc>
        <w:tc>
          <w:tcPr>
            <w:tcW w:w="223" w:type="dxa"/>
            <w:tcBorders>
              <w:right w:val="single" w:sz="4" w:space="0" w:color="000000"/>
            </w:tcBorders>
          </w:tcPr>
          <w:p>
            <w:pPr>
              <w:pStyle w:val="TableParagraph"/>
              <w:ind w:left="0"/>
              <w:rPr>
                <w:rFonts w:ascii="Times New Roman"/>
                <w:sz w:val="18"/>
              </w:rPr>
            </w:pPr>
          </w:p>
        </w:tc>
        <w:tc>
          <w:tcPr>
            <w:tcW w:w="4394" w:type="dxa"/>
            <w:tcBorders>
              <w:left w:val="single" w:sz="4" w:space="0" w:color="000000"/>
              <w:right w:val="single" w:sz="4" w:space="0" w:color="000000"/>
            </w:tcBorders>
          </w:tcPr>
          <w:p>
            <w:pPr>
              <w:pStyle w:val="TableParagraph"/>
              <w:ind w:left="0"/>
              <w:rPr>
                <w:rFonts w:ascii="Times New Roman"/>
                <w:sz w:val="18"/>
              </w:rPr>
            </w:pPr>
          </w:p>
        </w:tc>
      </w:tr>
      <w:tr>
        <w:trPr>
          <w:trHeight w:val="819" w:hRule="atLeast"/>
        </w:trPr>
        <w:tc>
          <w:tcPr>
            <w:tcW w:w="1986" w:type="dxa"/>
            <w:tcBorders>
              <w:right w:val="single" w:sz="4" w:space="0" w:color="000000"/>
            </w:tcBorders>
          </w:tcPr>
          <w:p>
            <w:pPr>
              <w:pStyle w:val="TableParagraph"/>
              <w:spacing w:line="350" w:lineRule="atLeast"/>
              <w:ind w:left="200" w:right="704"/>
              <w:rPr>
                <w:sz w:val="20"/>
              </w:rPr>
            </w:pPr>
            <w:r>
              <w:rPr>
                <w:sz w:val="20"/>
              </w:rPr>
              <w:t>Signed / Designation</w:t>
            </w:r>
          </w:p>
        </w:tc>
        <w:tc>
          <w:tcPr>
            <w:tcW w:w="60" w:type="dxa"/>
            <w:tcBorders>
              <w:top w:val="single" w:sz="4" w:space="0" w:color="000000"/>
              <w:left w:val="single" w:sz="4" w:space="0" w:color="000000"/>
              <w:bottom w:val="single" w:sz="4" w:space="0" w:color="000000"/>
            </w:tcBorders>
          </w:tcPr>
          <w:p>
            <w:pPr>
              <w:pStyle w:val="TableParagraph"/>
              <w:ind w:left="0"/>
              <w:rPr>
                <w:rFonts w:ascii="Times New Roman"/>
                <w:sz w:val="18"/>
              </w:rPr>
            </w:pPr>
          </w:p>
        </w:tc>
        <w:tc>
          <w:tcPr>
            <w:tcW w:w="3828" w:type="dxa"/>
            <w:tcBorders>
              <w:top w:val="single" w:sz="4" w:space="0" w:color="000000"/>
              <w:bottom w:val="single" w:sz="4" w:space="0" w:color="000000"/>
              <w:right w:val="single" w:sz="4" w:space="0" w:color="000000"/>
            </w:tcBorders>
          </w:tcPr>
          <w:p>
            <w:pPr>
              <w:pStyle w:val="TableParagraph"/>
              <w:ind w:left="0"/>
              <w:rPr>
                <w:rFonts w:ascii="Times New Roman"/>
                <w:sz w:val="18"/>
              </w:rPr>
            </w:pPr>
          </w:p>
        </w:tc>
        <w:tc>
          <w:tcPr>
            <w:tcW w:w="63" w:type="dxa"/>
            <w:tcBorders>
              <w:left w:val="single" w:sz="4" w:space="0" w:color="000000"/>
            </w:tcBorders>
          </w:tcPr>
          <w:p>
            <w:pPr>
              <w:pStyle w:val="TableParagraph"/>
              <w:ind w:left="0"/>
              <w:rPr>
                <w:rFonts w:ascii="Times New Roman"/>
                <w:sz w:val="18"/>
              </w:rPr>
            </w:pPr>
          </w:p>
        </w:tc>
        <w:tc>
          <w:tcPr>
            <w:tcW w:w="223" w:type="dxa"/>
            <w:tcBorders>
              <w:right w:val="single" w:sz="4" w:space="0" w:color="000000"/>
            </w:tcBorders>
          </w:tcPr>
          <w:p>
            <w:pPr>
              <w:pStyle w:val="TableParagraph"/>
              <w:ind w:left="0"/>
              <w:rPr>
                <w:rFonts w:ascii="Times New Roman"/>
                <w:sz w:val="18"/>
              </w:rPr>
            </w:pPr>
          </w:p>
        </w:tc>
        <w:tc>
          <w:tcPr>
            <w:tcW w:w="4394" w:type="dxa"/>
            <w:tcBorders>
              <w:left w:val="single" w:sz="4" w:space="0" w:color="000000"/>
              <w:right w:val="single" w:sz="4" w:space="0" w:color="000000"/>
            </w:tcBorders>
          </w:tcPr>
          <w:p>
            <w:pPr>
              <w:pStyle w:val="TableParagraph"/>
              <w:ind w:left="0"/>
              <w:rPr>
                <w:rFonts w:ascii="Times New Roman"/>
                <w:sz w:val="18"/>
              </w:rPr>
            </w:pPr>
          </w:p>
        </w:tc>
      </w:tr>
      <w:tr>
        <w:trPr>
          <w:trHeight w:val="231" w:hRule="atLeast"/>
        </w:trPr>
        <w:tc>
          <w:tcPr>
            <w:tcW w:w="1986" w:type="dxa"/>
          </w:tcPr>
          <w:p>
            <w:pPr>
              <w:pStyle w:val="TableParagraph"/>
              <w:ind w:left="0"/>
              <w:rPr>
                <w:rFonts w:ascii="Times New Roman"/>
                <w:sz w:val="16"/>
              </w:rPr>
            </w:pPr>
          </w:p>
        </w:tc>
        <w:tc>
          <w:tcPr>
            <w:tcW w:w="60" w:type="dxa"/>
            <w:tcBorders>
              <w:top w:val="single" w:sz="4" w:space="0" w:color="000000"/>
            </w:tcBorders>
          </w:tcPr>
          <w:p>
            <w:pPr>
              <w:pStyle w:val="TableParagraph"/>
              <w:ind w:left="0"/>
              <w:rPr>
                <w:rFonts w:ascii="Times New Roman"/>
                <w:sz w:val="16"/>
              </w:rPr>
            </w:pPr>
          </w:p>
        </w:tc>
        <w:tc>
          <w:tcPr>
            <w:tcW w:w="3828" w:type="dxa"/>
            <w:tcBorders>
              <w:top w:val="single" w:sz="4" w:space="0" w:color="000000"/>
            </w:tcBorders>
          </w:tcPr>
          <w:p>
            <w:pPr>
              <w:pStyle w:val="TableParagraph"/>
              <w:ind w:left="0"/>
              <w:rPr>
                <w:rFonts w:ascii="Times New Roman"/>
                <w:sz w:val="16"/>
              </w:rPr>
            </w:pPr>
          </w:p>
        </w:tc>
        <w:tc>
          <w:tcPr>
            <w:tcW w:w="63" w:type="dxa"/>
          </w:tcPr>
          <w:p>
            <w:pPr>
              <w:pStyle w:val="TableParagraph"/>
              <w:ind w:left="0"/>
              <w:rPr>
                <w:rFonts w:ascii="Times New Roman"/>
                <w:sz w:val="16"/>
              </w:rPr>
            </w:pPr>
          </w:p>
        </w:tc>
        <w:tc>
          <w:tcPr>
            <w:tcW w:w="223" w:type="dxa"/>
            <w:tcBorders>
              <w:right w:val="single" w:sz="4" w:space="0" w:color="000000"/>
            </w:tcBorders>
          </w:tcPr>
          <w:p>
            <w:pPr>
              <w:pStyle w:val="TableParagraph"/>
              <w:ind w:left="0"/>
              <w:rPr>
                <w:rFonts w:ascii="Times New Roman"/>
                <w:sz w:val="16"/>
              </w:rPr>
            </w:pPr>
          </w:p>
        </w:tc>
        <w:tc>
          <w:tcPr>
            <w:tcW w:w="4394" w:type="dxa"/>
            <w:tcBorders>
              <w:left w:val="single" w:sz="4" w:space="0" w:color="000000"/>
              <w:right w:val="single" w:sz="4" w:space="0" w:color="000000"/>
            </w:tcBorders>
          </w:tcPr>
          <w:p>
            <w:pPr>
              <w:pStyle w:val="TableParagraph"/>
              <w:ind w:left="0"/>
              <w:rPr>
                <w:rFonts w:ascii="Times New Roman"/>
                <w:sz w:val="16"/>
              </w:rPr>
            </w:pPr>
          </w:p>
        </w:tc>
      </w:tr>
      <w:tr>
        <w:trPr>
          <w:trHeight w:val="820" w:hRule="atLeast"/>
        </w:trPr>
        <w:tc>
          <w:tcPr>
            <w:tcW w:w="1986" w:type="dxa"/>
          </w:tcPr>
          <w:p>
            <w:pPr>
              <w:pStyle w:val="TableParagraph"/>
              <w:spacing w:before="120"/>
              <w:ind w:left="200"/>
              <w:rPr>
                <w:sz w:val="20"/>
              </w:rPr>
            </w:pPr>
            <w:r>
              <w:rPr>
                <w:sz w:val="20"/>
              </w:rPr>
              <w:t>Date</w:t>
            </w:r>
          </w:p>
        </w:tc>
        <w:tc>
          <w:tcPr>
            <w:tcW w:w="60" w:type="dxa"/>
          </w:tcPr>
          <w:p>
            <w:pPr>
              <w:pStyle w:val="TableParagraph"/>
              <w:ind w:left="0"/>
              <w:rPr>
                <w:rFonts w:ascii="Times New Roman"/>
                <w:sz w:val="18"/>
              </w:rPr>
            </w:pPr>
          </w:p>
        </w:tc>
        <w:tc>
          <w:tcPr>
            <w:tcW w:w="3828" w:type="dxa"/>
          </w:tcPr>
          <w:p>
            <w:pPr>
              <w:pStyle w:val="TableParagraph"/>
              <w:ind w:left="0"/>
              <w:rPr>
                <w:rFonts w:ascii="Times New Roman"/>
                <w:sz w:val="18"/>
              </w:rPr>
            </w:pPr>
          </w:p>
        </w:tc>
        <w:tc>
          <w:tcPr>
            <w:tcW w:w="63" w:type="dxa"/>
          </w:tcPr>
          <w:p>
            <w:pPr>
              <w:pStyle w:val="TableParagraph"/>
              <w:ind w:left="0"/>
              <w:rPr>
                <w:rFonts w:ascii="Times New Roman"/>
                <w:sz w:val="18"/>
              </w:rPr>
            </w:pPr>
          </w:p>
        </w:tc>
        <w:tc>
          <w:tcPr>
            <w:tcW w:w="223" w:type="dxa"/>
            <w:tcBorders>
              <w:right w:val="single" w:sz="4" w:space="0" w:color="000000"/>
            </w:tcBorders>
          </w:tcPr>
          <w:p>
            <w:pPr>
              <w:pStyle w:val="TableParagraph"/>
              <w:ind w:left="0"/>
              <w:rPr>
                <w:rFonts w:ascii="Times New Roman"/>
                <w:sz w:val="18"/>
              </w:rPr>
            </w:pPr>
          </w:p>
        </w:tc>
        <w:tc>
          <w:tcPr>
            <w:tcW w:w="4394"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r>
    </w:tbl>
    <w:sectPr>
      <w:pgSz w:w="11910" w:h="16840"/>
      <w:pgMar w:header="0" w:footer="1240" w:top="1580" w:bottom="1520" w:left="16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2.099998pt;margin-top:764.972534pt;width:508.95pt;height:32.8pt;mso-position-horizontal-relative:page;mso-position-vertical-relative:page;z-index:-32728" type="#_x0000_t202" filled="false" stroked="false">
          <v:textbox inset="0,0,0,0">
            <w:txbxContent>
              <w:p>
                <w:pPr>
                  <w:spacing w:before="14"/>
                  <w:ind w:left="20" w:right="0" w:firstLine="105"/>
                  <w:jc w:val="left"/>
                  <w:rPr>
                    <w:i/>
                    <w:sz w:val="18"/>
                  </w:rPr>
                </w:pPr>
                <w:r>
                  <w:rPr>
                    <w:i/>
                    <w:color w:val="BEBEBE"/>
                    <w:sz w:val="18"/>
                  </w:rPr>
                  <w:t>The</w:t>
                </w:r>
                <w:r>
                  <w:rPr>
                    <w:i/>
                    <w:color w:val="BEBEBE"/>
                    <w:spacing w:val="-9"/>
                    <w:sz w:val="18"/>
                  </w:rPr>
                  <w:t> </w:t>
                </w:r>
                <w:r>
                  <w:rPr>
                    <w:i/>
                    <w:color w:val="BEBEBE"/>
                    <w:spacing w:val="-3"/>
                    <w:sz w:val="18"/>
                  </w:rPr>
                  <w:t>information</w:t>
                </w:r>
                <w:r>
                  <w:rPr>
                    <w:i/>
                    <w:color w:val="BEBEBE"/>
                    <w:spacing w:val="-8"/>
                    <w:sz w:val="18"/>
                  </w:rPr>
                  <w:t> </w:t>
                </w:r>
                <w:r>
                  <w:rPr>
                    <w:i/>
                    <w:color w:val="BEBEBE"/>
                    <w:sz w:val="18"/>
                  </w:rPr>
                  <w:t>contained</w:t>
                </w:r>
                <w:r>
                  <w:rPr>
                    <w:i/>
                    <w:color w:val="BEBEBE"/>
                    <w:spacing w:val="-9"/>
                    <w:sz w:val="18"/>
                  </w:rPr>
                  <w:t> </w:t>
                </w:r>
                <w:r>
                  <w:rPr>
                    <w:i/>
                    <w:color w:val="BEBEBE"/>
                    <w:sz w:val="18"/>
                  </w:rPr>
                  <w:t>in</w:t>
                </w:r>
                <w:r>
                  <w:rPr>
                    <w:i/>
                    <w:color w:val="BEBEBE"/>
                    <w:spacing w:val="-9"/>
                    <w:sz w:val="18"/>
                  </w:rPr>
                  <w:t> </w:t>
                </w:r>
                <w:r>
                  <w:rPr>
                    <w:i/>
                    <w:color w:val="BEBEBE"/>
                    <w:sz w:val="18"/>
                  </w:rPr>
                  <w:t>this</w:t>
                </w:r>
                <w:r>
                  <w:rPr>
                    <w:i/>
                    <w:color w:val="BEBEBE"/>
                    <w:spacing w:val="-10"/>
                    <w:sz w:val="18"/>
                  </w:rPr>
                  <w:t> </w:t>
                </w:r>
                <w:r>
                  <w:rPr>
                    <w:i/>
                    <w:color w:val="BEBEBE"/>
                    <w:sz w:val="18"/>
                  </w:rPr>
                  <w:t>guideline</w:t>
                </w:r>
                <w:r>
                  <w:rPr>
                    <w:i/>
                    <w:color w:val="BEBEBE"/>
                    <w:spacing w:val="-9"/>
                    <w:sz w:val="18"/>
                  </w:rPr>
                  <w:t> </w:t>
                </w:r>
                <w:r>
                  <w:rPr>
                    <w:i/>
                    <w:color w:val="BEBEBE"/>
                    <w:sz w:val="18"/>
                  </w:rPr>
                  <w:t>is</w:t>
                </w:r>
                <w:r>
                  <w:rPr>
                    <w:i/>
                    <w:color w:val="BEBEBE"/>
                    <w:spacing w:val="-9"/>
                    <w:sz w:val="18"/>
                  </w:rPr>
                  <w:t> </w:t>
                </w:r>
                <w:r>
                  <w:rPr>
                    <w:i/>
                    <w:color w:val="BEBEBE"/>
                    <w:sz w:val="18"/>
                  </w:rPr>
                  <w:t>issued</w:t>
                </w:r>
                <w:r>
                  <w:rPr>
                    <w:i/>
                    <w:color w:val="BEBEBE"/>
                    <w:spacing w:val="-9"/>
                    <w:sz w:val="18"/>
                  </w:rPr>
                  <w:t> </w:t>
                </w:r>
                <w:r>
                  <w:rPr>
                    <w:i/>
                    <w:color w:val="BEBEBE"/>
                    <w:sz w:val="18"/>
                  </w:rPr>
                  <w:t>on</w:t>
                </w:r>
                <w:r>
                  <w:rPr>
                    <w:i/>
                    <w:color w:val="BEBEBE"/>
                    <w:spacing w:val="-9"/>
                    <w:sz w:val="18"/>
                  </w:rPr>
                  <w:t> </w:t>
                </w:r>
                <w:r>
                  <w:rPr>
                    <w:i/>
                    <w:color w:val="BEBEBE"/>
                    <w:sz w:val="18"/>
                  </w:rPr>
                  <w:t>the</w:t>
                </w:r>
                <w:r>
                  <w:rPr>
                    <w:i/>
                    <w:color w:val="BEBEBE"/>
                    <w:spacing w:val="-10"/>
                    <w:sz w:val="18"/>
                  </w:rPr>
                  <w:t> </w:t>
                </w:r>
                <w:r>
                  <w:rPr>
                    <w:i/>
                    <w:color w:val="BEBEBE"/>
                    <w:spacing w:val="-3"/>
                    <w:sz w:val="18"/>
                  </w:rPr>
                  <w:t>understanding</w:t>
                </w:r>
                <w:r>
                  <w:rPr>
                    <w:i/>
                    <w:color w:val="BEBEBE"/>
                    <w:spacing w:val="-9"/>
                    <w:sz w:val="18"/>
                  </w:rPr>
                  <w:t> </w:t>
                </w:r>
                <w:r>
                  <w:rPr>
                    <w:i/>
                    <w:color w:val="BEBEBE"/>
                    <w:sz w:val="18"/>
                  </w:rPr>
                  <w:t>that</w:t>
                </w:r>
                <w:r>
                  <w:rPr>
                    <w:i/>
                    <w:color w:val="BEBEBE"/>
                    <w:spacing w:val="-8"/>
                    <w:sz w:val="18"/>
                  </w:rPr>
                  <w:t> </w:t>
                </w:r>
                <w:r>
                  <w:rPr>
                    <w:i/>
                    <w:color w:val="BEBEBE"/>
                    <w:sz w:val="18"/>
                  </w:rPr>
                  <w:t>it</w:t>
                </w:r>
                <w:r>
                  <w:rPr>
                    <w:i/>
                    <w:color w:val="BEBEBE"/>
                    <w:spacing w:val="-8"/>
                    <w:sz w:val="18"/>
                  </w:rPr>
                  <w:t> </w:t>
                </w:r>
                <w:r>
                  <w:rPr>
                    <w:i/>
                    <w:color w:val="BEBEBE"/>
                    <w:sz w:val="18"/>
                  </w:rPr>
                  <w:t>is</w:t>
                </w:r>
                <w:r>
                  <w:rPr>
                    <w:i/>
                    <w:color w:val="BEBEBE"/>
                    <w:spacing w:val="-10"/>
                    <w:sz w:val="18"/>
                  </w:rPr>
                  <w:t> </w:t>
                </w:r>
                <w:r>
                  <w:rPr>
                    <w:i/>
                    <w:color w:val="BEBEBE"/>
                    <w:sz w:val="18"/>
                  </w:rPr>
                  <w:t>accurate</w:t>
                </w:r>
                <w:r>
                  <w:rPr>
                    <w:i/>
                    <w:color w:val="BEBEBE"/>
                    <w:spacing w:val="-9"/>
                    <w:sz w:val="18"/>
                  </w:rPr>
                  <w:t> </w:t>
                </w:r>
                <w:r>
                  <w:rPr>
                    <w:i/>
                    <w:color w:val="BEBEBE"/>
                    <w:sz w:val="18"/>
                  </w:rPr>
                  <w:t>based</w:t>
                </w:r>
                <w:r>
                  <w:rPr>
                    <w:i/>
                    <w:color w:val="BEBEBE"/>
                    <w:spacing w:val="-9"/>
                    <w:sz w:val="18"/>
                  </w:rPr>
                  <w:t> </w:t>
                </w:r>
                <w:r>
                  <w:rPr>
                    <w:i/>
                    <w:color w:val="BEBEBE"/>
                    <w:sz w:val="18"/>
                  </w:rPr>
                  <w:t>on</w:t>
                </w:r>
                <w:r>
                  <w:rPr>
                    <w:i/>
                    <w:color w:val="BEBEBE"/>
                    <w:spacing w:val="-9"/>
                    <w:sz w:val="18"/>
                  </w:rPr>
                  <w:t> </w:t>
                </w:r>
                <w:r>
                  <w:rPr>
                    <w:i/>
                    <w:color w:val="BEBEBE"/>
                    <w:sz w:val="18"/>
                  </w:rPr>
                  <w:t>the</w:t>
                </w:r>
                <w:r>
                  <w:rPr>
                    <w:i/>
                    <w:color w:val="BEBEBE"/>
                    <w:spacing w:val="-9"/>
                    <w:sz w:val="18"/>
                  </w:rPr>
                  <w:t> </w:t>
                </w:r>
                <w:r>
                  <w:rPr>
                    <w:i/>
                    <w:color w:val="BEBEBE"/>
                    <w:spacing w:val="-3"/>
                    <w:sz w:val="18"/>
                  </w:rPr>
                  <w:t>resources</w:t>
                </w:r>
                <w:r>
                  <w:rPr>
                    <w:i/>
                    <w:color w:val="BEBEBE"/>
                    <w:spacing w:val="-9"/>
                    <w:sz w:val="18"/>
                  </w:rPr>
                  <w:t> </w:t>
                </w:r>
                <w:r>
                  <w:rPr>
                    <w:i/>
                    <w:color w:val="BEBEBE"/>
                    <w:sz w:val="18"/>
                  </w:rPr>
                  <w:t>at</w:t>
                </w:r>
                <w:r>
                  <w:rPr>
                    <w:i/>
                    <w:color w:val="BEBEBE"/>
                    <w:spacing w:val="-8"/>
                    <w:sz w:val="18"/>
                  </w:rPr>
                  <w:t> </w:t>
                </w:r>
                <w:r>
                  <w:rPr>
                    <w:i/>
                    <w:color w:val="BEBEBE"/>
                    <w:sz w:val="18"/>
                  </w:rPr>
                  <w:t>the</w:t>
                </w:r>
                <w:r>
                  <w:rPr>
                    <w:i/>
                    <w:color w:val="BEBEBE"/>
                    <w:spacing w:val="-10"/>
                    <w:sz w:val="18"/>
                  </w:rPr>
                  <w:t> </w:t>
                </w:r>
                <w:r>
                  <w:rPr>
                    <w:i/>
                    <w:color w:val="BEBEBE"/>
                    <w:sz w:val="18"/>
                  </w:rPr>
                  <w:t>time</w:t>
                </w:r>
                <w:r>
                  <w:rPr>
                    <w:i/>
                    <w:color w:val="BEBEBE"/>
                    <w:spacing w:val="-8"/>
                    <w:sz w:val="18"/>
                  </w:rPr>
                  <w:t> </w:t>
                </w:r>
                <w:r>
                  <w:rPr>
                    <w:i/>
                    <w:color w:val="BEBEBE"/>
                    <w:sz w:val="18"/>
                  </w:rPr>
                  <w:t>of </w:t>
                </w:r>
                <w:r>
                  <w:rPr>
                    <w:i/>
                    <w:color w:val="BEBEBE"/>
                    <w:spacing w:val="-3"/>
                    <w:sz w:val="18"/>
                  </w:rPr>
                  <w:t>issue.</w:t>
                </w:r>
                <w:r>
                  <w:rPr>
                    <w:i/>
                    <w:color w:val="BEBEBE"/>
                    <w:spacing w:val="-6"/>
                    <w:sz w:val="18"/>
                  </w:rPr>
                  <w:t> </w:t>
                </w:r>
                <w:r>
                  <w:rPr>
                    <w:i/>
                    <w:color w:val="BEBEBE"/>
                    <w:sz w:val="18"/>
                  </w:rPr>
                  <w:t>For</w:t>
                </w:r>
                <w:r>
                  <w:rPr>
                    <w:i/>
                    <w:color w:val="BEBEBE"/>
                    <w:spacing w:val="-6"/>
                    <w:sz w:val="18"/>
                  </w:rPr>
                  <w:t> </w:t>
                </w:r>
                <w:r>
                  <w:rPr>
                    <w:i/>
                    <w:color w:val="BEBEBE"/>
                    <w:sz w:val="18"/>
                  </w:rPr>
                  <w:t>further</w:t>
                </w:r>
                <w:r>
                  <w:rPr>
                    <w:i/>
                    <w:color w:val="BEBEBE"/>
                    <w:spacing w:val="-5"/>
                    <w:sz w:val="18"/>
                  </w:rPr>
                  <w:t> </w:t>
                </w:r>
                <w:r>
                  <w:rPr>
                    <w:i/>
                    <w:color w:val="BEBEBE"/>
                    <w:spacing w:val="-3"/>
                    <w:sz w:val="18"/>
                  </w:rPr>
                  <w:t>information</w:t>
                </w:r>
                <w:r>
                  <w:rPr>
                    <w:i/>
                    <w:color w:val="BEBEBE"/>
                    <w:spacing w:val="-6"/>
                    <w:sz w:val="18"/>
                  </w:rPr>
                  <w:t> </w:t>
                </w:r>
                <w:r>
                  <w:rPr>
                    <w:i/>
                    <w:color w:val="BEBEBE"/>
                    <w:sz w:val="18"/>
                  </w:rPr>
                  <w:t>please</w:t>
                </w:r>
                <w:r>
                  <w:rPr>
                    <w:i/>
                    <w:color w:val="BEBEBE"/>
                    <w:spacing w:val="-5"/>
                    <w:sz w:val="18"/>
                  </w:rPr>
                  <w:t> </w:t>
                </w:r>
                <w:r>
                  <w:rPr>
                    <w:i/>
                    <w:color w:val="BEBEBE"/>
                    <w:sz w:val="18"/>
                  </w:rPr>
                  <w:t>refer</w:t>
                </w:r>
                <w:r>
                  <w:rPr>
                    <w:i/>
                    <w:color w:val="BEBEBE"/>
                    <w:spacing w:val="-7"/>
                    <w:sz w:val="18"/>
                  </w:rPr>
                  <w:t> </w:t>
                </w:r>
                <w:r>
                  <w:rPr>
                    <w:i/>
                    <w:color w:val="BEBEBE"/>
                    <w:sz w:val="18"/>
                  </w:rPr>
                  <w:t>to</w:t>
                </w:r>
                <w:r>
                  <w:rPr>
                    <w:i/>
                    <w:color w:val="BEBEBE"/>
                    <w:spacing w:val="-6"/>
                    <w:sz w:val="18"/>
                  </w:rPr>
                  <w:t> </w:t>
                </w:r>
                <w:r>
                  <w:rPr>
                    <w:i/>
                    <w:color w:val="BEBEBE"/>
                    <w:sz w:val="18"/>
                  </w:rPr>
                  <w:t>the</w:t>
                </w:r>
                <w:r>
                  <w:rPr>
                    <w:i/>
                    <w:color w:val="BEBEBE"/>
                    <w:spacing w:val="-6"/>
                    <w:sz w:val="18"/>
                  </w:rPr>
                  <w:t> </w:t>
                </w:r>
                <w:r>
                  <w:rPr>
                    <w:i/>
                    <w:color w:val="BEBEBE"/>
                    <w:spacing w:val="-3"/>
                    <w:sz w:val="18"/>
                  </w:rPr>
                  <w:t>Summary</w:t>
                </w:r>
                <w:r>
                  <w:rPr>
                    <w:i/>
                    <w:color w:val="BEBEBE"/>
                    <w:spacing w:val="-5"/>
                    <w:sz w:val="18"/>
                  </w:rPr>
                  <w:t> </w:t>
                </w:r>
                <w:r>
                  <w:rPr>
                    <w:i/>
                    <w:color w:val="BEBEBE"/>
                    <w:sz w:val="18"/>
                  </w:rPr>
                  <w:t>of</w:t>
                </w:r>
                <w:r>
                  <w:rPr>
                    <w:i/>
                    <w:color w:val="BEBEBE"/>
                    <w:spacing w:val="-4"/>
                    <w:sz w:val="18"/>
                  </w:rPr>
                  <w:t> </w:t>
                </w:r>
                <w:r>
                  <w:rPr>
                    <w:i/>
                    <w:color w:val="BEBEBE"/>
                    <w:spacing w:val="-3"/>
                    <w:sz w:val="18"/>
                  </w:rPr>
                  <w:t>Product</w:t>
                </w:r>
                <w:r>
                  <w:rPr>
                    <w:i/>
                    <w:color w:val="BEBEBE"/>
                    <w:spacing w:val="-5"/>
                    <w:sz w:val="18"/>
                  </w:rPr>
                  <w:t> </w:t>
                </w:r>
                <w:r>
                  <w:rPr>
                    <w:i/>
                    <w:color w:val="BEBEBE"/>
                    <w:spacing w:val="-3"/>
                    <w:sz w:val="18"/>
                  </w:rPr>
                  <w:t>Characteristics</w:t>
                </w:r>
                <w:r>
                  <w:rPr>
                    <w:i/>
                    <w:color w:val="BEBEBE"/>
                    <w:spacing w:val="-5"/>
                    <w:sz w:val="18"/>
                  </w:rPr>
                  <w:t> </w:t>
                </w:r>
                <w:r>
                  <w:rPr>
                    <w:i/>
                    <w:color w:val="BEBEBE"/>
                    <w:sz w:val="18"/>
                  </w:rPr>
                  <w:t>or</w:t>
                </w:r>
                <w:r>
                  <w:rPr>
                    <w:i/>
                    <w:color w:val="BEBEBE"/>
                    <w:spacing w:val="-5"/>
                    <w:sz w:val="18"/>
                  </w:rPr>
                  <w:t> </w:t>
                </w:r>
                <w:r>
                  <w:rPr>
                    <w:i/>
                    <w:color w:val="BEBEBE"/>
                    <w:spacing w:val="-3"/>
                    <w:sz w:val="18"/>
                  </w:rPr>
                  <w:t>contact</w:t>
                </w:r>
                <w:r>
                  <w:rPr>
                    <w:i/>
                    <w:color w:val="BEBEBE"/>
                    <w:spacing w:val="-4"/>
                    <w:sz w:val="18"/>
                  </w:rPr>
                  <w:t> </w:t>
                </w:r>
                <w:r>
                  <w:rPr>
                    <w:i/>
                    <w:color w:val="BEBEBE"/>
                    <w:sz w:val="18"/>
                  </w:rPr>
                  <w:t>a</w:t>
                </w:r>
                <w:r>
                  <w:rPr>
                    <w:i/>
                    <w:color w:val="BEBEBE"/>
                    <w:spacing w:val="-7"/>
                    <w:sz w:val="18"/>
                  </w:rPr>
                  <w:t> </w:t>
                </w:r>
                <w:r>
                  <w:rPr>
                    <w:i/>
                    <w:color w:val="BEBEBE"/>
                    <w:sz w:val="18"/>
                  </w:rPr>
                  <w:t>member</w:t>
                </w:r>
                <w:r>
                  <w:rPr>
                    <w:i/>
                    <w:color w:val="BEBEBE"/>
                    <w:spacing w:val="-5"/>
                    <w:sz w:val="18"/>
                  </w:rPr>
                  <w:t> </w:t>
                </w:r>
                <w:r>
                  <w:rPr>
                    <w:i/>
                    <w:color w:val="BEBEBE"/>
                    <w:sz w:val="18"/>
                  </w:rPr>
                  <w:t>of</w:t>
                </w:r>
                <w:r>
                  <w:rPr>
                    <w:i/>
                    <w:color w:val="BEBEBE"/>
                    <w:spacing w:val="-5"/>
                    <w:sz w:val="18"/>
                  </w:rPr>
                  <w:t> </w:t>
                </w:r>
                <w:r>
                  <w:rPr>
                    <w:i/>
                    <w:color w:val="BEBEBE"/>
                    <w:sz w:val="18"/>
                  </w:rPr>
                  <w:t>the</w:t>
                </w:r>
                <w:r>
                  <w:rPr>
                    <w:i/>
                    <w:color w:val="BEBEBE"/>
                    <w:spacing w:val="-6"/>
                    <w:sz w:val="18"/>
                  </w:rPr>
                  <w:t> </w:t>
                </w:r>
                <w:r>
                  <w:rPr>
                    <w:i/>
                    <w:color w:val="BEBEBE"/>
                    <w:spacing w:val="-3"/>
                    <w:sz w:val="18"/>
                  </w:rPr>
                  <w:t>appropriate</w:t>
                </w:r>
                <w:r>
                  <w:rPr>
                    <w:i/>
                    <w:color w:val="BEBEBE"/>
                    <w:spacing w:val="-7"/>
                    <w:sz w:val="18"/>
                  </w:rPr>
                  <w:t> </w:t>
                </w:r>
                <w:r>
                  <w:rPr>
                    <w:i/>
                    <w:color w:val="BEBEBE"/>
                    <w:sz w:val="18"/>
                  </w:rPr>
                  <w:t>team.</w:t>
                </w:r>
              </w:p>
            </w:txbxContent>
          </v:textbox>
          <w10:wrap type="none"/>
        </v:shape>
      </w:pict>
    </w:r>
    <w:r>
      <w:rPr/>
      <w:pict>
        <v:shape style="position:absolute;margin-left:40.939999pt;margin-top:785.672546pt;width:198.55pt;height:12.1pt;mso-position-horizontal-relative:page;mso-position-vertical-relative:page;z-index:-32704" type="#_x0000_t202" filled="false" stroked="false">
          <v:textbox inset="0,0,0,0">
            <w:txbxContent>
              <w:p>
                <w:pPr>
                  <w:spacing w:before="14"/>
                  <w:ind w:left="20" w:right="0" w:firstLine="0"/>
                  <w:jc w:val="left"/>
                  <w:rPr>
                    <w:sz w:val="18"/>
                  </w:rPr>
                </w:pPr>
                <w:r>
                  <w:rPr>
                    <w:sz w:val="18"/>
                  </w:rPr>
                  <w:t>North Central London Joint Formulary Committee</w:t>
                </w:r>
              </w:p>
            </w:txbxContent>
          </v:textbox>
          <w10:wrap type="none"/>
        </v:shape>
      </w:pict>
    </w:r>
    <w:r>
      <w:rPr/>
      <w:pict>
        <v:shape style="position:absolute;margin-left:431.820007pt;margin-top:785.672546pt;width:129.0500pt;height:32.8pt;mso-position-horizontal-relative:page;mso-position-vertical-relative:page;z-index:-32680" type="#_x0000_t202" filled="false" stroked="false">
          <v:textbox inset="0,0,0,0">
            <w:txbxContent>
              <w:p>
                <w:pPr>
                  <w:spacing w:before="14"/>
                  <w:ind w:left="20" w:right="18" w:firstLine="1420"/>
                  <w:jc w:val="right"/>
                  <w:rPr>
                    <w:sz w:val="18"/>
                  </w:rPr>
                </w:pPr>
                <w:r>
                  <w:rPr>
                    <w:sz w:val="18"/>
                  </w:rPr>
                  <w:t>Page </w:t>
                </w:r>
                <w:r>
                  <w:rPr/>
                  <w:fldChar w:fldCharType="begin"/>
                </w:r>
                <w:r>
                  <w:rPr>
                    <w:sz w:val="18"/>
                  </w:rPr>
                  <w:instrText> PAGE </w:instrText>
                </w:r>
                <w:r>
                  <w:rPr/>
                  <w:fldChar w:fldCharType="separate"/>
                </w:r>
                <w:r>
                  <w:rPr/>
                  <w:t>10</w:t>
                </w:r>
                <w:r>
                  <w:rPr/>
                  <w:fldChar w:fldCharType="end"/>
                </w:r>
                <w:r>
                  <w:rPr>
                    <w:sz w:val="18"/>
                  </w:rPr>
                  <w:t> of 12</w:t>
                </w:r>
                <w:r>
                  <w:rPr>
                    <w:w w:val="99"/>
                    <w:sz w:val="18"/>
                  </w:rPr>
                  <w:t> </w:t>
                </w:r>
                <w:r>
                  <w:rPr>
                    <w:sz w:val="18"/>
                  </w:rPr>
                  <w:t>Approval date: September 2021</w:t>
                </w:r>
                <w:r>
                  <w:rPr>
                    <w:w w:val="99"/>
                    <w:sz w:val="18"/>
                  </w:rPr>
                  <w:t> </w:t>
                </w:r>
                <w:r>
                  <w:rPr>
                    <w:sz w:val="18"/>
                  </w:rPr>
                  <w:t>Review date: September 2022</w:t>
                </w:r>
              </w:p>
            </w:txbxContent>
          </v:textbox>
          <w10:wrap type="none"/>
        </v:shape>
      </w:pict>
    </w:r>
    <w:r>
      <w:rPr/>
      <w:pict>
        <v:shape style="position:absolute;margin-left:40.939999pt;margin-top:795.992493pt;width:249.65pt;height:22.45pt;mso-position-horizontal-relative:page;mso-position-vertical-relative:page;z-index:-32656" type="#_x0000_t202" filled="false" stroked="false">
          <v:textbox inset="0,0,0,0">
            <w:txbxContent>
              <w:p>
                <w:pPr>
                  <w:spacing w:before="14"/>
                  <w:ind w:left="20" w:right="0" w:firstLine="0"/>
                  <w:jc w:val="left"/>
                  <w:rPr>
                    <w:sz w:val="18"/>
                  </w:rPr>
                </w:pPr>
                <w:r>
                  <w:rPr>
                    <w:sz w:val="18"/>
                  </w:rPr>
                  <w:t>Methotrexate Shared Care (Licensed and off-label indications) Version 1.3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9" w:hanging="159"/>
      </w:pPr>
      <w:rPr>
        <w:rFonts w:hint="default"/>
        <w:lang w:val="en-gb" w:eastAsia="en-gb" w:bidi="en-gb"/>
      </w:rPr>
    </w:lvl>
    <w:lvl w:ilvl="2">
      <w:start w:val="0"/>
      <w:numFmt w:val="bullet"/>
      <w:lvlText w:val="•"/>
      <w:lvlJc w:val="left"/>
      <w:pPr>
        <w:ind w:left="858" w:hanging="159"/>
      </w:pPr>
      <w:rPr>
        <w:rFonts w:hint="default"/>
        <w:lang w:val="en-gb" w:eastAsia="en-gb" w:bidi="en-gb"/>
      </w:rPr>
    </w:lvl>
    <w:lvl w:ilvl="3">
      <w:start w:val="0"/>
      <w:numFmt w:val="bullet"/>
      <w:lvlText w:val="•"/>
      <w:lvlJc w:val="left"/>
      <w:pPr>
        <w:ind w:left="1157" w:hanging="159"/>
      </w:pPr>
      <w:rPr>
        <w:rFonts w:hint="default"/>
        <w:lang w:val="en-gb" w:eastAsia="en-gb" w:bidi="en-gb"/>
      </w:rPr>
    </w:lvl>
    <w:lvl w:ilvl="4">
      <w:start w:val="0"/>
      <w:numFmt w:val="bullet"/>
      <w:lvlText w:val="•"/>
      <w:lvlJc w:val="left"/>
      <w:pPr>
        <w:ind w:left="1456" w:hanging="159"/>
      </w:pPr>
      <w:rPr>
        <w:rFonts w:hint="default"/>
        <w:lang w:val="en-gb" w:eastAsia="en-gb" w:bidi="en-gb"/>
      </w:rPr>
    </w:lvl>
    <w:lvl w:ilvl="5">
      <w:start w:val="0"/>
      <w:numFmt w:val="bullet"/>
      <w:lvlText w:val="•"/>
      <w:lvlJc w:val="left"/>
      <w:pPr>
        <w:ind w:left="1755" w:hanging="159"/>
      </w:pPr>
      <w:rPr>
        <w:rFonts w:hint="default"/>
        <w:lang w:val="en-gb" w:eastAsia="en-gb" w:bidi="en-gb"/>
      </w:rPr>
    </w:lvl>
    <w:lvl w:ilvl="6">
      <w:start w:val="0"/>
      <w:numFmt w:val="bullet"/>
      <w:lvlText w:val="•"/>
      <w:lvlJc w:val="left"/>
      <w:pPr>
        <w:ind w:left="2054" w:hanging="159"/>
      </w:pPr>
      <w:rPr>
        <w:rFonts w:hint="default"/>
        <w:lang w:val="en-gb" w:eastAsia="en-gb" w:bidi="en-gb"/>
      </w:rPr>
    </w:lvl>
    <w:lvl w:ilvl="7">
      <w:start w:val="0"/>
      <w:numFmt w:val="bullet"/>
      <w:lvlText w:val="•"/>
      <w:lvlJc w:val="left"/>
      <w:pPr>
        <w:ind w:left="2353" w:hanging="159"/>
      </w:pPr>
      <w:rPr>
        <w:rFonts w:hint="default"/>
        <w:lang w:val="en-gb" w:eastAsia="en-gb" w:bidi="en-gb"/>
      </w:rPr>
    </w:lvl>
    <w:lvl w:ilvl="8">
      <w:start w:val="0"/>
      <w:numFmt w:val="bullet"/>
      <w:lvlText w:val="•"/>
      <w:lvlJc w:val="left"/>
      <w:pPr>
        <w:ind w:left="2652" w:hanging="159"/>
      </w:pPr>
      <w:rPr>
        <w:rFonts w:hint="default"/>
        <w:lang w:val="en-gb" w:eastAsia="en-gb" w:bidi="en-gb"/>
      </w:rPr>
    </w:lvl>
  </w:abstractNum>
  <w:abstractNum w:abstractNumId="17">
    <w:multiLevelType w:val="hybridMultilevel"/>
    <w:lvl w:ilvl="0">
      <w:start w:val="0"/>
      <w:numFmt w:val="bullet"/>
      <w:lvlText w:val="◻"/>
      <w:lvlJc w:val="left"/>
      <w:pPr>
        <w:ind w:left="266" w:hanging="159"/>
      </w:pPr>
      <w:rPr>
        <w:rFonts w:hint="default" w:ascii="Symbol" w:hAnsi="Symbol" w:eastAsia="Symbol" w:cs="Symbol"/>
        <w:w w:val="100"/>
        <w:sz w:val="18"/>
        <w:szCs w:val="18"/>
        <w:lang w:val="en-gb" w:eastAsia="en-gb" w:bidi="en-gb"/>
      </w:rPr>
    </w:lvl>
    <w:lvl w:ilvl="1">
      <w:start w:val="0"/>
      <w:numFmt w:val="bullet"/>
      <w:lvlText w:val="•"/>
      <w:lvlJc w:val="left"/>
      <w:pPr>
        <w:ind w:left="487" w:hanging="159"/>
      </w:pPr>
      <w:rPr>
        <w:rFonts w:hint="default"/>
        <w:lang w:val="en-gb" w:eastAsia="en-gb" w:bidi="en-gb"/>
      </w:rPr>
    </w:lvl>
    <w:lvl w:ilvl="2">
      <w:start w:val="0"/>
      <w:numFmt w:val="bullet"/>
      <w:lvlText w:val="•"/>
      <w:lvlJc w:val="left"/>
      <w:pPr>
        <w:ind w:left="715" w:hanging="159"/>
      </w:pPr>
      <w:rPr>
        <w:rFonts w:hint="default"/>
        <w:lang w:val="en-gb" w:eastAsia="en-gb" w:bidi="en-gb"/>
      </w:rPr>
    </w:lvl>
    <w:lvl w:ilvl="3">
      <w:start w:val="0"/>
      <w:numFmt w:val="bullet"/>
      <w:lvlText w:val="•"/>
      <w:lvlJc w:val="left"/>
      <w:pPr>
        <w:ind w:left="943" w:hanging="159"/>
      </w:pPr>
      <w:rPr>
        <w:rFonts w:hint="default"/>
        <w:lang w:val="en-gb" w:eastAsia="en-gb" w:bidi="en-gb"/>
      </w:rPr>
    </w:lvl>
    <w:lvl w:ilvl="4">
      <w:start w:val="0"/>
      <w:numFmt w:val="bullet"/>
      <w:lvlText w:val="•"/>
      <w:lvlJc w:val="left"/>
      <w:pPr>
        <w:ind w:left="1171" w:hanging="159"/>
      </w:pPr>
      <w:rPr>
        <w:rFonts w:hint="default"/>
        <w:lang w:val="en-gb" w:eastAsia="en-gb" w:bidi="en-gb"/>
      </w:rPr>
    </w:lvl>
    <w:lvl w:ilvl="5">
      <w:start w:val="0"/>
      <w:numFmt w:val="bullet"/>
      <w:lvlText w:val="•"/>
      <w:lvlJc w:val="left"/>
      <w:pPr>
        <w:ind w:left="1399" w:hanging="159"/>
      </w:pPr>
      <w:rPr>
        <w:rFonts w:hint="default"/>
        <w:lang w:val="en-gb" w:eastAsia="en-gb" w:bidi="en-gb"/>
      </w:rPr>
    </w:lvl>
    <w:lvl w:ilvl="6">
      <w:start w:val="0"/>
      <w:numFmt w:val="bullet"/>
      <w:lvlText w:val="•"/>
      <w:lvlJc w:val="left"/>
      <w:pPr>
        <w:ind w:left="1626" w:hanging="159"/>
      </w:pPr>
      <w:rPr>
        <w:rFonts w:hint="default"/>
        <w:lang w:val="en-gb" w:eastAsia="en-gb" w:bidi="en-gb"/>
      </w:rPr>
    </w:lvl>
    <w:lvl w:ilvl="7">
      <w:start w:val="0"/>
      <w:numFmt w:val="bullet"/>
      <w:lvlText w:val="•"/>
      <w:lvlJc w:val="left"/>
      <w:pPr>
        <w:ind w:left="1854" w:hanging="159"/>
      </w:pPr>
      <w:rPr>
        <w:rFonts w:hint="default"/>
        <w:lang w:val="en-gb" w:eastAsia="en-gb" w:bidi="en-gb"/>
      </w:rPr>
    </w:lvl>
    <w:lvl w:ilvl="8">
      <w:start w:val="0"/>
      <w:numFmt w:val="bullet"/>
      <w:lvlText w:val="•"/>
      <w:lvlJc w:val="left"/>
      <w:pPr>
        <w:ind w:left="2082" w:hanging="159"/>
      </w:pPr>
      <w:rPr>
        <w:rFonts w:hint="default"/>
        <w:lang w:val="en-gb" w:eastAsia="en-gb" w:bidi="en-gb"/>
      </w:rPr>
    </w:lvl>
  </w:abstractNum>
  <w:abstractNum w:abstractNumId="16">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5" w:hanging="159"/>
      </w:pPr>
      <w:rPr>
        <w:rFonts w:hint="default"/>
        <w:lang w:val="en-gb" w:eastAsia="en-gb" w:bidi="en-gb"/>
      </w:rPr>
    </w:lvl>
    <w:lvl w:ilvl="2">
      <w:start w:val="0"/>
      <w:numFmt w:val="bullet"/>
      <w:lvlText w:val="•"/>
      <w:lvlJc w:val="left"/>
      <w:pPr>
        <w:ind w:left="851" w:hanging="159"/>
      </w:pPr>
      <w:rPr>
        <w:rFonts w:hint="default"/>
        <w:lang w:val="en-gb" w:eastAsia="en-gb" w:bidi="en-gb"/>
      </w:rPr>
    </w:lvl>
    <w:lvl w:ilvl="3">
      <w:start w:val="0"/>
      <w:numFmt w:val="bullet"/>
      <w:lvlText w:val="•"/>
      <w:lvlJc w:val="left"/>
      <w:pPr>
        <w:ind w:left="1146" w:hanging="159"/>
      </w:pPr>
      <w:rPr>
        <w:rFonts w:hint="default"/>
        <w:lang w:val="en-gb" w:eastAsia="en-gb" w:bidi="en-gb"/>
      </w:rPr>
    </w:lvl>
    <w:lvl w:ilvl="4">
      <w:start w:val="0"/>
      <w:numFmt w:val="bullet"/>
      <w:lvlText w:val="•"/>
      <w:lvlJc w:val="left"/>
      <w:pPr>
        <w:ind w:left="1442" w:hanging="159"/>
      </w:pPr>
      <w:rPr>
        <w:rFonts w:hint="default"/>
        <w:lang w:val="en-gb" w:eastAsia="en-gb" w:bidi="en-gb"/>
      </w:rPr>
    </w:lvl>
    <w:lvl w:ilvl="5">
      <w:start w:val="0"/>
      <w:numFmt w:val="bullet"/>
      <w:lvlText w:val="•"/>
      <w:lvlJc w:val="left"/>
      <w:pPr>
        <w:ind w:left="1738" w:hanging="159"/>
      </w:pPr>
      <w:rPr>
        <w:rFonts w:hint="default"/>
        <w:lang w:val="en-gb" w:eastAsia="en-gb" w:bidi="en-gb"/>
      </w:rPr>
    </w:lvl>
    <w:lvl w:ilvl="6">
      <w:start w:val="0"/>
      <w:numFmt w:val="bullet"/>
      <w:lvlText w:val="•"/>
      <w:lvlJc w:val="left"/>
      <w:pPr>
        <w:ind w:left="2033" w:hanging="159"/>
      </w:pPr>
      <w:rPr>
        <w:rFonts w:hint="default"/>
        <w:lang w:val="en-gb" w:eastAsia="en-gb" w:bidi="en-gb"/>
      </w:rPr>
    </w:lvl>
    <w:lvl w:ilvl="7">
      <w:start w:val="0"/>
      <w:numFmt w:val="bullet"/>
      <w:lvlText w:val="•"/>
      <w:lvlJc w:val="left"/>
      <w:pPr>
        <w:ind w:left="2329" w:hanging="159"/>
      </w:pPr>
      <w:rPr>
        <w:rFonts w:hint="default"/>
        <w:lang w:val="en-gb" w:eastAsia="en-gb" w:bidi="en-gb"/>
      </w:rPr>
    </w:lvl>
    <w:lvl w:ilvl="8">
      <w:start w:val="0"/>
      <w:numFmt w:val="bullet"/>
      <w:lvlText w:val="•"/>
      <w:lvlJc w:val="left"/>
      <w:pPr>
        <w:ind w:left="2624" w:hanging="159"/>
      </w:pPr>
      <w:rPr>
        <w:rFonts w:hint="default"/>
        <w:lang w:val="en-gb" w:eastAsia="en-gb" w:bidi="en-gb"/>
      </w:rPr>
    </w:lvl>
  </w:abstractNum>
  <w:abstractNum w:abstractNumId="15">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9" w:hanging="159"/>
      </w:pPr>
      <w:rPr>
        <w:rFonts w:hint="default"/>
        <w:lang w:val="en-gb" w:eastAsia="en-gb" w:bidi="en-gb"/>
      </w:rPr>
    </w:lvl>
    <w:lvl w:ilvl="2">
      <w:start w:val="0"/>
      <w:numFmt w:val="bullet"/>
      <w:lvlText w:val="•"/>
      <w:lvlJc w:val="left"/>
      <w:pPr>
        <w:ind w:left="858" w:hanging="159"/>
      </w:pPr>
      <w:rPr>
        <w:rFonts w:hint="default"/>
        <w:lang w:val="en-gb" w:eastAsia="en-gb" w:bidi="en-gb"/>
      </w:rPr>
    </w:lvl>
    <w:lvl w:ilvl="3">
      <w:start w:val="0"/>
      <w:numFmt w:val="bullet"/>
      <w:lvlText w:val="•"/>
      <w:lvlJc w:val="left"/>
      <w:pPr>
        <w:ind w:left="1157" w:hanging="159"/>
      </w:pPr>
      <w:rPr>
        <w:rFonts w:hint="default"/>
        <w:lang w:val="en-gb" w:eastAsia="en-gb" w:bidi="en-gb"/>
      </w:rPr>
    </w:lvl>
    <w:lvl w:ilvl="4">
      <w:start w:val="0"/>
      <w:numFmt w:val="bullet"/>
      <w:lvlText w:val="•"/>
      <w:lvlJc w:val="left"/>
      <w:pPr>
        <w:ind w:left="1456" w:hanging="159"/>
      </w:pPr>
      <w:rPr>
        <w:rFonts w:hint="default"/>
        <w:lang w:val="en-gb" w:eastAsia="en-gb" w:bidi="en-gb"/>
      </w:rPr>
    </w:lvl>
    <w:lvl w:ilvl="5">
      <w:start w:val="0"/>
      <w:numFmt w:val="bullet"/>
      <w:lvlText w:val="•"/>
      <w:lvlJc w:val="left"/>
      <w:pPr>
        <w:ind w:left="1755" w:hanging="159"/>
      </w:pPr>
      <w:rPr>
        <w:rFonts w:hint="default"/>
        <w:lang w:val="en-gb" w:eastAsia="en-gb" w:bidi="en-gb"/>
      </w:rPr>
    </w:lvl>
    <w:lvl w:ilvl="6">
      <w:start w:val="0"/>
      <w:numFmt w:val="bullet"/>
      <w:lvlText w:val="•"/>
      <w:lvlJc w:val="left"/>
      <w:pPr>
        <w:ind w:left="2054" w:hanging="159"/>
      </w:pPr>
      <w:rPr>
        <w:rFonts w:hint="default"/>
        <w:lang w:val="en-gb" w:eastAsia="en-gb" w:bidi="en-gb"/>
      </w:rPr>
    </w:lvl>
    <w:lvl w:ilvl="7">
      <w:start w:val="0"/>
      <w:numFmt w:val="bullet"/>
      <w:lvlText w:val="•"/>
      <w:lvlJc w:val="left"/>
      <w:pPr>
        <w:ind w:left="2353" w:hanging="159"/>
      </w:pPr>
      <w:rPr>
        <w:rFonts w:hint="default"/>
        <w:lang w:val="en-gb" w:eastAsia="en-gb" w:bidi="en-gb"/>
      </w:rPr>
    </w:lvl>
    <w:lvl w:ilvl="8">
      <w:start w:val="0"/>
      <w:numFmt w:val="bullet"/>
      <w:lvlText w:val="•"/>
      <w:lvlJc w:val="left"/>
      <w:pPr>
        <w:ind w:left="2652" w:hanging="159"/>
      </w:pPr>
      <w:rPr>
        <w:rFonts w:hint="default"/>
        <w:lang w:val="en-gb" w:eastAsia="en-gb" w:bidi="en-gb"/>
      </w:rPr>
    </w:lvl>
  </w:abstractNum>
  <w:abstractNum w:abstractNumId="14">
    <w:multiLevelType w:val="hybridMultilevel"/>
    <w:lvl w:ilvl="0">
      <w:start w:val="0"/>
      <w:numFmt w:val="bullet"/>
      <w:lvlText w:val="◻"/>
      <w:lvlJc w:val="left"/>
      <w:pPr>
        <w:ind w:left="266" w:hanging="159"/>
      </w:pPr>
      <w:rPr>
        <w:rFonts w:hint="default" w:ascii="Symbol" w:hAnsi="Symbol" w:eastAsia="Symbol" w:cs="Symbol"/>
        <w:w w:val="100"/>
        <w:sz w:val="18"/>
        <w:szCs w:val="18"/>
        <w:lang w:val="en-gb" w:eastAsia="en-gb" w:bidi="en-gb"/>
      </w:rPr>
    </w:lvl>
    <w:lvl w:ilvl="1">
      <w:start w:val="0"/>
      <w:numFmt w:val="bullet"/>
      <w:lvlText w:val="•"/>
      <w:lvlJc w:val="left"/>
      <w:pPr>
        <w:ind w:left="487" w:hanging="159"/>
      </w:pPr>
      <w:rPr>
        <w:rFonts w:hint="default"/>
        <w:lang w:val="en-gb" w:eastAsia="en-gb" w:bidi="en-gb"/>
      </w:rPr>
    </w:lvl>
    <w:lvl w:ilvl="2">
      <w:start w:val="0"/>
      <w:numFmt w:val="bullet"/>
      <w:lvlText w:val="•"/>
      <w:lvlJc w:val="left"/>
      <w:pPr>
        <w:ind w:left="715" w:hanging="159"/>
      </w:pPr>
      <w:rPr>
        <w:rFonts w:hint="default"/>
        <w:lang w:val="en-gb" w:eastAsia="en-gb" w:bidi="en-gb"/>
      </w:rPr>
    </w:lvl>
    <w:lvl w:ilvl="3">
      <w:start w:val="0"/>
      <w:numFmt w:val="bullet"/>
      <w:lvlText w:val="•"/>
      <w:lvlJc w:val="left"/>
      <w:pPr>
        <w:ind w:left="943" w:hanging="159"/>
      </w:pPr>
      <w:rPr>
        <w:rFonts w:hint="default"/>
        <w:lang w:val="en-gb" w:eastAsia="en-gb" w:bidi="en-gb"/>
      </w:rPr>
    </w:lvl>
    <w:lvl w:ilvl="4">
      <w:start w:val="0"/>
      <w:numFmt w:val="bullet"/>
      <w:lvlText w:val="•"/>
      <w:lvlJc w:val="left"/>
      <w:pPr>
        <w:ind w:left="1171" w:hanging="159"/>
      </w:pPr>
      <w:rPr>
        <w:rFonts w:hint="default"/>
        <w:lang w:val="en-gb" w:eastAsia="en-gb" w:bidi="en-gb"/>
      </w:rPr>
    </w:lvl>
    <w:lvl w:ilvl="5">
      <w:start w:val="0"/>
      <w:numFmt w:val="bullet"/>
      <w:lvlText w:val="•"/>
      <w:lvlJc w:val="left"/>
      <w:pPr>
        <w:ind w:left="1399" w:hanging="159"/>
      </w:pPr>
      <w:rPr>
        <w:rFonts w:hint="default"/>
        <w:lang w:val="en-gb" w:eastAsia="en-gb" w:bidi="en-gb"/>
      </w:rPr>
    </w:lvl>
    <w:lvl w:ilvl="6">
      <w:start w:val="0"/>
      <w:numFmt w:val="bullet"/>
      <w:lvlText w:val="•"/>
      <w:lvlJc w:val="left"/>
      <w:pPr>
        <w:ind w:left="1626" w:hanging="159"/>
      </w:pPr>
      <w:rPr>
        <w:rFonts w:hint="default"/>
        <w:lang w:val="en-gb" w:eastAsia="en-gb" w:bidi="en-gb"/>
      </w:rPr>
    </w:lvl>
    <w:lvl w:ilvl="7">
      <w:start w:val="0"/>
      <w:numFmt w:val="bullet"/>
      <w:lvlText w:val="•"/>
      <w:lvlJc w:val="left"/>
      <w:pPr>
        <w:ind w:left="1854" w:hanging="159"/>
      </w:pPr>
      <w:rPr>
        <w:rFonts w:hint="default"/>
        <w:lang w:val="en-gb" w:eastAsia="en-gb" w:bidi="en-gb"/>
      </w:rPr>
    </w:lvl>
    <w:lvl w:ilvl="8">
      <w:start w:val="0"/>
      <w:numFmt w:val="bullet"/>
      <w:lvlText w:val="•"/>
      <w:lvlJc w:val="left"/>
      <w:pPr>
        <w:ind w:left="2082" w:hanging="159"/>
      </w:pPr>
      <w:rPr>
        <w:rFonts w:hint="default"/>
        <w:lang w:val="en-gb" w:eastAsia="en-gb" w:bidi="en-gb"/>
      </w:rPr>
    </w:lvl>
  </w:abstractNum>
  <w:abstractNum w:abstractNumId="13">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5" w:hanging="159"/>
      </w:pPr>
      <w:rPr>
        <w:rFonts w:hint="default"/>
        <w:lang w:val="en-gb" w:eastAsia="en-gb" w:bidi="en-gb"/>
      </w:rPr>
    </w:lvl>
    <w:lvl w:ilvl="2">
      <w:start w:val="0"/>
      <w:numFmt w:val="bullet"/>
      <w:lvlText w:val="•"/>
      <w:lvlJc w:val="left"/>
      <w:pPr>
        <w:ind w:left="851" w:hanging="159"/>
      </w:pPr>
      <w:rPr>
        <w:rFonts w:hint="default"/>
        <w:lang w:val="en-gb" w:eastAsia="en-gb" w:bidi="en-gb"/>
      </w:rPr>
    </w:lvl>
    <w:lvl w:ilvl="3">
      <w:start w:val="0"/>
      <w:numFmt w:val="bullet"/>
      <w:lvlText w:val="•"/>
      <w:lvlJc w:val="left"/>
      <w:pPr>
        <w:ind w:left="1146" w:hanging="159"/>
      </w:pPr>
      <w:rPr>
        <w:rFonts w:hint="default"/>
        <w:lang w:val="en-gb" w:eastAsia="en-gb" w:bidi="en-gb"/>
      </w:rPr>
    </w:lvl>
    <w:lvl w:ilvl="4">
      <w:start w:val="0"/>
      <w:numFmt w:val="bullet"/>
      <w:lvlText w:val="•"/>
      <w:lvlJc w:val="left"/>
      <w:pPr>
        <w:ind w:left="1442" w:hanging="159"/>
      </w:pPr>
      <w:rPr>
        <w:rFonts w:hint="default"/>
        <w:lang w:val="en-gb" w:eastAsia="en-gb" w:bidi="en-gb"/>
      </w:rPr>
    </w:lvl>
    <w:lvl w:ilvl="5">
      <w:start w:val="0"/>
      <w:numFmt w:val="bullet"/>
      <w:lvlText w:val="•"/>
      <w:lvlJc w:val="left"/>
      <w:pPr>
        <w:ind w:left="1738" w:hanging="159"/>
      </w:pPr>
      <w:rPr>
        <w:rFonts w:hint="default"/>
        <w:lang w:val="en-gb" w:eastAsia="en-gb" w:bidi="en-gb"/>
      </w:rPr>
    </w:lvl>
    <w:lvl w:ilvl="6">
      <w:start w:val="0"/>
      <w:numFmt w:val="bullet"/>
      <w:lvlText w:val="•"/>
      <w:lvlJc w:val="left"/>
      <w:pPr>
        <w:ind w:left="2033" w:hanging="159"/>
      </w:pPr>
      <w:rPr>
        <w:rFonts w:hint="default"/>
        <w:lang w:val="en-gb" w:eastAsia="en-gb" w:bidi="en-gb"/>
      </w:rPr>
    </w:lvl>
    <w:lvl w:ilvl="7">
      <w:start w:val="0"/>
      <w:numFmt w:val="bullet"/>
      <w:lvlText w:val="•"/>
      <w:lvlJc w:val="left"/>
      <w:pPr>
        <w:ind w:left="2329" w:hanging="159"/>
      </w:pPr>
      <w:rPr>
        <w:rFonts w:hint="default"/>
        <w:lang w:val="en-gb" w:eastAsia="en-gb" w:bidi="en-gb"/>
      </w:rPr>
    </w:lvl>
    <w:lvl w:ilvl="8">
      <w:start w:val="0"/>
      <w:numFmt w:val="bullet"/>
      <w:lvlText w:val="•"/>
      <w:lvlJc w:val="left"/>
      <w:pPr>
        <w:ind w:left="2624" w:hanging="159"/>
      </w:pPr>
      <w:rPr>
        <w:rFonts w:hint="default"/>
        <w:lang w:val="en-gb" w:eastAsia="en-gb" w:bidi="en-gb"/>
      </w:rPr>
    </w:lvl>
  </w:abstractNum>
  <w:abstractNum w:abstractNumId="12">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9" w:hanging="159"/>
      </w:pPr>
      <w:rPr>
        <w:rFonts w:hint="default"/>
        <w:lang w:val="en-gb" w:eastAsia="en-gb" w:bidi="en-gb"/>
      </w:rPr>
    </w:lvl>
    <w:lvl w:ilvl="2">
      <w:start w:val="0"/>
      <w:numFmt w:val="bullet"/>
      <w:lvlText w:val="•"/>
      <w:lvlJc w:val="left"/>
      <w:pPr>
        <w:ind w:left="858" w:hanging="159"/>
      </w:pPr>
      <w:rPr>
        <w:rFonts w:hint="default"/>
        <w:lang w:val="en-gb" w:eastAsia="en-gb" w:bidi="en-gb"/>
      </w:rPr>
    </w:lvl>
    <w:lvl w:ilvl="3">
      <w:start w:val="0"/>
      <w:numFmt w:val="bullet"/>
      <w:lvlText w:val="•"/>
      <w:lvlJc w:val="left"/>
      <w:pPr>
        <w:ind w:left="1157" w:hanging="159"/>
      </w:pPr>
      <w:rPr>
        <w:rFonts w:hint="default"/>
        <w:lang w:val="en-gb" w:eastAsia="en-gb" w:bidi="en-gb"/>
      </w:rPr>
    </w:lvl>
    <w:lvl w:ilvl="4">
      <w:start w:val="0"/>
      <w:numFmt w:val="bullet"/>
      <w:lvlText w:val="•"/>
      <w:lvlJc w:val="left"/>
      <w:pPr>
        <w:ind w:left="1456" w:hanging="159"/>
      </w:pPr>
      <w:rPr>
        <w:rFonts w:hint="default"/>
        <w:lang w:val="en-gb" w:eastAsia="en-gb" w:bidi="en-gb"/>
      </w:rPr>
    </w:lvl>
    <w:lvl w:ilvl="5">
      <w:start w:val="0"/>
      <w:numFmt w:val="bullet"/>
      <w:lvlText w:val="•"/>
      <w:lvlJc w:val="left"/>
      <w:pPr>
        <w:ind w:left="1755" w:hanging="159"/>
      </w:pPr>
      <w:rPr>
        <w:rFonts w:hint="default"/>
        <w:lang w:val="en-gb" w:eastAsia="en-gb" w:bidi="en-gb"/>
      </w:rPr>
    </w:lvl>
    <w:lvl w:ilvl="6">
      <w:start w:val="0"/>
      <w:numFmt w:val="bullet"/>
      <w:lvlText w:val="•"/>
      <w:lvlJc w:val="left"/>
      <w:pPr>
        <w:ind w:left="2054" w:hanging="159"/>
      </w:pPr>
      <w:rPr>
        <w:rFonts w:hint="default"/>
        <w:lang w:val="en-gb" w:eastAsia="en-gb" w:bidi="en-gb"/>
      </w:rPr>
    </w:lvl>
    <w:lvl w:ilvl="7">
      <w:start w:val="0"/>
      <w:numFmt w:val="bullet"/>
      <w:lvlText w:val="•"/>
      <w:lvlJc w:val="left"/>
      <w:pPr>
        <w:ind w:left="2353" w:hanging="159"/>
      </w:pPr>
      <w:rPr>
        <w:rFonts w:hint="default"/>
        <w:lang w:val="en-gb" w:eastAsia="en-gb" w:bidi="en-gb"/>
      </w:rPr>
    </w:lvl>
    <w:lvl w:ilvl="8">
      <w:start w:val="0"/>
      <w:numFmt w:val="bullet"/>
      <w:lvlText w:val="•"/>
      <w:lvlJc w:val="left"/>
      <w:pPr>
        <w:ind w:left="2652" w:hanging="159"/>
      </w:pPr>
      <w:rPr>
        <w:rFonts w:hint="default"/>
        <w:lang w:val="en-gb" w:eastAsia="en-gb" w:bidi="en-gb"/>
      </w:rPr>
    </w:lvl>
  </w:abstractNum>
  <w:abstractNum w:abstractNumId="11">
    <w:multiLevelType w:val="hybridMultilevel"/>
    <w:lvl w:ilvl="0">
      <w:start w:val="0"/>
      <w:numFmt w:val="bullet"/>
      <w:lvlText w:val="◻"/>
      <w:lvlJc w:val="left"/>
      <w:pPr>
        <w:ind w:left="266" w:hanging="159"/>
      </w:pPr>
      <w:rPr>
        <w:rFonts w:hint="default" w:ascii="Symbol" w:hAnsi="Symbol" w:eastAsia="Symbol" w:cs="Symbol"/>
        <w:w w:val="100"/>
        <w:sz w:val="18"/>
        <w:szCs w:val="18"/>
        <w:lang w:val="en-gb" w:eastAsia="en-gb" w:bidi="en-gb"/>
      </w:rPr>
    </w:lvl>
    <w:lvl w:ilvl="1">
      <w:start w:val="0"/>
      <w:numFmt w:val="bullet"/>
      <w:lvlText w:val="•"/>
      <w:lvlJc w:val="left"/>
      <w:pPr>
        <w:ind w:left="487" w:hanging="159"/>
      </w:pPr>
      <w:rPr>
        <w:rFonts w:hint="default"/>
        <w:lang w:val="en-gb" w:eastAsia="en-gb" w:bidi="en-gb"/>
      </w:rPr>
    </w:lvl>
    <w:lvl w:ilvl="2">
      <w:start w:val="0"/>
      <w:numFmt w:val="bullet"/>
      <w:lvlText w:val="•"/>
      <w:lvlJc w:val="left"/>
      <w:pPr>
        <w:ind w:left="715" w:hanging="159"/>
      </w:pPr>
      <w:rPr>
        <w:rFonts w:hint="default"/>
        <w:lang w:val="en-gb" w:eastAsia="en-gb" w:bidi="en-gb"/>
      </w:rPr>
    </w:lvl>
    <w:lvl w:ilvl="3">
      <w:start w:val="0"/>
      <w:numFmt w:val="bullet"/>
      <w:lvlText w:val="•"/>
      <w:lvlJc w:val="left"/>
      <w:pPr>
        <w:ind w:left="943" w:hanging="159"/>
      </w:pPr>
      <w:rPr>
        <w:rFonts w:hint="default"/>
        <w:lang w:val="en-gb" w:eastAsia="en-gb" w:bidi="en-gb"/>
      </w:rPr>
    </w:lvl>
    <w:lvl w:ilvl="4">
      <w:start w:val="0"/>
      <w:numFmt w:val="bullet"/>
      <w:lvlText w:val="•"/>
      <w:lvlJc w:val="left"/>
      <w:pPr>
        <w:ind w:left="1171" w:hanging="159"/>
      </w:pPr>
      <w:rPr>
        <w:rFonts w:hint="default"/>
        <w:lang w:val="en-gb" w:eastAsia="en-gb" w:bidi="en-gb"/>
      </w:rPr>
    </w:lvl>
    <w:lvl w:ilvl="5">
      <w:start w:val="0"/>
      <w:numFmt w:val="bullet"/>
      <w:lvlText w:val="•"/>
      <w:lvlJc w:val="left"/>
      <w:pPr>
        <w:ind w:left="1399" w:hanging="159"/>
      </w:pPr>
      <w:rPr>
        <w:rFonts w:hint="default"/>
        <w:lang w:val="en-gb" w:eastAsia="en-gb" w:bidi="en-gb"/>
      </w:rPr>
    </w:lvl>
    <w:lvl w:ilvl="6">
      <w:start w:val="0"/>
      <w:numFmt w:val="bullet"/>
      <w:lvlText w:val="•"/>
      <w:lvlJc w:val="left"/>
      <w:pPr>
        <w:ind w:left="1626" w:hanging="159"/>
      </w:pPr>
      <w:rPr>
        <w:rFonts w:hint="default"/>
        <w:lang w:val="en-gb" w:eastAsia="en-gb" w:bidi="en-gb"/>
      </w:rPr>
    </w:lvl>
    <w:lvl w:ilvl="7">
      <w:start w:val="0"/>
      <w:numFmt w:val="bullet"/>
      <w:lvlText w:val="•"/>
      <w:lvlJc w:val="left"/>
      <w:pPr>
        <w:ind w:left="1854" w:hanging="159"/>
      </w:pPr>
      <w:rPr>
        <w:rFonts w:hint="default"/>
        <w:lang w:val="en-gb" w:eastAsia="en-gb" w:bidi="en-gb"/>
      </w:rPr>
    </w:lvl>
    <w:lvl w:ilvl="8">
      <w:start w:val="0"/>
      <w:numFmt w:val="bullet"/>
      <w:lvlText w:val="•"/>
      <w:lvlJc w:val="left"/>
      <w:pPr>
        <w:ind w:left="2082" w:hanging="159"/>
      </w:pPr>
      <w:rPr>
        <w:rFonts w:hint="default"/>
        <w:lang w:val="en-gb" w:eastAsia="en-gb" w:bidi="en-gb"/>
      </w:rPr>
    </w:lvl>
  </w:abstractNum>
  <w:abstractNum w:abstractNumId="10">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5" w:hanging="159"/>
      </w:pPr>
      <w:rPr>
        <w:rFonts w:hint="default"/>
        <w:lang w:val="en-gb" w:eastAsia="en-gb" w:bidi="en-gb"/>
      </w:rPr>
    </w:lvl>
    <w:lvl w:ilvl="2">
      <w:start w:val="0"/>
      <w:numFmt w:val="bullet"/>
      <w:lvlText w:val="•"/>
      <w:lvlJc w:val="left"/>
      <w:pPr>
        <w:ind w:left="851" w:hanging="159"/>
      </w:pPr>
      <w:rPr>
        <w:rFonts w:hint="default"/>
        <w:lang w:val="en-gb" w:eastAsia="en-gb" w:bidi="en-gb"/>
      </w:rPr>
    </w:lvl>
    <w:lvl w:ilvl="3">
      <w:start w:val="0"/>
      <w:numFmt w:val="bullet"/>
      <w:lvlText w:val="•"/>
      <w:lvlJc w:val="left"/>
      <w:pPr>
        <w:ind w:left="1146" w:hanging="159"/>
      </w:pPr>
      <w:rPr>
        <w:rFonts w:hint="default"/>
        <w:lang w:val="en-gb" w:eastAsia="en-gb" w:bidi="en-gb"/>
      </w:rPr>
    </w:lvl>
    <w:lvl w:ilvl="4">
      <w:start w:val="0"/>
      <w:numFmt w:val="bullet"/>
      <w:lvlText w:val="•"/>
      <w:lvlJc w:val="left"/>
      <w:pPr>
        <w:ind w:left="1442" w:hanging="159"/>
      </w:pPr>
      <w:rPr>
        <w:rFonts w:hint="default"/>
        <w:lang w:val="en-gb" w:eastAsia="en-gb" w:bidi="en-gb"/>
      </w:rPr>
    </w:lvl>
    <w:lvl w:ilvl="5">
      <w:start w:val="0"/>
      <w:numFmt w:val="bullet"/>
      <w:lvlText w:val="•"/>
      <w:lvlJc w:val="left"/>
      <w:pPr>
        <w:ind w:left="1738" w:hanging="159"/>
      </w:pPr>
      <w:rPr>
        <w:rFonts w:hint="default"/>
        <w:lang w:val="en-gb" w:eastAsia="en-gb" w:bidi="en-gb"/>
      </w:rPr>
    </w:lvl>
    <w:lvl w:ilvl="6">
      <w:start w:val="0"/>
      <w:numFmt w:val="bullet"/>
      <w:lvlText w:val="•"/>
      <w:lvlJc w:val="left"/>
      <w:pPr>
        <w:ind w:left="2033" w:hanging="159"/>
      </w:pPr>
      <w:rPr>
        <w:rFonts w:hint="default"/>
        <w:lang w:val="en-gb" w:eastAsia="en-gb" w:bidi="en-gb"/>
      </w:rPr>
    </w:lvl>
    <w:lvl w:ilvl="7">
      <w:start w:val="0"/>
      <w:numFmt w:val="bullet"/>
      <w:lvlText w:val="•"/>
      <w:lvlJc w:val="left"/>
      <w:pPr>
        <w:ind w:left="2329" w:hanging="159"/>
      </w:pPr>
      <w:rPr>
        <w:rFonts w:hint="default"/>
        <w:lang w:val="en-gb" w:eastAsia="en-gb" w:bidi="en-gb"/>
      </w:rPr>
    </w:lvl>
    <w:lvl w:ilvl="8">
      <w:start w:val="0"/>
      <w:numFmt w:val="bullet"/>
      <w:lvlText w:val="•"/>
      <w:lvlJc w:val="left"/>
      <w:pPr>
        <w:ind w:left="2624" w:hanging="159"/>
      </w:pPr>
      <w:rPr>
        <w:rFonts w:hint="default"/>
        <w:lang w:val="en-gb" w:eastAsia="en-gb" w:bidi="en-gb"/>
      </w:rPr>
    </w:lvl>
  </w:abstractNum>
  <w:abstractNum w:abstractNumId="9">
    <w:multiLevelType w:val="hybridMultilevel"/>
    <w:lvl w:ilvl="0">
      <w:start w:val="0"/>
      <w:numFmt w:val="bullet"/>
      <w:lvlText w:val="◻"/>
      <w:lvlJc w:val="left"/>
      <w:pPr>
        <w:ind w:left="265" w:hanging="159"/>
      </w:pPr>
      <w:rPr>
        <w:rFonts w:hint="default" w:ascii="Symbol" w:hAnsi="Symbol" w:eastAsia="Symbol" w:cs="Symbol"/>
        <w:w w:val="100"/>
        <w:sz w:val="18"/>
        <w:szCs w:val="18"/>
        <w:lang w:val="en-gb" w:eastAsia="en-gb" w:bidi="en-gb"/>
      </w:rPr>
    </w:lvl>
    <w:lvl w:ilvl="1">
      <w:start w:val="0"/>
      <w:numFmt w:val="bullet"/>
      <w:lvlText w:val="•"/>
      <w:lvlJc w:val="left"/>
      <w:pPr>
        <w:ind w:left="559" w:hanging="159"/>
      </w:pPr>
      <w:rPr>
        <w:rFonts w:hint="default"/>
        <w:lang w:val="en-gb" w:eastAsia="en-gb" w:bidi="en-gb"/>
      </w:rPr>
    </w:lvl>
    <w:lvl w:ilvl="2">
      <w:start w:val="0"/>
      <w:numFmt w:val="bullet"/>
      <w:lvlText w:val="•"/>
      <w:lvlJc w:val="left"/>
      <w:pPr>
        <w:ind w:left="858" w:hanging="159"/>
      </w:pPr>
      <w:rPr>
        <w:rFonts w:hint="default"/>
        <w:lang w:val="en-gb" w:eastAsia="en-gb" w:bidi="en-gb"/>
      </w:rPr>
    </w:lvl>
    <w:lvl w:ilvl="3">
      <w:start w:val="0"/>
      <w:numFmt w:val="bullet"/>
      <w:lvlText w:val="•"/>
      <w:lvlJc w:val="left"/>
      <w:pPr>
        <w:ind w:left="1157" w:hanging="159"/>
      </w:pPr>
      <w:rPr>
        <w:rFonts w:hint="default"/>
        <w:lang w:val="en-gb" w:eastAsia="en-gb" w:bidi="en-gb"/>
      </w:rPr>
    </w:lvl>
    <w:lvl w:ilvl="4">
      <w:start w:val="0"/>
      <w:numFmt w:val="bullet"/>
      <w:lvlText w:val="•"/>
      <w:lvlJc w:val="left"/>
      <w:pPr>
        <w:ind w:left="1456" w:hanging="159"/>
      </w:pPr>
      <w:rPr>
        <w:rFonts w:hint="default"/>
        <w:lang w:val="en-gb" w:eastAsia="en-gb" w:bidi="en-gb"/>
      </w:rPr>
    </w:lvl>
    <w:lvl w:ilvl="5">
      <w:start w:val="0"/>
      <w:numFmt w:val="bullet"/>
      <w:lvlText w:val="•"/>
      <w:lvlJc w:val="left"/>
      <w:pPr>
        <w:ind w:left="1755" w:hanging="159"/>
      </w:pPr>
      <w:rPr>
        <w:rFonts w:hint="default"/>
        <w:lang w:val="en-gb" w:eastAsia="en-gb" w:bidi="en-gb"/>
      </w:rPr>
    </w:lvl>
    <w:lvl w:ilvl="6">
      <w:start w:val="0"/>
      <w:numFmt w:val="bullet"/>
      <w:lvlText w:val="•"/>
      <w:lvlJc w:val="left"/>
      <w:pPr>
        <w:ind w:left="2054" w:hanging="159"/>
      </w:pPr>
      <w:rPr>
        <w:rFonts w:hint="default"/>
        <w:lang w:val="en-gb" w:eastAsia="en-gb" w:bidi="en-gb"/>
      </w:rPr>
    </w:lvl>
    <w:lvl w:ilvl="7">
      <w:start w:val="0"/>
      <w:numFmt w:val="bullet"/>
      <w:lvlText w:val="•"/>
      <w:lvlJc w:val="left"/>
      <w:pPr>
        <w:ind w:left="2353" w:hanging="159"/>
      </w:pPr>
      <w:rPr>
        <w:rFonts w:hint="default"/>
        <w:lang w:val="en-gb" w:eastAsia="en-gb" w:bidi="en-gb"/>
      </w:rPr>
    </w:lvl>
    <w:lvl w:ilvl="8">
      <w:start w:val="0"/>
      <w:numFmt w:val="bullet"/>
      <w:lvlText w:val="•"/>
      <w:lvlJc w:val="left"/>
      <w:pPr>
        <w:ind w:left="2652" w:hanging="159"/>
      </w:pPr>
      <w:rPr>
        <w:rFonts w:hint="default"/>
        <w:lang w:val="en-gb" w:eastAsia="en-gb" w:bidi="en-gb"/>
      </w:rPr>
    </w:lvl>
  </w:abstractNum>
  <w:abstractNum w:abstractNumId="8">
    <w:multiLevelType w:val="hybridMultilevel"/>
    <w:lvl w:ilvl="0">
      <w:start w:val="0"/>
      <w:numFmt w:val="bullet"/>
      <w:lvlText w:val="◻"/>
      <w:lvlJc w:val="left"/>
      <w:pPr>
        <w:ind w:left="266" w:hanging="159"/>
      </w:pPr>
      <w:rPr>
        <w:rFonts w:hint="default" w:ascii="Symbol" w:hAnsi="Symbol" w:eastAsia="Symbol" w:cs="Symbol"/>
        <w:w w:val="100"/>
        <w:sz w:val="18"/>
        <w:szCs w:val="18"/>
        <w:lang w:val="en-gb" w:eastAsia="en-gb" w:bidi="en-gb"/>
      </w:rPr>
    </w:lvl>
    <w:lvl w:ilvl="1">
      <w:start w:val="0"/>
      <w:numFmt w:val="bullet"/>
      <w:lvlText w:val="•"/>
      <w:lvlJc w:val="left"/>
      <w:pPr>
        <w:ind w:left="487" w:hanging="159"/>
      </w:pPr>
      <w:rPr>
        <w:rFonts w:hint="default"/>
        <w:lang w:val="en-gb" w:eastAsia="en-gb" w:bidi="en-gb"/>
      </w:rPr>
    </w:lvl>
    <w:lvl w:ilvl="2">
      <w:start w:val="0"/>
      <w:numFmt w:val="bullet"/>
      <w:lvlText w:val="•"/>
      <w:lvlJc w:val="left"/>
      <w:pPr>
        <w:ind w:left="715" w:hanging="159"/>
      </w:pPr>
      <w:rPr>
        <w:rFonts w:hint="default"/>
        <w:lang w:val="en-gb" w:eastAsia="en-gb" w:bidi="en-gb"/>
      </w:rPr>
    </w:lvl>
    <w:lvl w:ilvl="3">
      <w:start w:val="0"/>
      <w:numFmt w:val="bullet"/>
      <w:lvlText w:val="•"/>
      <w:lvlJc w:val="left"/>
      <w:pPr>
        <w:ind w:left="943" w:hanging="159"/>
      </w:pPr>
      <w:rPr>
        <w:rFonts w:hint="default"/>
        <w:lang w:val="en-gb" w:eastAsia="en-gb" w:bidi="en-gb"/>
      </w:rPr>
    </w:lvl>
    <w:lvl w:ilvl="4">
      <w:start w:val="0"/>
      <w:numFmt w:val="bullet"/>
      <w:lvlText w:val="•"/>
      <w:lvlJc w:val="left"/>
      <w:pPr>
        <w:ind w:left="1171" w:hanging="159"/>
      </w:pPr>
      <w:rPr>
        <w:rFonts w:hint="default"/>
        <w:lang w:val="en-gb" w:eastAsia="en-gb" w:bidi="en-gb"/>
      </w:rPr>
    </w:lvl>
    <w:lvl w:ilvl="5">
      <w:start w:val="0"/>
      <w:numFmt w:val="bullet"/>
      <w:lvlText w:val="•"/>
      <w:lvlJc w:val="left"/>
      <w:pPr>
        <w:ind w:left="1399" w:hanging="159"/>
      </w:pPr>
      <w:rPr>
        <w:rFonts w:hint="default"/>
        <w:lang w:val="en-gb" w:eastAsia="en-gb" w:bidi="en-gb"/>
      </w:rPr>
    </w:lvl>
    <w:lvl w:ilvl="6">
      <w:start w:val="0"/>
      <w:numFmt w:val="bullet"/>
      <w:lvlText w:val="•"/>
      <w:lvlJc w:val="left"/>
      <w:pPr>
        <w:ind w:left="1626" w:hanging="159"/>
      </w:pPr>
      <w:rPr>
        <w:rFonts w:hint="default"/>
        <w:lang w:val="en-gb" w:eastAsia="en-gb" w:bidi="en-gb"/>
      </w:rPr>
    </w:lvl>
    <w:lvl w:ilvl="7">
      <w:start w:val="0"/>
      <w:numFmt w:val="bullet"/>
      <w:lvlText w:val="•"/>
      <w:lvlJc w:val="left"/>
      <w:pPr>
        <w:ind w:left="1854" w:hanging="159"/>
      </w:pPr>
      <w:rPr>
        <w:rFonts w:hint="default"/>
        <w:lang w:val="en-gb" w:eastAsia="en-gb" w:bidi="en-gb"/>
      </w:rPr>
    </w:lvl>
    <w:lvl w:ilvl="8">
      <w:start w:val="0"/>
      <w:numFmt w:val="bullet"/>
      <w:lvlText w:val="•"/>
      <w:lvlJc w:val="left"/>
      <w:pPr>
        <w:ind w:left="2082" w:hanging="159"/>
      </w:pPr>
      <w:rPr>
        <w:rFonts w:hint="default"/>
        <w:lang w:val="en-gb" w:eastAsia="en-gb" w:bidi="en-gb"/>
      </w:rPr>
    </w:lvl>
  </w:abstractNum>
  <w:abstractNum w:abstractNumId="7">
    <w:multiLevelType w:val="hybridMultilevel"/>
    <w:lvl w:ilvl="0">
      <w:start w:val="1"/>
      <w:numFmt w:val="decimal"/>
      <w:lvlText w:val="%1."/>
      <w:lvlJc w:val="left"/>
      <w:pPr>
        <w:ind w:left="1388" w:hanging="568"/>
        <w:jc w:val="left"/>
      </w:pPr>
      <w:rPr>
        <w:rFonts w:hint="default" w:ascii="Arial" w:hAnsi="Arial" w:eastAsia="Arial" w:cs="Arial"/>
        <w:w w:val="100"/>
        <w:sz w:val="20"/>
        <w:szCs w:val="20"/>
        <w:lang w:val="en-gb" w:eastAsia="en-gb" w:bidi="en-gb"/>
      </w:rPr>
    </w:lvl>
    <w:lvl w:ilvl="1">
      <w:start w:val="0"/>
      <w:numFmt w:val="bullet"/>
      <w:lvlText w:val="•"/>
      <w:lvlJc w:val="left"/>
      <w:pPr>
        <w:ind w:left="2412" w:hanging="568"/>
      </w:pPr>
      <w:rPr>
        <w:rFonts w:hint="default"/>
        <w:lang w:val="en-gb" w:eastAsia="en-gb" w:bidi="en-gb"/>
      </w:rPr>
    </w:lvl>
    <w:lvl w:ilvl="2">
      <w:start w:val="0"/>
      <w:numFmt w:val="bullet"/>
      <w:lvlText w:val="•"/>
      <w:lvlJc w:val="left"/>
      <w:pPr>
        <w:ind w:left="3444" w:hanging="568"/>
      </w:pPr>
      <w:rPr>
        <w:rFonts w:hint="default"/>
        <w:lang w:val="en-gb" w:eastAsia="en-gb" w:bidi="en-gb"/>
      </w:rPr>
    </w:lvl>
    <w:lvl w:ilvl="3">
      <w:start w:val="0"/>
      <w:numFmt w:val="bullet"/>
      <w:lvlText w:val="•"/>
      <w:lvlJc w:val="left"/>
      <w:pPr>
        <w:ind w:left="4476" w:hanging="568"/>
      </w:pPr>
      <w:rPr>
        <w:rFonts w:hint="default"/>
        <w:lang w:val="en-gb" w:eastAsia="en-gb" w:bidi="en-gb"/>
      </w:rPr>
    </w:lvl>
    <w:lvl w:ilvl="4">
      <w:start w:val="0"/>
      <w:numFmt w:val="bullet"/>
      <w:lvlText w:val="•"/>
      <w:lvlJc w:val="left"/>
      <w:pPr>
        <w:ind w:left="5508" w:hanging="568"/>
      </w:pPr>
      <w:rPr>
        <w:rFonts w:hint="default"/>
        <w:lang w:val="en-gb" w:eastAsia="en-gb" w:bidi="en-gb"/>
      </w:rPr>
    </w:lvl>
    <w:lvl w:ilvl="5">
      <w:start w:val="0"/>
      <w:numFmt w:val="bullet"/>
      <w:lvlText w:val="•"/>
      <w:lvlJc w:val="left"/>
      <w:pPr>
        <w:ind w:left="6540" w:hanging="568"/>
      </w:pPr>
      <w:rPr>
        <w:rFonts w:hint="default"/>
        <w:lang w:val="en-gb" w:eastAsia="en-gb" w:bidi="en-gb"/>
      </w:rPr>
    </w:lvl>
    <w:lvl w:ilvl="6">
      <w:start w:val="0"/>
      <w:numFmt w:val="bullet"/>
      <w:lvlText w:val="•"/>
      <w:lvlJc w:val="left"/>
      <w:pPr>
        <w:ind w:left="7572" w:hanging="568"/>
      </w:pPr>
      <w:rPr>
        <w:rFonts w:hint="default"/>
        <w:lang w:val="en-gb" w:eastAsia="en-gb" w:bidi="en-gb"/>
      </w:rPr>
    </w:lvl>
    <w:lvl w:ilvl="7">
      <w:start w:val="0"/>
      <w:numFmt w:val="bullet"/>
      <w:lvlText w:val="•"/>
      <w:lvlJc w:val="left"/>
      <w:pPr>
        <w:ind w:left="8604" w:hanging="568"/>
      </w:pPr>
      <w:rPr>
        <w:rFonts w:hint="default"/>
        <w:lang w:val="en-gb" w:eastAsia="en-gb" w:bidi="en-gb"/>
      </w:rPr>
    </w:lvl>
    <w:lvl w:ilvl="8">
      <w:start w:val="0"/>
      <w:numFmt w:val="bullet"/>
      <w:lvlText w:val="•"/>
      <w:lvlJc w:val="left"/>
      <w:pPr>
        <w:ind w:left="9636" w:hanging="568"/>
      </w:pPr>
      <w:rPr>
        <w:rFonts w:hint="default"/>
        <w:lang w:val="en-gb" w:eastAsia="en-gb" w:bidi="en-gb"/>
      </w:rPr>
    </w:lvl>
  </w:abstractNum>
  <w:abstractNum w:abstractNumId="6">
    <w:multiLevelType w:val="hybridMultilevel"/>
    <w:lvl w:ilvl="0">
      <w:start w:val="1"/>
      <w:numFmt w:val="decimal"/>
      <w:lvlText w:val="%1."/>
      <w:lvlJc w:val="left"/>
      <w:pPr>
        <w:ind w:left="1388" w:hanging="383"/>
        <w:jc w:val="left"/>
      </w:pPr>
      <w:rPr>
        <w:rFonts w:hint="default" w:ascii="Arial" w:hAnsi="Arial" w:eastAsia="Arial" w:cs="Arial"/>
        <w:b/>
        <w:bCs/>
        <w:w w:val="100"/>
        <w:sz w:val="20"/>
        <w:szCs w:val="20"/>
        <w:lang w:val="en-gb" w:eastAsia="en-gb" w:bidi="en-gb"/>
      </w:rPr>
    </w:lvl>
    <w:lvl w:ilvl="1">
      <w:start w:val="0"/>
      <w:numFmt w:val="bullet"/>
      <w:lvlText w:val=""/>
      <w:lvlJc w:val="left"/>
      <w:pPr>
        <w:ind w:left="1529" w:hanging="360"/>
      </w:pPr>
      <w:rPr>
        <w:rFonts w:hint="default" w:ascii="Symbol" w:hAnsi="Symbol" w:eastAsia="Symbol" w:cs="Symbol"/>
        <w:w w:val="100"/>
        <w:sz w:val="20"/>
        <w:szCs w:val="20"/>
        <w:lang w:val="en-gb" w:eastAsia="en-gb" w:bidi="en-gb"/>
      </w:rPr>
    </w:lvl>
    <w:lvl w:ilvl="2">
      <w:start w:val="0"/>
      <w:numFmt w:val="bullet"/>
      <w:lvlText w:val="•"/>
      <w:lvlJc w:val="left"/>
      <w:pPr>
        <w:ind w:left="2651" w:hanging="360"/>
      </w:pPr>
      <w:rPr>
        <w:rFonts w:hint="default"/>
        <w:lang w:val="en-gb" w:eastAsia="en-gb" w:bidi="en-gb"/>
      </w:rPr>
    </w:lvl>
    <w:lvl w:ilvl="3">
      <w:start w:val="0"/>
      <w:numFmt w:val="bullet"/>
      <w:lvlText w:val="•"/>
      <w:lvlJc w:val="left"/>
      <w:pPr>
        <w:ind w:left="3782" w:hanging="360"/>
      </w:pPr>
      <w:rPr>
        <w:rFonts w:hint="default"/>
        <w:lang w:val="en-gb" w:eastAsia="en-gb" w:bidi="en-gb"/>
      </w:rPr>
    </w:lvl>
    <w:lvl w:ilvl="4">
      <w:start w:val="0"/>
      <w:numFmt w:val="bullet"/>
      <w:lvlText w:val="•"/>
      <w:lvlJc w:val="left"/>
      <w:pPr>
        <w:ind w:left="4913" w:hanging="360"/>
      </w:pPr>
      <w:rPr>
        <w:rFonts w:hint="default"/>
        <w:lang w:val="en-gb" w:eastAsia="en-gb" w:bidi="en-gb"/>
      </w:rPr>
    </w:lvl>
    <w:lvl w:ilvl="5">
      <w:start w:val="0"/>
      <w:numFmt w:val="bullet"/>
      <w:lvlText w:val="•"/>
      <w:lvlJc w:val="left"/>
      <w:pPr>
        <w:ind w:left="6044" w:hanging="360"/>
      </w:pPr>
      <w:rPr>
        <w:rFonts w:hint="default"/>
        <w:lang w:val="en-gb" w:eastAsia="en-gb" w:bidi="en-gb"/>
      </w:rPr>
    </w:lvl>
    <w:lvl w:ilvl="6">
      <w:start w:val="0"/>
      <w:numFmt w:val="bullet"/>
      <w:lvlText w:val="•"/>
      <w:lvlJc w:val="left"/>
      <w:pPr>
        <w:ind w:left="7175" w:hanging="360"/>
      </w:pPr>
      <w:rPr>
        <w:rFonts w:hint="default"/>
        <w:lang w:val="en-gb" w:eastAsia="en-gb" w:bidi="en-gb"/>
      </w:rPr>
    </w:lvl>
    <w:lvl w:ilvl="7">
      <w:start w:val="0"/>
      <w:numFmt w:val="bullet"/>
      <w:lvlText w:val="•"/>
      <w:lvlJc w:val="left"/>
      <w:pPr>
        <w:ind w:left="8306" w:hanging="360"/>
      </w:pPr>
      <w:rPr>
        <w:rFonts w:hint="default"/>
        <w:lang w:val="en-gb" w:eastAsia="en-gb" w:bidi="en-gb"/>
      </w:rPr>
    </w:lvl>
    <w:lvl w:ilvl="8">
      <w:start w:val="0"/>
      <w:numFmt w:val="bullet"/>
      <w:lvlText w:val="•"/>
      <w:lvlJc w:val="left"/>
      <w:pPr>
        <w:ind w:left="9438" w:hanging="360"/>
      </w:pPr>
      <w:rPr>
        <w:rFonts w:hint="default"/>
        <w:lang w:val="en-gb" w:eastAsia="en-gb" w:bidi="en-gb"/>
      </w:rPr>
    </w:lvl>
  </w:abstractNum>
  <w:abstractNum w:abstractNumId="5">
    <w:multiLevelType w:val="hybridMultilevel"/>
    <w:lvl w:ilvl="0">
      <w:start w:val="2"/>
      <w:numFmt w:val="decimal"/>
      <w:lvlText w:val="%1"/>
      <w:lvlJc w:val="left"/>
      <w:pPr>
        <w:ind w:left="1012" w:hanging="334"/>
        <w:jc w:val="left"/>
      </w:pPr>
      <w:rPr>
        <w:rFonts w:hint="default"/>
        <w:lang w:val="en-gb" w:eastAsia="en-gb" w:bidi="en-gb"/>
      </w:rPr>
    </w:lvl>
    <w:lvl w:ilvl="1">
      <w:start w:val="5"/>
      <w:numFmt w:val="decimal"/>
      <w:lvlText w:val="%1.%2"/>
      <w:lvlJc w:val="left"/>
      <w:pPr>
        <w:ind w:left="1012" w:hanging="334"/>
        <w:jc w:val="left"/>
      </w:pPr>
      <w:rPr>
        <w:rFonts w:hint="default" w:ascii="Arial" w:hAnsi="Arial" w:eastAsia="Arial" w:cs="Arial"/>
        <w:w w:val="100"/>
        <w:sz w:val="20"/>
        <w:szCs w:val="20"/>
        <w:lang w:val="en-gb" w:eastAsia="en-gb" w:bidi="en-gb"/>
      </w:rPr>
    </w:lvl>
    <w:lvl w:ilvl="2">
      <w:start w:val="0"/>
      <w:numFmt w:val="bullet"/>
      <w:lvlText w:val=""/>
      <w:lvlJc w:val="left"/>
      <w:pPr>
        <w:ind w:left="1388" w:hanging="350"/>
      </w:pPr>
      <w:rPr>
        <w:rFonts w:hint="default"/>
        <w:w w:val="129"/>
        <w:lang w:val="en-gb" w:eastAsia="en-gb" w:bidi="en-gb"/>
      </w:rPr>
    </w:lvl>
    <w:lvl w:ilvl="3">
      <w:start w:val="0"/>
      <w:numFmt w:val="bullet"/>
      <w:lvlText w:val="•"/>
      <w:lvlJc w:val="left"/>
      <w:pPr>
        <w:ind w:left="3673" w:hanging="350"/>
      </w:pPr>
      <w:rPr>
        <w:rFonts w:hint="default"/>
        <w:lang w:val="en-gb" w:eastAsia="en-gb" w:bidi="en-gb"/>
      </w:rPr>
    </w:lvl>
    <w:lvl w:ilvl="4">
      <w:start w:val="0"/>
      <w:numFmt w:val="bullet"/>
      <w:lvlText w:val="•"/>
      <w:lvlJc w:val="left"/>
      <w:pPr>
        <w:ind w:left="4820" w:hanging="350"/>
      </w:pPr>
      <w:rPr>
        <w:rFonts w:hint="default"/>
        <w:lang w:val="en-gb" w:eastAsia="en-gb" w:bidi="en-gb"/>
      </w:rPr>
    </w:lvl>
    <w:lvl w:ilvl="5">
      <w:start w:val="0"/>
      <w:numFmt w:val="bullet"/>
      <w:lvlText w:val="•"/>
      <w:lvlJc w:val="left"/>
      <w:pPr>
        <w:ind w:left="5966" w:hanging="350"/>
      </w:pPr>
      <w:rPr>
        <w:rFonts w:hint="default"/>
        <w:lang w:val="en-gb" w:eastAsia="en-gb" w:bidi="en-gb"/>
      </w:rPr>
    </w:lvl>
    <w:lvl w:ilvl="6">
      <w:start w:val="0"/>
      <w:numFmt w:val="bullet"/>
      <w:lvlText w:val="•"/>
      <w:lvlJc w:val="left"/>
      <w:pPr>
        <w:ind w:left="7113" w:hanging="350"/>
      </w:pPr>
      <w:rPr>
        <w:rFonts w:hint="default"/>
        <w:lang w:val="en-gb" w:eastAsia="en-gb" w:bidi="en-gb"/>
      </w:rPr>
    </w:lvl>
    <w:lvl w:ilvl="7">
      <w:start w:val="0"/>
      <w:numFmt w:val="bullet"/>
      <w:lvlText w:val="•"/>
      <w:lvlJc w:val="left"/>
      <w:pPr>
        <w:ind w:left="8260" w:hanging="350"/>
      </w:pPr>
      <w:rPr>
        <w:rFonts w:hint="default"/>
        <w:lang w:val="en-gb" w:eastAsia="en-gb" w:bidi="en-gb"/>
      </w:rPr>
    </w:lvl>
    <w:lvl w:ilvl="8">
      <w:start w:val="0"/>
      <w:numFmt w:val="bullet"/>
      <w:lvlText w:val="•"/>
      <w:lvlJc w:val="left"/>
      <w:pPr>
        <w:ind w:left="9406" w:hanging="350"/>
      </w:pPr>
      <w:rPr>
        <w:rFonts w:hint="default"/>
        <w:lang w:val="en-gb" w:eastAsia="en-gb" w:bidi="en-gb"/>
      </w:rPr>
    </w:lvl>
  </w:abstractNum>
  <w:abstractNum w:abstractNumId="4">
    <w:multiLevelType w:val="hybridMultilevel"/>
    <w:lvl w:ilvl="0">
      <w:start w:val="1"/>
      <w:numFmt w:val="decimal"/>
      <w:lvlText w:val="%1."/>
      <w:lvlJc w:val="left"/>
      <w:pPr>
        <w:ind w:left="1398" w:hanging="360"/>
        <w:jc w:val="left"/>
      </w:pPr>
      <w:rPr>
        <w:rFonts w:hint="default" w:ascii="Arial" w:hAnsi="Arial" w:eastAsia="Arial" w:cs="Arial"/>
        <w:w w:val="100"/>
        <w:sz w:val="20"/>
        <w:szCs w:val="20"/>
        <w:lang w:val="en-gb" w:eastAsia="en-gb" w:bidi="en-gb"/>
      </w:rPr>
    </w:lvl>
    <w:lvl w:ilvl="1">
      <w:start w:val="0"/>
      <w:numFmt w:val="bullet"/>
      <w:lvlText w:val="•"/>
      <w:lvlJc w:val="left"/>
      <w:pPr>
        <w:ind w:left="2430" w:hanging="360"/>
      </w:pPr>
      <w:rPr>
        <w:rFonts w:hint="default"/>
        <w:lang w:val="en-gb" w:eastAsia="en-gb" w:bidi="en-gb"/>
      </w:rPr>
    </w:lvl>
    <w:lvl w:ilvl="2">
      <w:start w:val="0"/>
      <w:numFmt w:val="bullet"/>
      <w:lvlText w:val="•"/>
      <w:lvlJc w:val="left"/>
      <w:pPr>
        <w:ind w:left="3460" w:hanging="360"/>
      </w:pPr>
      <w:rPr>
        <w:rFonts w:hint="default"/>
        <w:lang w:val="en-gb" w:eastAsia="en-gb" w:bidi="en-gb"/>
      </w:rPr>
    </w:lvl>
    <w:lvl w:ilvl="3">
      <w:start w:val="0"/>
      <w:numFmt w:val="bullet"/>
      <w:lvlText w:val="•"/>
      <w:lvlJc w:val="left"/>
      <w:pPr>
        <w:ind w:left="4490" w:hanging="360"/>
      </w:pPr>
      <w:rPr>
        <w:rFonts w:hint="default"/>
        <w:lang w:val="en-gb" w:eastAsia="en-gb" w:bidi="en-gb"/>
      </w:rPr>
    </w:lvl>
    <w:lvl w:ilvl="4">
      <w:start w:val="0"/>
      <w:numFmt w:val="bullet"/>
      <w:lvlText w:val="•"/>
      <w:lvlJc w:val="left"/>
      <w:pPr>
        <w:ind w:left="5520" w:hanging="360"/>
      </w:pPr>
      <w:rPr>
        <w:rFonts w:hint="default"/>
        <w:lang w:val="en-gb" w:eastAsia="en-gb" w:bidi="en-gb"/>
      </w:rPr>
    </w:lvl>
    <w:lvl w:ilvl="5">
      <w:start w:val="0"/>
      <w:numFmt w:val="bullet"/>
      <w:lvlText w:val="•"/>
      <w:lvlJc w:val="left"/>
      <w:pPr>
        <w:ind w:left="6550" w:hanging="360"/>
      </w:pPr>
      <w:rPr>
        <w:rFonts w:hint="default"/>
        <w:lang w:val="en-gb" w:eastAsia="en-gb" w:bidi="en-gb"/>
      </w:rPr>
    </w:lvl>
    <w:lvl w:ilvl="6">
      <w:start w:val="0"/>
      <w:numFmt w:val="bullet"/>
      <w:lvlText w:val="•"/>
      <w:lvlJc w:val="left"/>
      <w:pPr>
        <w:ind w:left="7580" w:hanging="360"/>
      </w:pPr>
      <w:rPr>
        <w:rFonts w:hint="default"/>
        <w:lang w:val="en-gb" w:eastAsia="en-gb" w:bidi="en-gb"/>
      </w:rPr>
    </w:lvl>
    <w:lvl w:ilvl="7">
      <w:start w:val="0"/>
      <w:numFmt w:val="bullet"/>
      <w:lvlText w:val="•"/>
      <w:lvlJc w:val="left"/>
      <w:pPr>
        <w:ind w:left="8610" w:hanging="360"/>
      </w:pPr>
      <w:rPr>
        <w:rFonts w:hint="default"/>
        <w:lang w:val="en-gb" w:eastAsia="en-gb" w:bidi="en-gb"/>
      </w:rPr>
    </w:lvl>
    <w:lvl w:ilvl="8">
      <w:start w:val="0"/>
      <w:numFmt w:val="bullet"/>
      <w:lvlText w:val="•"/>
      <w:lvlJc w:val="left"/>
      <w:pPr>
        <w:ind w:left="9640" w:hanging="360"/>
      </w:pPr>
      <w:rPr>
        <w:rFonts w:hint="default"/>
        <w:lang w:val="en-gb" w:eastAsia="en-gb" w:bidi="en-gb"/>
      </w:rPr>
    </w:lvl>
  </w:abstractNum>
  <w:abstractNum w:abstractNumId="3">
    <w:multiLevelType w:val="hybridMultilevel"/>
    <w:lvl w:ilvl="0">
      <w:start w:val="1"/>
      <w:numFmt w:val="decimal"/>
      <w:lvlText w:val="%1."/>
      <w:lvlJc w:val="left"/>
      <w:pPr>
        <w:ind w:left="1398" w:hanging="360"/>
        <w:jc w:val="left"/>
      </w:pPr>
      <w:rPr>
        <w:rFonts w:hint="default" w:ascii="Arial" w:hAnsi="Arial" w:eastAsia="Arial" w:cs="Arial"/>
        <w:w w:val="100"/>
        <w:sz w:val="20"/>
        <w:szCs w:val="20"/>
        <w:lang w:val="en-gb" w:eastAsia="en-gb" w:bidi="en-gb"/>
      </w:rPr>
    </w:lvl>
    <w:lvl w:ilvl="1">
      <w:start w:val="0"/>
      <w:numFmt w:val="bullet"/>
      <w:lvlText w:val="•"/>
      <w:lvlJc w:val="left"/>
      <w:pPr>
        <w:ind w:left="2430" w:hanging="360"/>
      </w:pPr>
      <w:rPr>
        <w:rFonts w:hint="default"/>
        <w:lang w:val="en-gb" w:eastAsia="en-gb" w:bidi="en-gb"/>
      </w:rPr>
    </w:lvl>
    <w:lvl w:ilvl="2">
      <w:start w:val="0"/>
      <w:numFmt w:val="bullet"/>
      <w:lvlText w:val="•"/>
      <w:lvlJc w:val="left"/>
      <w:pPr>
        <w:ind w:left="3460" w:hanging="360"/>
      </w:pPr>
      <w:rPr>
        <w:rFonts w:hint="default"/>
        <w:lang w:val="en-gb" w:eastAsia="en-gb" w:bidi="en-gb"/>
      </w:rPr>
    </w:lvl>
    <w:lvl w:ilvl="3">
      <w:start w:val="0"/>
      <w:numFmt w:val="bullet"/>
      <w:lvlText w:val="•"/>
      <w:lvlJc w:val="left"/>
      <w:pPr>
        <w:ind w:left="4490" w:hanging="360"/>
      </w:pPr>
      <w:rPr>
        <w:rFonts w:hint="default"/>
        <w:lang w:val="en-gb" w:eastAsia="en-gb" w:bidi="en-gb"/>
      </w:rPr>
    </w:lvl>
    <w:lvl w:ilvl="4">
      <w:start w:val="0"/>
      <w:numFmt w:val="bullet"/>
      <w:lvlText w:val="•"/>
      <w:lvlJc w:val="left"/>
      <w:pPr>
        <w:ind w:left="5520" w:hanging="360"/>
      </w:pPr>
      <w:rPr>
        <w:rFonts w:hint="default"/>
        <w:lang w:val="en-gb" w:eastAsia="en-gb" w:bidi="en-gb"/>
      </w:rPr>
    </w:lvl>
    <w:lvl w:ilvl="5">
      <w:start w:val="0"/>
      <w:numFmt w:val="bullet"/>
      <w:lvlText w:val="•"/>
      <w:lvlJc w:val="left"/>
      <w:pPr>
        <w:ind w:left="6550" w:hanging="360"/>
      </w:pPr>
      <w:rPr>
        <w:rFonts w:hint="default"/>
        <w:lang w:val="en-gb" w:eastAsia="en-gb" w:bidi="en-gb"/>
      </w:rPr>
    </w:lvl>
    <w:lvl w:ilvl="6">
      <w:start w:val="0"/>
      <w:numFmt w:val="bullet"/>
      <w:lvlText w:val="•"/>
      <w:lvlJc w:val="left"/>
      <w:pPr>
        <w:ind w:left="7580" w:hanging="360"/>
      </w:pPr>
      <w:rPr>
        <w:rFonts w:hint="default"/>
        <w:lang w:val="en-gb" w:eastAsia="en-gb" w:bidi="en-gb"/>
      </w:rPr>
    </w:lvl>
    <w:lvl w:ilvl="7">
      <w:start w:val="0"/>
      <w:numFmt w:val="bullet"/>
      <w:lvlText w:val="•"/>
      <w:lvlJc w:val="left"/>
      <w:pPr>
        <w:ind w:left="8610" w:hanging="360"/>
      </w:pPr>
      <w:rPr>
        <w:rFonts w:hint="default"/>
        <w:lang w:val="en-gb" w:eastAsia="en-gb" w:bidi="en-gb"/>
      </w:rPr>
    </w:lvl>
    <w:lvl w:ilvl="8">
      <w:start w:val="0"/>
      <w:numFmt w:val="bullet"/>
      <w:lvlText w:val="•"/>
      <w:lvlJc w:val="left"/>
      <w:pPr>
        <w:ind w:left="9640" w:hanging="360"/>
      </w:pPr>
      <w:rPr>
        <w:rFonts w:hint="default"/>
        <w:lang w:val="en-gb" w:eastAsia="en-gb" w:bidi="en-gb"/>
      </w:rPr>
    </w:lvl>
  </w:abstractNum>
  <w:abstractNum w:abstractNumId="2">
    <w:multiLevelType w:val="hybridMultilevel"/>
    <w:lvl w:ilvl="0">
      <w:start w:val="1"/>
      <w:numFmt w:val="decimal"/>
      <w:lvlText w:val="%1."/>
      <w:lvlJc w:val="left"/>
      <w:pPr>
        <w:ind w:left="1392" w:hanging="358"/>
        <w:jc w:val="left"/>
      </w:pPr>
      <w:rPr>
        <w:rFonts w:hint="default" w:ascii="Arial" w:hAnsi="Arial" w:eastAsia="Arial" w:cs="Arial"/>
        <w:w w:val="100"/>
        <w:sz w:val="20"/>
        <w:szCs w:val="20"/>
        <w:lang w:val="en-gb" w:eastAsia="en-gb" w:bidi="en-gb"/>
      </w:rPr>
    </w:lvl>
    <w:lvl w:ilvl="1">
      <w:start w:val="0"/>
      <w:numFmt w:val="bullet"/>
      <w:lvlText w:val="•"/>
      <w:lvlJc w:val="left"/>
      <w:pPr>
        <w:ind w:left="2430" w:hanging="358"/>
      </w:pPr>
      <w:rPr>
        <w:rFonts w:hint="default"/>
        <w:lang w:val="en-gb" w:eastAsia="en-gb" w:bidi="en-gb"/>
      </w:rPr>
    </w:lvl>
    <w:lvl w:ilvl="2">
      <w:start w:val="0"/>
      <w:numFmt w:val="bullet"/>
      <w:lvlText w:val="•"/>
      <w:lvlJc w:val="left"/>
      <w:pPr>
        <w:ind w:left="3460" w:hanging="358"/>
      </w:pPr>
      <w:rPr>
        <w:rFonts w:hint="default"/>
        <w:lang w:val="en-gb" w:eastAsia="en-gb" w:bidi="en-gb"/>
      </w:rPr>
    </w:lvl>
    <w:lvl w:ilvl="3">
      <w:start w:val="0"/>
      <w:numFmt w:val="bullet"/>
      <w:lvlText w:val="•"/>
      <w:lvlJc w:val="left"/>
      <w:pPr>
        <w:ind w:left="4490" w:hanging="358"/>
      </w:pPr>
      <w:rPr>
        <w:rFonts w:hint="default"/>
        <w:lang w:val="en-gb" w:eastAsia="en-gb" w:bidi="en-gb"/>
      </w:rPr>
    </w:lvl>
    <w:lvl w:ilvl="4">
      <w:start w:val="0"/>
      <w:numFmt w:val="bullet"/>
      <w:lvlText w:val="•"/>
      <w:lvlJc w:val="left"/>
      <w:pPr>
        <w:ind w:left="5520" w:hanging="358"/>
      </w:pPr>
      <w:rPr>
        <w:rFonts w:hint="default"/>
        <w:lang w:val="en-gb" w:eastAsia="en-gb" w:bidi="en-gb"/>
      </w:rPr>
    </w:lvl>
    <w:lvl w:ilvl="5">
      <w:start w:val="0"/>
      <w:numFmt w:val="bullet"/>
      <w:lvlText w:val="•"/>
      <w:lvlJc w:val="left"/>
      <w:pPr>
        <w:ind w:left="6550" w:hanging="358"/>
      </w:pPr>
      <w:rPr>
        <w:rFonts w:hint="default"/>
        <w:lang w:val="en-gb" w:eastAsia="en-gb" w:bidi="en-gb"/>
      </w:rPr>
    </w:lvl>
    <w:lvl w:ilvl="6">
      <w:start w:val="0"/>
      <w:numFmt w:val="bullet"/>
      <w:lvlText w:val="•"/>
      <w:lvlJc w:val="left"/>
      <w:pPr>
        <w:ind w:left="7580" w:hanging="358"/>
      </w:pPr>
      <w:rPr>
        <w:rFonts w:hint="default"/>
        <w:lang w:val="en-gb" w:eastAsia="en-gb" w:bidi="en-gb"/>
      </w:rPr>
    </w:lvl>
    <w:lvl w:ilvl="7">
      <w:start w:val="0"/>
      <w:numFmt w:val="bullet"/>
      <w:lvlText w:val="•"/>
      <w:lvlJc w:val="left"/>
      <w:pPr>
        <w:ind w:left="8610" w:hanging="358"/>
      </w:pPr>
      <w:rPr>
        <w:rFonts w:hint="default"/>
        <w:lang w:val="en-gb" w:eastAsia="en-gb" w:bidi="en-gb"/>
      </w:rPr>
    </w:lvl>
    <w:lvl w:ilvl="8">
      <w:start w:val="0"/>
      <w:numFmt w:val="bullet"/>
      <w:lvlText w:val="•"/>
      <w:lvlJc w:val="left"/>
      <w:pPr>
        <w:ind w:left="9640" w:hanging="358"/>
      </w:pPr>
      <w:rPr>
        <w:rFonts w:hint="default"/>
        <w:lang w:val="en-gb" w:eastAsia="en-gb" w:bidi="en-gb"/>
      </w:rPr>
    </w:lvl>
  </w:abstractNum>
  <w:abstractNum w:abstractNumId="1">
    <w:multiLevelType w:val="hybridMultilevel"/>
    <w:lvl w:ilvl="0">
      <w:start w:val="1"/>
      <w:numFmt w:val="decimal"/>
      <w:lvlText w:val="%1."/>
      <w:lvlJc w:val="left"/>
      <w:pPr>
        <w:ind w:left="1398" w:hanging="360"/>
        <w:jc w:val="left"/>
      </w:pPr>
      <w:rPr>
        <w:rFonts w:hint="default" w:ascii="Arial" w:hAnsi="Arial" w:eastAsia="Arial" w:cs="Arial"/>
        <w:w w:val="100"/>
        <w:sz w:val="20"/>
        <w:szCs w:val="20"/>
        <w:lang w:val="en-gb" w:eastAsia="en-gb" w:bidi="en-gb"/>
      </w:rPr>
    </w:lvl>
    <w:lvl w:ilvl="1">
      <w:start w:val="0"/>
      <w:numFmt w:val="bullet"/>
      <w:lvlText w:val="•"/>
      <w:lvlJc w:val="left"/>
      <w:pPr>
        <w:ind w:left="2430" w:hanging="360"/>
      </w:pPr>
      <w:rPr>
        <w:rFonts w:hint="default"/>
        <w:lang w:val="en-gb" w:eastAsia="en-gb" w:bidi="en-gb"/>
      </w:rPr>
    </w:lvl>
    <w:lvl w:ilvl="2">
      <w:start w:val="0"/>
      <w:numFmt w:val="bullet"/>
      <w:lvlText w:val="•"/>
      <w:lvlJc w:val="left"/>
      <w:pPr>
        <w:ind w:left="3460" w:hanging="360"/>
      </w:pPr>
      <w:rPr>
        <w:rFonts w:hint="default"/>
        <w:lang w:val="en-gb" w:eastAsia="en-gb" w:bidi="en-gb"/>
      </w:rPr>
    </w:lvl>
    <w:lvl w:ilvl="3">
      <w:start w:val="0"/>
      <w:numFmt w:val="bullet"/>
      <w:lvlText w:val="•"/>
      <w:lvlJc w:val="left"/>
      <w:pPr>
        <w:ind w:left="4490" w:hanging="360"/>
      </w:pPr>
      <w:rPr>
        <w:rFonts w:hint="default"/>
        <w:lang w:val="en-gb" w:eastAsia="en-gb" w:bidi="en-gb"/>
      </w:rPr>
    </w:lvl>
    <w:lvl w:ilvl="4">
      <w:start w:val="0"/>
      <w:numFmt w:val="bullet"/>
      <w:lvlText w:val="•"/>
      <w:lvlJc w:val="left"/>
      <w:pPr>
        <w:ind w:left="5520" w:hanging="360"/>
      </w:pPr>
      <w:rPr>
        <w:rFonts w:hint="default"/>
        <w:lang w:val="en-gb" w:eastAsia="en-gb" w:bidi="en-gb"/>
      </w:rPr>
    </w:lvl>
    <w:lvl w:ilvl="5">
      <w:start w:val="0"/>
      <w:numFmt w:val="bullet"/>
      <w:lvlText w:val="•"/>
      <w:lvlJc w:val="left"/>
      <w:pPr>
        <w:ind w:left="6550" w:hanging="360"/>
      </w:pPr>
      <w:rPr>
        <w:rFonts w:hint="default"/>
        <w:lang w:val="en-gb" w:eastAsia="en-gb" w:bidi="en-gb"/>
      </w:rPr>
    </w:lvl>
    <w:lvl w:ilvl="6">
      <w:start w:val="0"/>
      <w:numFmt w:val="bullet"/>
      <w:lvlText w:val="•"/>
      <w:lvlJc w:val="left"/>
      <w:pPr>
        <w:ind w:left="7580" w:hanging="360"/>
      </w:pPr>
      <w:rPr>
        <w:rFonts w:hint="default"/>
        <w:lang w:val="en-gb" w:eastAsia="en-gb" w:bidi="en-gb"/>
      </w:rPr>
    </w:lvl>
    <w:lvl w:ilvl="7">
      <w:start w:val="0"/>
      <w:numFmt w:val="bullet"/>
      <w:lvlText w:val="•"/>
      <w:lvlJc w:val="left"/>
      <w:pPr>
        <w:ind w:left="8610" w:hanging="360"/>
      </w:pPr>
      <w:rPr>
        <w:rFonts w:hint="default"/>
        <w:lang w:val="en-gb" w:eastAsia="en-gb" w:bidi="en-gb"/>
      </w:rPr>
    </w:lvl>
    <w:lvl w:ilvl="8">
      <w:start w:val="0"/>
      <w:numFmt w:val="bullet"/>
      <w:lvlText w:val="•"/>
      <w:lvlJc w:val="left"/>
      <w:pPr>
        <w:ind w:left="9640" w:hanging="360"/>
      </w:pPr>
      <w:rPr>
        <w:rFonts w:hint="default"/>
        <w:lang w:val="en-gb" w:eastAsia="en-gb" w:bidi="en-gb"/>
      </w:rPr>
    </w:lvl>
  </w:abstractNum>
  <w:abstractNum w:abstractNumId="0">
    <w:multiLevelType w:val="hybridMultilevel"/>
    <w:lvl w:ilvl="0">
      <w:start w:val="1"/>
      <w:numFmt w:val="decimal"/>
      <w:lvlText w:val="%1."/>
      <w:lvlJc w:val="left"/>
      <w:pPr>
        <w:ind w:left="1322" w:hanging="359"/>
        <w:jc w:val="left"/>
      </w:pPr>
      <w:rPr>
        <w:rFonts w:hint="default" w:ascii="Arial" w:hAnsi="Arial" w:eastAsia="Arial" w:cs="Arial"/>
        <w:w w:val="100"/>
        <w:sz w:val="20"/>
        <w:szCs w:val="20"/>
        <w:lang w:val="en-gb" w:eastAsia="en-gb" w:bidi="en-gb"/>
      </w:rPr>
    </w:lvl>
    <w:lvl w:ilvl="1">
      <w:start w:val="0"/>
      <w:numFmt w:val="bullet"/>
      <w:lvlText w:val="•"/>
      <w:lvlJc w:val="left"/>
      <w:pPr>
        <w:ind w:left="2358" w:hanging="359"/>
      </w:pPr>
      <w:rPr>
        <w:rFonts w:hint="default"/>
        <w:lang w:val="en-gb" w:eastAsia="en-gb" w:bidi="en-gb"/>
      </w:rPr>
    </w:lvl>
    <w:lvl w:ilvl="2">
      <w:start w:val="0"/>
      <w:numFmt w:val="bullet"/>
      <w:lvlText w:val="•"/>
      <w:lvlJc w:val="left"/>
      <w:pPr>
        <w:ind w:left="3396" w:hanging="359"/>
      </w:pPr>
      <w:rPr>
        <w:rFonts w:hint="default"/>
        <w:lang w:val="en-gb" w:eastAsia="en-gb" w:bidi="en-gb"/>
      </w:rPr>
    </w:lvl>
    <w:lvl w:ilvl="3">
      <w:start w:val="0"/>
      <w:numFmt w:val="bullet"/>
      <w:lvlText w:val="•"/>
      <w:lvlJc w:val="left"/>
      <w:pPr>
        <w:ind w:left="4434" w:hanging="359"/>
      </w:pPr>
      <w:rPr>
        <w:rFonts w:hint="default"/>
        <w:lang w:val="en-gb" w:eastAsia="en-gb" w:bidi="en-gb"/>
      </w:rPr>
    </w:lvl>
    <w:lvl w:ilvl="4">
      <w:start w:val="0"/>
      <w:numFmt w:val="bullet"/>
      <w:lvlText w:val="•"/>
      <w:lvlJc w:val="left"/>
      <w:pPr>
        <w:ind w:left="5472" w:hanging="359"/>
      </w:pPr>
      <w:rPr>
        <w:rFonts w:hint="default"/>
        <w:lang w:val="en-gb" w:eastAsia="en-gb" w:bidi="en-gb"/>
      </w:rPr>
    </w:lvl>
    <w:lvl w:ilvl="5">
      <w:start w:val="0"/>
      <w:numFmt w:val="bullet"/>
      <w:lvlText w:val="•"/>
      <w:lvlJc w:val="left"/>
      <w:pPr>
        <w:ind w:left="6510" w:hanging="359"/>
      </w:pPr>
      <w:rPr>
        <w:rFonts w:hint="default"/>
        <w:lang w:val="en-gb" w:eastAsia="en-gb" w:bidi="en-gb"/>
      </w:rPr>
    </w:lvl>
    <w:lvl w:ilvl="6">
      <w:start w:val="0"/>
      <w:numFmt w:val="bullet"/>
      <w:lvlText w:val="•"/>
      <w:lvlJc w:val="left"/>
      <w:pPr>
        <w:ind w:left="7548" w:hanging="359"/>
      </w:pPr>
      <w:rPr>
        <w:rFonts w:hint="default"/>
        <w:lang w:val="en-gb" w:eastAsia="en-gb" w:bidi="en-gb"/>
      </w:rPr>
    </w:lvl>
    <w:lvl w:ilvl="7">
      <w:start w:val="0"/>
      <w:numFmt w:val="bullet"/>
      <w:lvlText w:val="•"/>
      <w:lvlJc w:val="left"/>
      <w:pPr>
        <w:ind w:left="8586" w:hanging="359"/>
      </w:pPr>
      <w:rPr>
        <w:rFonts w:hint="default"/>
        <w:lang w:val="en-gb" w:eastAsia="en-gb" w:bidi="en-gb"/>
      </w:rPr>
    </w:lvl>
    <w:lvl w:ilvl="8">
      <w:start w:val="0"/>
      <w:numFmt w:val="bullet"/>
      <w:lvlText w:val="•"/>
      <w:lvlJc w:val="left"/>
      <w:pPr>
        <w:ind w:left="9624" w:hanging="359"/>
      </w:pPr>
      <w:rPr>
        <w:rFonts w:hint="default"/>
        <w:lang w:val="en-gb" w:eastAsia="en-gb" w:bidi="en-gb"/>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0"/>
      <w:szCs w:val="20"/>
      <w:lang w:val="en-gb" w:eastAsia="en-gb" w:bidi="en-gb"/>
    </w:rPr>
  </w:style>
  <w:style w:styleId="Heading1" w:type="paragraph">
    <w:name w:val="Heading 1"/>
    <w:basedOn w:val="Normal"/>
    <w:uiPriority w:val="1"/>
    <w:qFormat/>
    <w:pPr>
      <w:ind w:left="678"/>
      <w:outlineLvl w:val="1"/>
    </w:pPr>
    <w:rPr>
      <w:rFonts w:ascii="Arial" w:hAnsi="Arial" w:eastAsia="Arial" w:cs="Arial"/>
      <w:b/>
      <w:bCs/>
      <w:sz w:val="24"/>
      <w:szCs w:val="24"/>
      <w:lang w:val="en-gb" w:eastAsia="en-gb" w:bidi="en-gb"/>
    </w:rPr>
  </w:style>
  <w:style w:styleId="Heading2" w:type="paragraph">
    <w:name w:val="Heading 2"/>
    <w:basedOn w:val="Normal"/>
    <w:uiPriority w:val="1"/>
    <w:qFormat/>
    <w:pPr>
      <w:ind w:left="678"/>
      <w:outlineLvl w:val="2"/>
    </w:pPr>
    <w:rPr>
      <w:rFonts w:ascii="Arial" w:hAnsi="Arial" w:eastAsia="Arial" w:cs="Arial"/>
      <w:b/>
      <w:bCs/>
      <w:sz w:val="22"/>
      <w:szCs w:val="22"/>
      <w:u w:val="single" w:color="000000"/>
      <w:lang w:val="en-gb" w:eastAsia="en-gb" w:bidi="en-gb"/>
    </w:rPr>
  </w:style>
  <w:style w:styleId="Heading3" w:type="paragraph">
    <w:name w:val="Heading 3"/>
    <w:basedOn w:val="Normal"/>
    <w:uiPriority w:val="1"/>
    <w:qFormat/>
    <w:pPr>
      <w:ind w:left="678"/>
      <w:outlineLvl w:val="3"/>
    </w:pPr>
    <w:rPr>
      <w:rFonts w:ascii="Arial" w:hAnsi="Arial" w:eastAsia="Arial" w:cs="Arial"/>
      <w:b/>
      <w:bCs/>
      <w:sz w:val="20"/>
      <w:szCs w:val="20"/>
      <w:lang w:val="en-gb" w:eastAsia="en-gb" w:bidi="en-gb"/>
    </w:rPr>
  </w:style>
  <w:style w:styleId="ListParagraph" w:type="paragraph">
    <w:name w:val="List Paragraph"/>
    <w:basedOn w:val="Normal"/>
    <w:uiPriority w:val="1"/>
    <w:qFormat/>
    <w:pPr>
      <w:ind w:left="1388" w:hanging="360"/>
    </w:pPr>
    <w:rPr>
      <w:rFonts w:ascii="Arial" w:hAnsi="Arial" w:eastAsia="Arial" w:cs="Arial"/>
      <w:lang w:val="en-gb" w:eastAsia="en-gb" w:bidi="en-gb"/>
    </w:rPr>
  </w:style>
  <w:style w:styleId="TableParagraph" w:type="paragraph">
    <w:name w:val="Table Paragraph"/>
    <w:basedOn w:val="Normal"/>
    <w:uiPriority w:val="1"/>
    <w:qFormat/>
    <w:pPr>
      <w:ind w:left="108"/>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dmin.ncl-mon@nhs.net" TargetMode="External"/><Relationship Id="rId8" Type="http://schemas.openxmlformats.org/officeDocument/2006/relationships/hyperlink" Target="https://yellowcard.mhra.gov.uk/" TargetMode="External"/><Relationship Id="rId9" Type="http://schemas.openxmlformats.org/officeDocument/2006/relationships/hyperlink" Target="https://assets.publishing.service.gov.uk/media/5f6a0dd98fa8f55f288afbe2/Patient_Card.pdf" TargetMode="External"/><Relationship Id="rId10" Type="http://schemas.openxmlformats.org/officeDocument/2006/relationships/hyperlink" Target="https://www.medicines.org.uk/emc/" TargetMode="External"/><Relationship Id="rId11" Type="http://schemas.openxmlformats.org/officeDocument/2006/relationships/hyperlink" Target="https://www.gov.uk/drug-safety-update/methotrexate-once-weekly-for-autoimmune-diseases-new-measures-to-reduce-risk-of-fatal-overdose-due-to-inadvertent-daily-instead-of-weekly-dosing" TargetMode="External"/><Relationship Id="rId12" Type="http://schemas.openxmlformats.org/officeDocument/2006/relationships/hyperlink" Target="https://assets.publishing.service.gov.uk/media/5f6a0df1e90e073fd4e13173/Educational_Materials_13072020_v4.pdf" TargetMode="External"/><Relationship Id="rId13" Type="http://schemas.openxmlformats.org/officeDocument/2006/relationships/hyperlink" Target="http://www.medicines.org.uk/" TargetMode="External"/><Relationship Id="rId14" Type="http://schemas.openxmlformats.org/officeDocument/2006/relationships/hyperlink" Target="http://rheumatology.oxfordjournals.org/cgi/data/kel216a/DC1/1" TargetMode="External"/><Relationship Id="rId15" Type="http://schemas.openxmlformats.org/officeDocument/2006/relationships/hyperlink" Target="http://www.npsa.nhs.uk/" TargetMode="External"/><Relationship Id="rId16" Type="http://schemas.openxmlformats.org/officeDocument/2006/relationships/hyperlink" Target="http://www.cks.nhs.uk/dmards/management/scenario_methotrexate/methotrexate_monitoring_requirements" TargetMode="External"/><Relationship Id="rId17" Type="http://schemas.openxmlformats.org/officeDocument/2006/relationships/hyperlink" Target="http://bnf.org/bnf/bnf/current/" TargetMode="External"/><Relationship Id="rId18" Type="http://schemas.openxmlformats.org/officeDocument/2006/relationships/hyperlink" Target="http://www.gov.uk/" TargetMode="External"/><Relationship Id="rId19" Type="http://schemas.openxmlformats.org/officeDocument/2006/relationships/hyperlink" Target="http://www.cdc.gov/vaccines/hcp/vis/vis-statements/ppv.html" TargetMode="External"/><Relationship Id="rId20" Type="http://schemas.openxmlformats.org/officeDocument/2006/relationships/hyperlink" Target="http://www.bad.org.uk/shared/get-file.ashx?id=106&amp;amp;itemtype=document" TargetMode="External"/><Relationship Id="rId21" Type="http://schemas.openxmlformats.org/officeDocument/2006/relationships/hyperlink" Target="http://rheumatology.oxfordjournals.org/content/suppl/2016/01/09/kev404.DC1/kev404-Full_Guidelines.pdf" TargetMode="External"/><Relationship Id="rId22" Type="http://schemas.openxmlformats.org/officeDocument/2006/relationships/hyperlink" Target="http://www.ncl-mon.nhs.uk/documentation/ncl-jfc/minutes/" TargetMode="External"/><Relationship Id="rId23" Type="http://schemas.openxmlformats.org/officeDocument/2006/relationships/hyperlink" Target="mailto:rf-tr.rheumnurseshampstead@nhs.net" TargetMode="External"/><Relationship Id="rId24" Type="http://schemas.openxmlformats.org/officeDocument/2006/relationships/hyperlink" Target="mailto:rf.ibdnurses@nhs.net" TargetMode="External"/><Relationship Id="rId25" Type="http://schemas.openxmlformats.org/officeDocument/2006/relationships/hyperlink" Target="mailto:uclh.rheumatology@nhs.net" TargetMode="External"/><Relationship Id="rId26" Type="http://schemas.openxmlformats.org/officeDocument/2006/relationships/hyperlink" Target="mailto:uclh.dermatology@nhs.net" TargetMode="External"/><Relationship Id="rId27" Type="http://schemas.openxmlformats.org/officeDocument/2006/relationships/hyperlink" Target="mailto:IBD.Advice@uclh.nhs.uk"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RFL and UCLH</dc:creator>
  <dc:title>Methotrexate SCG</dc:title>
  <dcterms:created xsi:type="dcterms:W3CDTF">2024-01-08T12:55:02Z</dcterms:created>
  <dcterms:modified xsi:type="dcterms:W3CDTF">2024-01-08T12:55:02Z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Microsoft® Word 2019</vt:lpwstr>
  </property>
  <property fmtid="{D5CDD505-2E9C-101B-9397-08002B2CF9AE}" pid="4" name="LastSaved">
    <vt:filetime>2024-01-08T00:00:00Z</vt:filetime>
  </property>
</Properties>
</file>