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6ACEB" w14:textId="77777777" w:rsidR="006C1B9A" w:rsidRPr="003568EA" w:rsidRDefault="006C1B9A" w:rsidP="003568EA">
      <w:pPr>
        <w:pStyle w:val="NCLBodyText"/>
        <w:rPr>
          <w:b/>
        </w:rPr>
      </w:pPr>
    </w:p>
    <w:p w14:paraId="7A24AFC0" w14:textId="77777777" w:rsidR="006C1B9A" w:rsidRPr="006C1B9A" w:rsidRDefault="006C1B9A" w:rsidP="00AB2DF8">
      <w:pPr>
        <w:pStyle w:val="NCLBodyText"/>
        <w:jc w:val="right"/>
      </w:pPr>
      <w:r w:rsidRPr="006C1B9A">
        <w:rPr>
          <w:noProof/>
        </w:rPr>
        <w:drawing>
          <wp:inline distT="0" distB="0" distL="0" distR="0" wp14:anchorId="399E150E" wp14:editId="7B1B25DB">
            <wp:extent cx="889200" cy="360000"/>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colou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9200" cy="360000"/>
                    </a:xfrm>
                    <a:prstGeom prst="rect">
                      <a:avLst/>
                    </a:prstGeom>
                  </pic:spPr>
                </pic:pic>
              </a:graphicData>
            </a:graphic>
          </wp:inline>
        </w:drawing>
      </w:r>
    </w:p>
    <w:p w14:paraId="6C775235" w14:textId="77777777" w:rsidR="006C1B9A" w:rsidRPr="006C1B9A" w:rsidRDefault="006C1B9A" w:rsidP="00AB2DF8">
      <w:pPr>
        <w:pStyle w:val="NCLBodyText"/>
        <w:jc w:val="right"/>
        <w:rPr>
          <w:b/>
        </w:rPr>
      </w:pPr>
      <w:r w:rsidRPr="006C1B9A">
        <w:rPr>
          <w:b/>
        </w:rPr>
        <w:t>North Central London</w:t>
      </w:r>
    </w:p>
    <w:p w14:paraId="3899A607" w14:textId="77777777" w:rsidR="006C1B9A" w:rsidRPr="006C1B9A" w:rsidRDefault="006C1B9A" w:rsidP="00AB2DF8">
      <w:pPr>
        <w:pStyle w:val="NCLBodyText"/>
        <w:jc w:val="right"/>
        <w:rPr>
          <w:b/>
        </w:rPr>
      </w:pPr>
      <w:r w:rsidRPr="006C1B9A">
        <w:rPr>
          <w:b/>
        </w:rPr>
        <w:t>Joint Formulary Committee</w:t>
      </w:r>
    </w:p>
    <w:p w14:paraId="79832E3C" w14:textId="77777777" w:rsidR="006C1B9A" w:rsidRPr="006C1B9A" w:rsidRDefault="006C1B9A" w:rsidP="006C1B9A">
      <w:pPr>
        <w:pStyle w:val="NCLBodyText"/>
      </w:pPr>
    </w:p>
    <w:tbl>
      <w:tblPr>
        <w:tblpPr w:leftFromText="180" w:rightFromText="180" w:vertAnchor="text" w:horzAnchor="margin" w:tblpYSpec="top"/>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shd w:val="clear" w:color="auto" w:fill="548DD4" w:themeFill="text2" w:themeFillTint="99"/>
        <w:tblLook w:val="0000" w:firstRow="0" w:lastRow="0" w:firstColumn="0" w:lastColumn="0" w:noHBand="0" w:noVBand="0"/>
      </w:tblPr>
      <w:tblGrid>
        <w:gridCol w:w="9302"/>
      </w:tblGrid>
      <w:tr w:rsidR="006C1B9A" w:rsidRPr="006C1B9A" w14:paraId="6C408472" w14:textId="77777777" w:rsidTr="00F11531">
        <w:tc>
          <w:tcPr>
            <w:tcW w:w="9446" w:type="dxa"/>
            <w:tcBorders>
              <w:top w:val="single" w:sz="12" w:space="0" w:color="C0C0C0"/>
              <w:left w:val="single" w:sz="12" w:space="0" w:color="C0C0C0"/>
              <w:bottom w:val="single" w:sz="12" w:space="0" w:color="C0C0C0"/>
              <w:right w:val="single" w:sz="12" w:space="0" w:color="C0C0C0"/>
            </w:tcBorders>
            <w:shd w:val="clear" w:color="auto" w:fill="548DD4" w:themeFill="text2" w:themeFillTint="99"/>
            <w:tcMar>
              <w:top w:w="57" w:type="dxa"/>
              <w:left w:w="57" w:type="dxa"/>
              <w:bottom w:w="57" w:type="dxa"/>
              <w:right w:w="57" w:type="dxa"/>
            </w:tcMar>
            <w:vAlign w:val="center"/>
          </w:tcPr>
          <w:p w14:paraId="3891AFE1" w14:textId="77777777" w:rsidR="006C1B9A" w:rsidRPr="00B1024C" w:rsidRDefault="006C1B9A" w:rsidP="0046588B">
            <w:pPr>
              <w:pStyle w:val="NCLBodyText"/>
              <w:spacing w:before="0"/>
              <w:jc w:val="center"/>
              <w:rPr>
                <w:b/>
                <w:color w:val="FFFFFF" w:themeColor="background1"/>
                <w:sz w:val="32"/>
                <w:szCs w:val="32"/>
              </w:rPr>
            </w:pPr>
            <w:r w:rsidRPr="00B1024C">
              <w:rPr>
                <w:b/>
                <w:color w:val="FFFFFF" w:themeColor="background1"/>
                <w:sz w:val="32"/>
                <w:szCs w:val="32"/>
              </w:rPr>
              <w:t>Shared Care Guideline</w:t>
            </w:r>
          </w:p>
          <w:p w14:paraId="48151CC9" w14:textId="77777777" w:rsidR="006C1B9A" w:rsidRPr="00B1024C" w:rsidRDefault="00AB2DF8" w:rsidP="0046588B">
            <w:pPr>
              <w:pStyle w:val="NCLBodyText"/>
              <w:spacing w:before="0"/>
              <w:jc w:val="center"/>
              <w:rPr>
                <w:b/>
                <w:color w:val="FFFFFF" w:themeColor="background1"/>
                <w:sz w:val="32"/>
                <w:szCs w:val="32"/>
              </w:rPr>
            </w:pPr>
            <w:r w:rsidRPr="00B1024C">
              <w:rPr>
                <w:b/>
                <w:color w:val="FFFFFF" w:themeColor="background1"/>
                <w:sz w:val="32"/>
                <w:szCs w:val="32"/>
              </w:rPr>
              <w:t xml:space="preserve">Methadone for </w:t>
            </w:r>
            <w:r w:rsidR="006C1B9A" w:rsidRPr="00B1024C">
              <w:rPr>
                <w:b/>
                <w:color w:val="FFFFFF" w:themeColor="background1"/>
                <w:sz w:val="32"/>
                <w:szCs w:val="32"/>
              </w:rPr>
              <w:t xml:space="preserve">Treatment of </w:t>
            </w:r>
            <w:r w:rsidRPr="00B1024C">
              <w:rPr>
                <w:b/>
                <w:color w:val="FFFFFF" w:themeColor="background1"/>
                <w:sz w:val="32"/>
                <w:szCs w:val="32"/>
              </w:rPr>
              <w:t>Pain</w:t>
            </w:r>
          </w:p>
          <w:p w14:paraId="6CFE20E3" w14:textId="56026889" w:rsidR="00AB2DF8" w:rsidRPr="006C1B9A" w:rsidRDefault="00AB2DF8" w:rsidP="0046588B">
            <w:pPr>
              <w:pStyle w:val="NCLBodyText"/>
              <w:spacing w:before="0"/>
              <w:jc w:val="center"/>
              <w:rPr>
                <w:b/>
              </w:rPr>
            </w:pPr>
            <w:r w:rsidRPr="00B1024C">
              <w:rPr>
                <w:b/>
                <w:color w:val="FFFFFF" w:themeColor="background1"/>
                <w:sz w:val="32"/>
                <w:szCs w:val="32"/>
              </w:rPr>
              <w:t xml:space="preserve">In </w:t>
            </w:r>
            <w:r w:rsidR="009F32F0">
              <w:rPr>
                <w:b/>
                <w:color w:val="FFFFFF" w:themeColor="background1"/>
                <w:sz w:val="32"/>
                <w:szCs w:val="32"/>
              </w:rPr>
              <w:t xml:space="preserve">Adult </w:t>
            </w:r>
            <w:r w:rsidRPr="00B1024C">
              <w:rPr>
                <w:b/>
                <w:color w:val="FFFFFF" w:themeColor="background1"/>
                <w:sz w:val="32"/>
                <w:szCs w:val="32"/>
              </w:rPr>
              <w:t>Palliative Care</w:t>
            </w:r>
            <w:r w:rsidR="009F32F0">
              <w:rPr>
                <w:b/>
                <w:color w:val="FFFFFF" w:themeColor="background1"/>
                <w:sz w:val="32"/>
                <w:szCs w:val="32"/>
              </w:rPr>
              <w:t xml:space="preserve"> </w:t>
            </w:r>
          </w:p>
        </w:tc>
      </w:tr>
    </w:tbl>
    <w:p w14:paraId="0225FD7B" w14:textId="77777777" w:rsidR="003568EA" w:rsidRPr="003568EA" w:rsidRDefault="003568EA" w:rsidP="003568EA">
      <w:pPr>
        <w:pStyle w:val="NCLBodyText"/>
      </w:pPr>
    </w:p>
    <w:p w14:paraId="067A191A" w14:textId="77777777" w:rsidR="003568EA" w:rsidRPr="003568EA" w:rsidRDefault="003568EA" w:rsidP="003568EA">
      <w:pPr>
        <w:pStyle w:val="NCLBodyText"/>
      </w:pPr>
      <w:r w:rsidRPr="003568EA">
        <w:t>Dear GP</w:t>
      </w:r>
    </w:p>
    <w:p w14:paraId="15219D84" w14:textId="77777777" w:rsidR="003568EA" w:rsidRPr="003568EA" w:rsidRDefault="003568EA" w:rsidP="003568EA">
      <w:pPr>
        <w:pStyle w:val="NCLBodyText"/>
      </w:pPr>
      <w:r w:rsidRPr="003568EA">
        <w:t xml:space="preserve">The information in the shared care guideline has been developed in consultation with Primary Care and it has been agreed that </w:t>
      </w:r>
      <w:r w:rsidR="0085700C">
        <w:t xml:space="preserve">this medication </w:t>
      </w:r>
      <w:r w:rsidRPr="003568EA">
        <w:t xml:space="preserve">it is suitable for shared care. </w:t>
      </w:r>
    </w:p>
    <w:p w14:paraId="45A49BB9" w14:textId="77777777" w:rsidR="00355F26" w:rsidRDefault="003568EA" w:rsidP="00FA3D64">
      <w:pPr>
        <w:pStyle w:val="NCLBodyText"/>
      </w:pPr>
      <w:r w:rsidRPr="003568EA">
        <w:t>Sharing of care assumes communication between the specialist, GP</w:t>
      </w:r>
      <w:r w:rsidR="0085700C">
        <w:t>,</w:t>
      </w:r>
      <w:r w:rsidRPr="003568EA">
        <w:t xml:space="preserve"> and patient. The intention to share care should be explained to the patient by the Consultant when treatment is initiated. It is important that patients are consulted about treatment and </w:t>
      </w:r>
      <w:r w:rsidR="00CD04A7" w:rsidRPr="003568EA">
        <w:t>agree</w:t>
      </w:r>
      <w:r w:rsidRPr="003568EA">
        <w:t xml:space="preserve"> with it.</w:t>
      </w:r>
    </w:p>
    <w:p w14:paraId="56F6DD70" w14:textId="77777777" w:rsidR="006C1B9A" w:rsidRDefault="006C1B9A" w:rsidP="00FA3D64">
      <w:pPr>
        <w:pStyle w:val="NCLBodyText"/>
      </w:pPr>
    </w:p>
    <w:sdt>
      <w:sdtPr>
        <w:rPr>
          <w:rFonts w:ascii="Calibri" w:eastAsia="Times New Roman" w:hAnsi="Calibri" w:cs="Times New Roman"/>
          <w:b w:val="0"/>
          <w:bCs w:val="0"/>
          <w:i w:val="0"/>
          <w:iCs w:val="0"/>
          <w:color w:val="auto"/>
          <w:sz w:val="20"/>
          <w:szCs w:val="20"/>
        </w:rPr>
        <w:id w:val="-1904832221"/>
        <w:docPartObj>
          <w:docPartGallery w:val="Table of Contents"/>
          <w:docPartUnique/>
        </w:docPartObj>
      </w:sdtPr>
      <w:sdtContent>
        <w:p w14:paraId="7B857FA2" w14:textId="29E4BD34" w:rsidR="009C7AEA" w:rsidRDefault="009C7AEA" w:rsidP="008E0011">
          <w:pPr>
            <w:pStyle w:val="Heading4"/>
            <w:keepNext w:val="0"/>
            <w:keepLines w:val="0"/>
            <w:shd w:val="clear" w:color="auto" w:fill="548DD4"/>
            <w:tabs>
              <w:tab w:val="left" w:pos="-180"/>
            </w:tabs>
            <w:spacing w:before="0" w:line="240" w:lineRule="auto"/>
            <w:ind w:left="-540" w:right="-514"/>
            <w:jc w:val="center"/>
          </w:pPr>
          <w:r>
            <w:t>Contents</w:t>
          </w:r>
        </w:p>
        <w:p w14:paraId="3C10EB1B" w14:textId="37CD45D7" w:rsidR="00D35FEF" w:rsidRDefault="009C7AEA">
          <w:pPr>
            <w:pStyle w:val="TOC1"/>
            <w:tabs>
              <w:tab w:val="left" w:pos="660"/>
              <w:tab w:val="right" w:leader="dot" w:pos="9322"/>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128414117" w:history="1">
            <w:r w:rsidR="00D35FEF" w:rsidRPr="00EF6459">
              <w:rPr>
                <w:rStyle w:val="Hyperlink"/>
                <w:noProof/>
              </w:rPr>
              <w:t>1.0</w:t>
            </w:r>
            <w:r w:rsidR="00D35FEF">
              <w:rPr>
                <w:rFonts w:asciiTheme="minorHAnsi" w:eastAsiaTheme="minorEastAsia" w:hAnsiTheme="minorHAnsi" w:cstheme="minorBidi"/>
                <w:noProof/>
                <w:lang w:eastAsia="en-GB"/>
              </w:rPr>
              <w:tab/>
            </w:r>
            <w:r w:rsidR="00D35FEF" w:rsidRPr="00EF6459">
              <w:rPr>
                <w:rStyle w:val="Hyperlink"/>
                <w:noProof/>
              </w:rPr>
              <w:t>Introduction</w:t>
            </w:r>
            <w:r w:rsidR="00D35FEF">
              <w:rPr>
                <w:noProof/>
                <w:webHidden/>
              </w:rPr>
              <w:tab/>
            </w:r>
            <w:r w:rsidR="00D35FEF">
              <w:rPr>
                <w:noProof/>
                <w:webHidden/>
              </w:rPr>
              <w:fldChar w:fldCharType="begin"/>
            </w:r>
            <w:r w:rsidR="00D35FEF">
              <w:rPr>
                <w:noProof/>
                <w:webHidden/>
              </w:rPr>
              <w:instrText xml:space="preserve"> PAGEREF _Toc128414117 \h </w:instrText>
            </w:r>
            <w:r w:rsidR="00D35FEF">
              <w:rPr>
                <w:noProof/>
                <w:webHidden/>
              </w:rPr>
            </w:r>
            <w:r w:rsidR="00D35FEF">
              <w:rPr>
                <w:noProof/>
                <w:webHidden/>
              </w:rPr>
              <w:fldChar w:fldCharType="separate"/>
            </w:r>
            <w:r w:rsidR="00707532">
              <w:rPr>
                <w:noProof/>
                <w:webHidden/>
              </w:rPr>
              <w:t>2</w:t>
            </w:r>
            <w:r w:rsidR="00D35FEF">
              <w:rPr>
                <w:noProof/>
                <w:webHidden/>
              </w:rPr>
              <w:fldChar w:fldCharType="end"/>
            </w:r>
          </w:hyperlink>
        </w:p>
        <w:p w14:paraId="701841A6" w14:textId="31C9B25A" w:rsidR="00D35FEF" w:rsidRDefault="00000000">
          <w:pPr>
            <w:pStyle w:val="TOC1"/>
            <w:tabs>
              <w:tab w:val="left" w:pos="660"/>
              <w:tab w:val="right" w:leader="dot" w:pos="9322"/>
            </w:tabs>
            <w:rPr>
              <w:rFonts w:asciiTheme="minorHAnsi" w:eastAsiaTheme="minorEastAsia" w:hAnsiTheme="minorHAnsi" w:cstheme="minorBidi"/>
              <w:noProof/>
              <w:lang w:eastAsia="en-GB"/>
            </w:rPr>
          </w:pPr>
          <w:hyperlink w:anchor="_Toc128414118" w:history="1">
            <w:r w:rsidR="00D35FEF" w:rsidRPr="00EF6459">
              <w:rPr>
                <w:rStyle w:val="Hyperlink"/>
                <w:noProof/>
              </w:rPr>
              <w:t>2.0</w:t>
            </w:r>
            <w:r w:rsidR="00D35FEF">
              <w:rPr>
                <w:rFonts w:asciiTheme="minorHAnsi" w:eastAsiaTheme="minorEastAsia" w:hAnsiTheme="minorHAnsi" w:cstheme="minorBidi"/>
                <w:noProof/>
                <w:lang w:eastAsia="en-GB"/>
              </w:rPr>
              <w:tab/>
            </w:r>
            <w:r w:rsidR="00D35FEF" w:rsidRPr="00EF6459">
              <w:rPr>
                <w:rStyle w:val="Hyperlink"/>
                <w:noProof/>
              </w:rPr>
              <w:t>Shared Care criteria</w:t>
            </w:r>
            <w:r w:rsidR="00D35FEF">
              <w:rPr>
                <w:noProof/>
                <w:webHidden/>
              </w:rPr>
              <w:tab/>
            </w:r>
            <w:r w:rsidR="00D35FEF">
              <w:rPr>
                <w:noProof/>
                <w:webHidden/>
              </w:rPr>
              <w:fldChar w:fldCharType="begin"/>
            </w:r>
            <w:r w:rsidR="00D35FEF">
              <w:rPr>
                <w:noProof/>
                <w:webHidden/>
              </w:rPr>
              <w:instrText xml:space="preserve"> PAGEREF _Toc128414118 \h </w:instrText>
            </w:r>
            <w:r w:rsidR="00D35FEF">
              <w:rPr>
                <w:noProof/>
                <w:webHidden/>
              </w:rPr>
            </w:r>
            <w:r w:rsidR="00D35FEF">
              <w:rPr>
                <w:noProof/>
                <w:webHidden/>
              </w:rPr>
              <w:fldChar w:fldCharType="separate"/>
            </w:r>
            <w:r w:rsidR="00707532">
              <w:rPr>
                <w:noProof/>
                <w:webHidden/>
              </w:rPr>
              <w:t>2</w:t>
            </w:r>
            <w:r w:rsidR="00D35FEF">
              <w:rPr>
                <w:noProof/>
                <w:webHidden/>
              </w:rPr>
              <w:fldChar w:fldCharType="end"/>
            </w:r>
          </w:hyperlink>
        </w:p>
        <w:p w14:paraId="6D9B6B26" w14:textId="262428A6" w:rsidR="00D35FEF" w:rsidRDefault="00000000">
          <w:pPr>
            <w:pStyle w:val="TOC1"/>
            <w:tabs>
              <w:tab w:val="left" w:pos="660"/>
              <w:tab w:val="right" w:leader="dot" w:pos="9322"/>
            </w:tabs>
            <w:rPr>
              <w:rFonts w:asciiTheme="minorHAnsi" w:eastAsiaTheme="minorEastAsia" w:hAnsiTheme="minorHAnsi" w:cstheme="minorBidi"/>
              <w:noProof/>
              <w:lang w:eastAsia="en-GB"/>
            </w:rPr>
          </w:pPr>
          <w:hyperlink w:anchor="_Toc128414119" w:history="1">
            <w:r w:rsidR="00D35FEF" w:rsidRPr="00EF6459">
              <w:rPr>
                <w:rStyle w:val="Hyperlink"/>
                <w:noProof/>
              </w:rPr>
              <w:t>3.0</w:t>
            </w:r>
            <w:r w:rsidR="00D35FEF">
              <w:rPr>
                <w:rFonts w:asciiTheme="minorHAnsi" w:eastAsiaTheme="minorEastAsia" w:hAnsiTheme="minorHAnsi" w:cstheme="minorBidi"/>
                <w:noProof/>
                <w:lang w:eastAsia="en-GB"/>
              </w:rPr>
              <w:tab/>
            </w:r>
            <w:r w:rsidR="00D35FEF" w:rsidRPr="00EF6459">
              <w:rPr>
                <w:rStyle w:val="Hyperlink"/>
                <w:noProof/>
              </w:rPr>
              <w:t>Shared care responsibilities</w:t>
            </w:r>
            <w:r w:rsidR="00D35FEF">
              <w:rPr>
                <w:noProof/>
                <w:webHidden/>
              </w:rPr>
              <w:tab/>
            </w:r>
            <w:r w:rsidR="00D35FEF">
              <w:rPr>
                <w:noProof/>
                <w:webHidden/>
              </w:rPr>
              <w:fldChar w:fldCharType="begin"/>
            </w:r>
            <w:r w:rsidR="00D35FEF">
              <w:rPr>
                <w:noProof/>
                <w:webHidden/>
              </w:rPr>
              <w:instrText xml:space="preserve"> PAGEREF _Toc128414119 \h </w:instrText>
            </w:r>
            <w:r w:rsidR="00D35FEF">
              <w:rPr>
                <w:noProof/>
                <w:webHidden/>
              </w:rPr>
            </w:r>
            <w:r w:rsidR="00D35FEF">
              <w:rPr>
                <w:noProof/>
                <w:webHidden/>
              </w:rPr>
              <w:fldChar w:fldCharType="separate"/>
            </w:r>
            <w:r w:rsidR="00707532">
              <w:rPr>
                <w:noProof/>
                <w:webHidden/>
              </w:rPr>
              <w:t>2</w:t>
            </w:r>
            <w:r w:rsidR="00D35FEF">
              <w:rPr>
                <w:noProof/>
                <w:webHidden/>
              </w:rPr>
              <w:fldChar w:fldCharType="end"/>
            </w:r>
          </w:hyperlink>
        </w:p>
        <w:p w14:paraId="7E6A75BB" w14:textId="08B0EC45" w:rsidR="00D35FEF" w:rsidRDefault="00000000">
          <w:pPr>
            <w:pStyle w:val="TOC2"/>
            <w:tabs>
              <w:tab w:val="left" w:pos="880"/>
              <w:tab w:val="right" w:leader="dot" w:pos="9322"/>
            </w:tabs>
            <w:rPr>
              <w:rFonts w:asciiTheme="minorHAnsi" w:eastAsiaTheme="minorEastAsia" w:hAnsiTheme="minorHAnsi"/>
              <w:noProof/>
              <w:lang w:eastAsia="en-GB"/>
            </w:rPr>
          </w:pPr>
          <w:hyperlink w:anchor="_Toc128414120" w:history="1">
            <w:r w:rsidR="00D35FEF" w:rsidRPr="00EF6459">
              <w:rPr>
                <w:rStyle w:val="Hyperlink"/>
                <w:noProof/>
              </w:rPr>
              <w:t>3.1</w:t>
            </w:r>
            <w:r w:rsidR="00D35FEF">
              <w:rPr>
                <w:rFonts w:asciiTheme="minorHAnsi" w:eastAsiaTheme="minorEastAsia" w:hAnsiTheme="minorHAnsi"/>
                <w:noProof/>
                <w:lang w:eastAsia="en-GB"/>
              </w:rPr>
              <w:tab/>
            </w:r>
            <w:r w:rsidR="00D35FEF" w:rsidRPr="00EF6459">
              <w:rPr>
                <w:rStyle w:val="Hyperlink"/>
                <w:noProof/>
              </w:rPr>
              <w:t>Consultant and /or Specialist Nurse</w:t>
            </w:r>
            <w:r w:rsidR="00D35FEF">
              <w:rPr>
                <w:noProof/>
                <w:webHidden/>
              </w:rPr>
              <w:tab/>
            </w:r>
            <w:r w:rsidR="00D35FEF">
              <w:rPr>
                <w:noProof/>
                <w:webHidden/>
              </w:rPr>
              <w:fldChar w:fldCharType="begin"/>
            </w:r>
            <w:r w:rsidR="00D35FEF">
              <w:rPr>
                <w:noProof/>
                <w:webHidden/>
              </w:rPr>
              <w:instrText xml:space="preserve"> PAGEREF _Toc128414120 \h </w:instrText>
            </w:r>
            <w:r w:rsidR="00D35FEF">
              <w:rPr>
                <w:noProof/>
                <w:webHidden/>
              </w:rPr>
            </w:r>
            <w:r w:rsidR="00D35FEF">
              <w:rPr>
                <w:noProof/>
                <w:webHidden/>
              </w:rPr>
              <w:fldChar w:fldCharType="separate"/>
            </w:r>
            <w:r w:rsidR="00707532">
              <w:rPr>
                <w:noProof/>
                <w:webHidden/>
              </w:rPr>
              <w:t>2</w:t>
            </w:r>
            <w:r w:rsidR="00D35FEF">
              <w:rPr>
                <w:noProof/>
                <w:webHidden/>
              </w:rPr>
              <w:fldChar w:fldCharType="end"/>
            </w:r>
          </w:hyperlink>
        </w:p>
        <w:p w14:paraId="55337A8C" w14:textId="63EDAAFC" w:rsidR="00D35FEF" w:rsidRDefault="00000000">
          <w:pPr>
            <w:pStyle w:val="TOC2"/>
            <w:tabs>
              <w:tab w:val="left" w:pos="880"/>
              <w:tab w:val="right" w:leader="dot" w:pos="9322"/>
            </w:tabs>
            <w:rPr>
              <w:rFonts w:asciiTheme="minorHAnsi" w:eastAsiaTheme="minorEastAsia" w:hAnsiTheme="minorHAnsi"/>
              <w:noProof/>
              <w:lang w:eastAsia="en-GB"/>
            </w:rPr>
          </w:pPr>
          <w:hyperlink w:anchor="_Toc128414121" w:history="1">
            <w:r w:rsidR="00D35FEF" w:rsidRPr="00EF6459">
              <w:rPr>
                <w:rStyle w:val="Hyperlink"/>
                <w:noProof/>
              </w:rPr>
              <w:t>3.2</w:t>
            </w:r>
            <w:r w:rsidR="00D35FEF">
              <w:rPr>
                <w:rFonts w:asciiTheme="minorHAnsi" w:eastAsiaTheme="minorEastAsia" w:hAnsiTheme="minorHAnsi"/>
                <w:noProof/>
                <w:lang w:eastAsia="en-GB"/>
              </w:rPr>
              <w:tab/>
            </w:r>
            <w:r w:rsidR="00D35FEF" w:rsidRPr="00EF6459">
              <w:rPr>
                <w:rStyle w:val="Hyperlink"/>
                <w:noProof/>
              </w:rPr>
              <w:t>General Practitioner</w:t>
            </w:r>
            <w:r w:rsidR="00D35FEF">
              <w:rPr>
                <w:noProof/>
                <w:webHidden/>
              </w:rPr>
              <w:tab/>
            </w:r>
            <w:r w:rsidR="00D35FEF">
              <w:rPr>
                <w:noProof/>
                <w:webHidden/>
              </w:rPr>
              <w:fldChar w:fldCharType="begin"/>
            </w:r>
            <w:r w:rsidR="00D35FEF">
              <w:rPr>
                <w:noProof/>
                <w:webHidden/>
              </w:rPr>
              <w:instrText xml:space="preserve"> PAGEREF _Toc128414121 \h </w:instrText>
            </w:r>
            <w:r w:rsidR="00D35FEF">
              <w:rPr>
                <w:noProof/>
                <w:webHidden/>
              </w:rPr>
            </w:r>
            <w:r w:rsidR="00D35FEF">
              <w:rPr>
                <w:noProof/>
                <w:webHidden/>
              </w:rPr>
              <w:fldChar w:fldCharType="separate"/>
            </w:r>
            <w:r w:rsidR="00707532">
              <w:rPr>
                <w:noProof/>
                <w:webHidden/>
              </w:rPr>
              <w:t>4</w:t>
            </w:r>
            <w:r w:rsidR="00D35FEF">
              <w:rPr>
                <w:noProof/>
                <w:webHidden/>
              </w:rPr>
              <w:fldChar w:fldCharType="end"/>
            </w:r>
          </w:hyperlink>
        </w:p>
        <w:p w14:paraId="32F13131" w14:textId="43FCF2B6" w:rsidR="00D35FEF" w:rsidRDefault="00000000">
          <w:pPr>
            <w:pStyle w:val="TOC2"/>
            <w:tabs>
              <w:tab w:val="left" w:pos="880"/>
              <w:tab w:val="right" w:leader="dot" w:pos="9322"/>
            </w:tabs>
            <w:rPr>
              <w:rFonts w:asciiTheme="minorHAnsi" w:eastAsiaTheme="minorEastAsia" w:hAnsiTheme="minorHAnsi"/>
              <w:noProof/>
              <w:lang w:eastAsia="en-GB"/>
            </w:rPr>
          </w:pPr>
          <w:hyperlink w:anchor="_Toc128414122" w:history="1">
            <w:r w:rsidR="00D35FEF" w:rsidRPr="00EF6459">
              <w:rPr>
                <w:rStyle w:val="Hyperlink"/>
                <w:noProof/>
              </w:rPr>
              <w:t>3.3</w:t>
            </w:r>
            <w:r w:rsidR="00D35FEF">
              <w:rPr>
                <w:rFonts w:asciiTheme="minorHAnsi" w:eastAsiaTheme="minorEastAsia" w:hAnsiTheme="minorHAnsi"/>
                <w:noProof/>
                <w:lang w:eastAsia="en-GB"/>
              </w:rPr>
              <w:tab/>
            </w:r>
            <w:r w:rsidR="00D35FEF" w:rsidRPr="00EF6459">
              <w:rPr>
                <w:rStyle w:val="Hyperlink"/>
                <w:noProof/>
              </w:rPr>
              <w:t>Patient responsibility</w:t>
            </w:r>
            <w:r w:rsidR="00D35FEF">
              <w:rPr>
                <w:noProof/>
                <w:webHidden/>
              </w:rPr>
              <w:tab/>
            </w:r>
            <w:r w:rsidR="00D35FEF">
              <w:rPr>
                <w:noProof/>
                <w:webHidden/>
              </w:rPr>
              <w:fldChar w:fldCharType="begin"/>
            </w:r>
            <w:r w:rsidR="00D35FEF">
              <w:rPr>
                <w:noProof/>
                <w:webHidden/>
              </w:rPr>
              <w:instrText xml:space="preserve"> PAGEREF _Toc128414122 \h </w:instrText>
            </w:r>
            <w:r w:rsidR="00D35FEF">
              <w:rPr>
                <w:noProof/>
                <w:webHidden/>
              </w:rPr>
            </w:r>
            <w:r w:rsidR="00D35FEF">
              <w:rPr>
                <w:noProof/>
                <w:webHidden/>
              </w:rPr>
              <w:fldChar w:fldCharType="separate"/>
            </w:r>
            <w:r w:rsidR="00707532">
              <w:rPr>
                <w:noProof/>
                <w:webHidden/>
              </w:rPr>
              <w:t>5</w:t>
            </w:r>
            <w:r w:rsidR="00D35FEF">
              <w:rPr>
                <w:noProof/>
                <w:webHidden/>
              </w:rPr>
              <w:fldChar w:fldCharType="end"/>
            </w:r>
          </w:hyperlink>
        </w:p>
        <w:p w14:paraId="69F8E097" w14:textId="1C4C660C" w:rsidR="00D35FEF" w:rsidRDefault="00000000">
          <w:pPr>
            <w:pStyle w:val="TOC2"/>
            <w:tabs>
              <w:tab w:val="left" w:pos="880"/>
              <w:tab w:val="right" w:leader="dot" w:pos="9322"/>
            </w:tabs>
            <w:rPr>
              <w:rFonts w:asciiTheme="minorHAnsi" w:eastAsiaTheme="minorEastAsia" w:hAnsiTheme="minorHAnsi"/>
              <w:noProof/>
              <w:lang w:eastAsia="en-GB"/>
            </w:rPr>
          </w:pPr>
          <w:hyperlink w:anchor="_Toc128414123" w:history="1">
            <w:r w:rsidR="00D35FEF" w:rsidRPr="00EF6459">
              <w:rPr>
                <w:rStyle w:val="Hyperlink"/>
                <w:noProof/>
              </w:rPr>
              <w:t>3.4</w:t>
            </w:r>
            <w:r w:rsidR="00D35FEF">
              <w:rPr>
                <w:rFonts w:asciiTheme="minorHAnsi" w:eastAsiaTheme="minorEastAsia" w:hAnsiTheme="minorHAnsi"/>
                <w:noProof/>
                <w:lang w:eastAsia="en-GB"/>
              </w:rPr>
              <w:tab/>
            </w:r>
            <w:r w:rsidR="00D35FEF" w:rsidRPr="00EF6459">
              <w:rPr>
                <w:rStyle w:val="Hyperlink"/>
                <w:noProof/>
              </w:rPr>
              <w:t>Integrated Care Boards</w:t>
            </w:r>
            <w:r w:rsidR="00D35FEF">
              <w:rPr>
                <w:noProof/>
                <w:webHidden/>
              </w:rPr>
              <w:tab/>
            </w:r>
            <w:r w:rsidR="00D35FEF">
              <w:rPr>
                <w:noProof/>
                <w:webHidden/>
              </w:rPr>
              <w:fldChar w:fldCharType="begin"/>
            </w:r>
            <w:r w:rsidR="00D35FEF">
              <w:rPr>
                <w:noProof/>
                <w:webHidden/>
              </w:rPr>
              <w:instrText xml:space="preserve"> PAGEREF _Toc128414123 \h </w:instrText>
            </w:r>
            <w:r w:rsidR="00D35FEF">
              <w:rPr>
                <w:noProof/>
                <w:webHidden/>
              </w:rPr>
            </w:r>
            <w:r w:rsidR="00D35FEF">
              <w:rPr>
                <w:noProof/>
                <w:webHidden/>
              </w:rPr>
              <w:fldChar w:fldCharType="separate"/>
            </w:r>
            <w:r w:rsidR="00707532">
              <w:rPr>
                <w:noProof/>
                <w:webHidden/>
              </w:rPr>
              <w:t>5</w:t>
            </w:r>
            <w:r w:rsidR="00D35FEF">
              <w:rPr>
                <w:noProof/>
                <w:webHidden/>
              </w:rPr>
              <w:fldChar w:fldCharType="end"/>
            </w:r>
          </w:hyperlink>
        </w:p>
        <w:p w14:paraId="0BCCFF1D" w14:textId="53525159" w:rsidR="00D35FEF" w:rsidRDefault="00000000">
          <w:pPr>
            <w:pStyle w:val="TOC1"/>
            <w:tabs>
              <w:tab w:val="left" w:pos="660"/>
              <w:tab w:val="right" w:leader="dot" w:pos="9322"/>
            </w:tabs>
            <w:rPr>
              <w:rFonts w:asciiTheme="minorHAnsi" w:eastAsiaTheme="minorEastAsia" w:hAnsiTheme="minorHAnsi" w:cstheme="minorBidi"/>
              <w:noProof/>
              <w:lang w:eastAsia="en-GB"/>
            </w:rPr>
          </w:pPr>
          <w:hyperlink w:anchor="_Toc128414124" w:history="1">
            <w:r w:rsidR="00D35FEF" w:rsidRPr="00EF6459">
              <w:rPr>
                <w:rStyle w:val="Hyperlink"/>
                <w:noProof/>
              </w:rPr>
              <w:t>4.0</w:t>
            </w:r>
            <w:r w:rsidR="00D35FEF">
              <w:rPr>
                <w:rFonts w:asciiTheme="minorHAnsi" w:eastAsiaTheme="minorEastAsia" w:hAnsiTheme="minorHAnsi" w:cstheme="minorBidi"/>
                <w:noProof/>
                <w:lang w:eastAsia="en-GB"/>
              </w:rPr>
              <w:tab/>
            </w:r>
            <w:r w:rsidR="00D35FEF" w:rsidRPr="00EF6459">
              <w:rPr>
                <w:rStyle w:val="Hyperlink"/>
                <w:noProof/>
              </w:rPr>
              <w:t>Indications</w:t>
            </w:r>
            <w:r w:rsidR="00D35FEF">
              <w:rPr>
                <w:noProof/>
                <w:webHidden/>
              </w:rPr>
              <w:tab/>
            </w:r>
            <w:r w:rsidR="00D35FEF">
              <w:rPr>
                <w:noProof/>
                <w:webHidden/>
              </w:rPr>
              <w:fldChar w:fldCharType="begin"/>
            </w:r>
            <w:r w:rsidR="00D35FEF">
              <w:rPr>
                <w:noProof/>
                <w:webHidden/>
              </w:rPr>
              <w:instrText xml:space="preserve"> PAGEREF _Toc128414124 \h </w:instrText>
            </w:r>
            <w:r w:rsidR="00D35FEF">
              <w:rPr>
                <w:noProof/>
                <w:webHidden/>
              </w:rPr>
            </w:r>
            <w:r w:rsidR="00D35FEF">
              <w:rPr>
                <w:noProof/>
                <w:webHidden/>
              </w:rPr>
              <w:fldChar w:fldCharType="separate"/>
            </w:r>
            <w:r w:rsidR="00707532">
              <w:rPr>
                <w:noProof/>
                <w:webHidden/>
              </w:rPr>
              <w:t>6</w:t>
            </w:r>
            <w:r w:rsidR="00D35FEF">
              <w:rPr>
                <w:noProof/>
                <w:webHidden/>
              </w:rPr>
              <w:fldChar w:fldCharType="end"/>
            </w:r>
          </w:hyperlink>
        </w:p>
        <w:p w14:paraId="5263B17C" w14:textId="7864844C" w:rsidR="00D35FEF" w:rsidRDefault="00000000">
          <w:pPr>
            <w:pStyle w:val="TOC1"/>
            <w:tabs>
              <w:tab w:val="left" w:pos="660"/>
              <w:tab w:val="right" w:leader="dot" w:pos="9322"/>
            </w:tabs>
            <w:rPr>
              <w:rFonts w:asciiTheme="minorHAnsi" w:eastAsiaTheme="minorEastAsia" w:hAnsiTheme="minorHAnsi" w:cstheme="minorBidi"/>
              <w:noProof/>
              <w:lang w:eastAsia="en-GB"/>
            </w:rPr>
          </w:pPr>
          <w:hyperlink w:anchor="_Toc128414125" w:history="1">
            <w:r w:rsidR="00D35FEF" w:rsidRPr="00EF6459">
              <w:rPr>
                <w:rStyle w:val="Hyperlink"/>
                <w:noProof/>
              </w:rPr>
              <w:t>5.0</w:t>
            </w:r>
            <w:r w:rsidR="00D35FEF">
              <w:rPr>
                <w:rFonts w:asciiTheme="minorHAnsi" w:eastAsiaTheme="minorEastAsia" w:hAnsiTheme="minorHAnsi" w:cstheme="minorBidi"/>
                <w:noProof/>
                <w:lang w:eastAsia="en-GB"/>
              </w:rPr>
              <w:tab/>
            </w:r>
            <w:r w:rsidR="00D35FEF" w:rsidRPr="00EF6459">
              <w:rPr>
                <w:rStyle w:val="Hyperlink"/>
                <w:noProof/>
              </w:rPr>
              <w:t>Dose and Administration</w:t>
            </w:r>
            <w:r w:rsidR="00D35FEF">
              <w:rPr>
                <w:noProof/>
                <w:webHidden/>
              </w:rPr>
              <w:tab/>
            </w:r>
            <w:r w:rsidR="00D35FEF">
              <w:rPr>
                <w:noProof/>
                <w:webHidden/>
              </w:rPr>
              <w:fldChar w:fldCharType="begin"/>
            </w:r>
            <w:r w:rsidR="00D35FEF">
              <w:rPr>
                <w:noProof/>
                <w:webHidden/>
              </w:rPr>
              <w:instrText xml:space="preserve"> PAGEREF _Toc128414125 \h </w:instrText>
            </w:r>
            <w:r w:rsidR="00D35FEF">
              <w:rPr>
                <w:noProof/>
                <w:webHidden/>
              </w:rPr>
            </w:r>
            <w:r w:rsidR="00D35FEF">
              <w:rPr>
                <w:noProof/>
                <w:webHidden/>
              </w:rPr>
              <w:fldChar w:fldCharType="separate"/>
            </w:r>
            <w:r w:rsidR="00707532">
              <w:rPr>
                <w:noProof/>
                <w:webHidden/>
              </w:rPr>
              <w:t>6</w:t>
            </w:r>
            <w:r w:rsidR="00D35FEF">
              <w:rPr>
                <w:noProof/>
                <w:webHidden/>
              </w:rPr>
              <w:fldChar w:fldCharType="end"/>
            </w:r>
          </w:hyperlink>
        </w:p>
        <w:p w14:paraId="559CB37E" w14:textId="4A7873F7" w:rsidR="00D35FEF" w:rsidRDefault="00000000">
          <w:pPr>
            <w:pStyle w:val="TOC1"/>
            <w:tabs>
              <w:tab w:val="left" w:pos="660"/>
              <w:tab w:val="right" w:leader="dot" w:pos="9322"/>
            </w:tabs>
            <w:rPr>
              <w:rFonts w:asciiTheme="minorHAnsi" w:eastAsiaTheme="minorEastAsia" w:hAnsiTheme="minorHAnsi" w:cstheme="minorBidi"/>
              <w:noProof/>
              <w:lang w:eastAsia="en-GB"/>
            </w:rPr>
          </w:pPr>
          <w:hyperlink w:anchor="_Toc128414126" w:history="1">
            <w:r w:rsidR="00D35FEF" w:rsidRPr="00EF6459">
              <w:rPr>
                <w:rStyle w:val="Hyperlink"/>
                <w:noProof/>
              </w:rPr>
              <w:t>6.0</w:t>
            </w:r>
            <w:r w:rsidR="00D35FEF">
              <w:rPr>
                <w:rFonts w:asciiTheme="minorHAnsi" w:eastAsiaTheme="minorEastAsia" w:hAnsiTheme="minorHAnsi" w:cstheme="minorBidi"/>
                <w:noProof/>
                <w:lang w:eastAsia="en-GB"/>
              </w:rPr>
              <w:tab/>
            </w:r>
            <w:r w:rsidR="00D35FEF" w:rsidRPr="00EF6459">
              <w:rPr>
                <w:rStyle w:val="Hyperlink"/>
                <w:noProof/>
              </w:rPr>
              <w:t>Adverse Effects</w:t>
            </w:r>
            <w:r w:rsidR="00D35FEF">
              <w:rPr>
                <w:noProof/>
                <w:webHidden/>
              </w:rPr>
              <w:tab/>
            </w:r>
            <w:r w:rsidR="00D35FEF">
              <w:rPr>
                <w:noProof/>
                <w:webHidden/>
              </w:rPr>
              <w:fldChar w:fldCharType="begin"/>
            </w:r>
            <w:r w:rsidR="00D35FEF">
              <w:rPr>
                <w:noProof/>
                <w:webHidden/>
              </w:rPr>
              <w:instrText xml:space="preserve"> PAGEREF _Toc128414126 \h </w:instrText>
            </w:r>
            <w:r w:rsidR="00D35FEF">
              <w:rPr>
                <w:noProof/>
                <w:webHidden/>
              </w:rPr>
            </w:r>
            <w:r w:rsidR="00D35FEF">
              <w:rPr>
                <w:noProof/>
                <w:webHidden/>
              </w:rPr>
              <w:fldChar w:fldCharType="separate"/>
            </w:r>
            <w:r w:rsidR="00707532">
              <w:rPr>
                <w:noProof/>
                <w:webHidden/>
              </w:rPr>
              <w:t>7</w:t>
            </w:r>
            <w:r w:rsidR="00D35FEF">
              <w:rPr>
                <w:noProof/>
                <w:webHidden/>
              </w:rPr>
              <w:fldChar w:fldCharType="end"/>
            </w:r>
          </w:hyperlink>
        </w:p>
        <w:p w14:paraId="779ED39E" w14:textId="1813C95B" w:rsidR="00D35FEF" w:rsidRDefault="00000000">
          <w:pPr>
            <w:pStyle w:val="TOC1"/>
            <w:tabs>
              <w:tab w:val="left" w:pos="660"/>
              <w:tab w:val="right" w:leader="dot" w:pos="9322"/>
            </w:tabs>
            <w:rPr>
              <w:rFonts w:asciiTheme="minorHAnsi" w:eastAsiaTheme="minorEastAsia" w:hAnsiTheme="minorHAnsi" w:cstheme="minorBidi"/>
              <w:noProof/>
              <w:lang w:eastAsia="en-GB"/>
            </w:rPr>
          </w:pPr>
          <w:hyperlink w:anchor="_Toc128414127" w:history="1">
            <w:r w:rsidR="00D35FEF" w:rsidRPr="00EF6459">
              <w:rPr>
                <w:rStyle w:val="Hyperlink"/>
                <w:noProof/>
              </w:rPr>
              <w:t>7.0</w:t>
            </w:r>
            <w:r w:rsidR="00D35FEF">
              <w:rPr>
                <w:rFonts w:asciiTheme="minorHAnsi" w:eastAsiaTheme="minorEastAsia" w:hAnsiTheme="minorHAnsi" w:cstheme="minorBidi"/>
                <w:noProof/>
                <w:lang w:eastAsia="en-GB"/>
              </w:rPr>
              <w:tab/>
            </w:r>
            <w:r w:rsidR="00D35FEF" w:rsidRPr="00EF6459">
              <w:rPr>
                <w:rStyle w:val="Hyperlink"/>
                <w:noProof/>
              </w:rPr>
              <w:t>Cautions</w:t>
            </w:r>
            <w:r w:rsidR="00D35FEF">
              <w:rPr>
                <w:noProof/>
                <w:webHidden/>
              </w:rPr>
              <w:tab/>
            </w:r>
            <w:r w:rsidR="00D35FEF">
              <w:rPr>
                <w:noProof/>
                <w:webHidden/>
              </w:rPr>
              <w:fldChar w:fldCharType="begin"/>
            </w:r>
            <w:r w:rsidR="00D35FEF">
              <w:rPr>
                <w:noProof/>
                <w:webHidden/>
              </w:rPr>
              <w:instrText xml:space="preserve"> PAGEREF _Toc128414127 \h </w:instrText>
            </w:r>
            <w:r w:rsidR="00D35FEF">
              <w:rPr>
                <w:noProof/>
                <w:webHidden/>
              </w:rPr>
            </w:r>
            <w:r w:rsidR="00D35FEF">
              <w:rPr>
                <w:noProof/>
                <w:webHidden/>
              </w:rPr>
              <w:fldChar w:fldCharType="separate"/>
            </w:r>
            <w:r w:rsidR="00707532">
              <w:rPr>
                <w:noProof/>
                <w:webHidden/>
              </w:rPr>
              <w:t>9</w:t>
            </w:r>
            <w:r w:rsidR="00D35FEF">
              <w:rPr>
                <w:noProof/>
                <w:webHidden/>
              </w:rPr>
              <w:fldChar w:fldCharType="end"/>
            </w:r>
          </w:hyperlink>
        </w:p>
        <w:p w14:paraId="2329555A" w14:textId="59DCA07A" w:rsidR="00D35FEF" w:rsidRDefault="00000000">
          <w:pPr>
            <w:pStyle w:val="TOC1"/>
            <w:tabs>
              <w:tab w:val="left" w:pos="660"/>
              <w:tab w:val="right" w:leader="dot" w:pos="9322"/>
            </w:tabs>
            <w:rPr>
              <w:rFonts w:asciiTheme="minorHAnsi" w:eastAsiaTheme="minorEastAsia" w:hAnsiTheme="minorHAnsi" w:cstheme="minorBidi"/>
              <w:noProof/>
              <w:lang w:eastAsia="en-GB"/>
            </w:rPr>
          </w:pPr>
          <w:hyperlink w:anchor="_Toc128414128" w:history="1">
            <w:r w:rsidR="00D35FEF" w:rsidRPr="00EF6459">
              <w:rPr>
                <w:rStyle w:val="Hyperlink"/>
                <w:noProof/>
              </w:rPr>
              <w:t>8.0</w:t>
            </w:r>
            <w:r w:rsidR="00D35FEF">
              <w:rPr>
                <w:rFonts w:asciiTheme="minorHAnsi" w:eastAsiaTheme="minorEastAsia" w:hAnsiTheme="minorHAnsi" w:cstheme="minorBidi"/>
                <w:noProof/>
                <w:lang w:eastAsia="en-GB"/>
              </w:rPr>
              <w:tab/>
            </w:r>
            <w:r w:rsidR="00D35FEF" w:rsidRPr="00EF6459">
              <w:rPr>
                <w:rStyle w:val="Hyperlink"/>
                <w:noProof/>
              </w:rPr>
              <w:t>Clinical Monitoring</w:t>
            </w:r>
            <w:r w:rsidR="00D35FEF">
              <w:rPr>
                <w:noProof/>
                <w:webHidden/>
              </w:rPr>
              <w:tab/>
            </w:r>
            <w:r w:rsidR="00D35FEF">
              <w:rPr>
                <w:noProof/>
                <w:webHidden/>
              </w:rPr>
              <w:fldChar w:fldCharType="begin"/>
            </w:r>
            <w:r w:rsidR="00D35FEF">
              <w:rPr>
                <w:noProof/>
                <w:webHidden/>
              </w:rPr>
              <w:instrText xml:space="preserve"> PAGEREF _Toc128414128 \h </w:instrText>
            </w:r>
            <w:r w:rsidR="00D35FEF">
              <w:rPr>
                <w:noProof/>
                <w:webHidden/>
              </w:rPr>
            </w:r>
            <w:r w:rsidR="00D35FEF">
              <w:rPr>
                <w:noProof/>
                <w:webHidden/>
              </w:rPr>
              <w:fldChar w:fldCharType="separate"/>
            </w:r>
            <w:r w:rsidR="00707532">
              <w:rPr>
                <w:noProof/>
                <w:webHidden/>
              </w:rPr>
              <w:t>9</w:t>
            </w:r>
            <w:r w:rsidR="00D35FEF">
              <w:rPr>
                <w:noProof/>
                <w:webHidden/>
              </w:rPr>
              <w:fldChar w:fldCharType="end"/>
            </w:r>
          </w:hyperlink>
        </w:p>
        <w:p w14:paraId="03BC2867" w14:textId="6959DBEE" w:rsidR="00D35FEF" w:rsidRDefault="00000000">
          <w:pPr>
            <w:pStyle w:val="TOC1"/>
            <w:tabs>
              <w:tab w:val="left" w:pos="660"/>
              <w:tab w:val="right" w:leader="dot" w:pos="9322"/>
            </w:tabs>
            <w:rPr>
              <w:rFonts w:asciiTheme="minorHAnsi" w:eastAsiaTheme="minorEastAsia" w:hAnsiTheme="minorHAnsi" w:cstheme="minorBidi"/>
              <w:noProof/>
              <w:lang w:eastAsia="en-GB"/>
            </w:rPr>
          </w:pPr>
          <w:hyperlink w:anchor="_Toc128414129" w:history="1">
            <w:r w:rsidR="00D35FEF" w:rsidRPr="00EF6459">
              <w:rPr>
                <w:rStyle w:val="Hyperlink"/>
                <w:noProof/>
              </w:rPr>
              <w:t>9.0</w:t>
            </w:r>
            <w:r w:rsidR="00D35FEF">
              <w:rPr>
                <w:rFonts w:asciiTheme="minorHAnsi" w:eastAsiaTheme="minorEastAsia" w:hAnsiTheme="minorHAnsi" w:cstheme="minorBidi"/>
                <w:noProof/>
                <w:lang w:eastAsia="en-GB"/>
              </w:rPr>
              <w:tab/>
            </w:r>
            <w:r w:rsidR="00D35FEF" w:rsidRPr="00EF6459">
              <w:rPr>
                <w:rStyle w:val="Hyperlink"/>
                <w:noProof/>
              </w:rPr>
              <w:t>Contraindications</w:t>
            </w:r>
            <w:r w:rsidR="00D35FEF">
              <w:rPr>
                <w:noProof/>
                <w:webHidden/>
              </w:rPr>
              <w:tab/>
            </w:r>
            <w:r w:rsidR="00D35FEF">
              <w:rPr>
                <w:noProof/>
                <w:webHidden/>
              </w:rPr>
              <w:fldChar w:fldCharType="begin"/>
            </w:r>
            <w:r w:rsidR="00D35FEF">
              <w:rPr>
                <w:noProof/>
                <w:webHidden/>
              </w:rPr>
              <w:instrText xml:space="preserve"> PAGEREF _Toc128414129 \h </w:instrText>
            </w:r>
            <w:r w:rsidR="00D35FEF">
              <w:rPr>
                <w:noProof/>
                <w:webHidden/>
              </w:rPr>
            </w:r>
            <w:r w:rsidR="00D35FEF">
              <w:rPr>
                <w:noProof/>
                <w:webHidden/>
              </w:rPr>
              <w:fldChar w:fldCharType="separate"/>
            </w:r>
            <w:r w:rsidR="00707532">
              <w:rPr>
                <w:noProof/>
                <w:webHidden/>
              </w:rPr>
              <w:t>9</w:t>
            </w:r>
            <w:r w:rsidR="00D35FEF">
              <w:rPr>
                <w:noProof/>
                <w:webHidden/>
              </w:rPr>
              <w:fldChar w:fldCharType="end"/>
            </w:r>
          </w:hyperlink>
        </w:p>
        <w:p w14:paraId="6466AE90" w14:textId="24161ECA" w:rsidR="00D35FEF" w:rsidRDefault="00000000">
          <w:pPr>
            <w:pStyle w:val="TOC1"/>
            <w:tabs>
              <w:tab w:val="left" w:pos="660"/>
              <w:tab w:val="right" w:leader="dot" w:pos="9322"/>
            </w:tabs>
            <w:rPr>
              <w:rFonts w:asciiTheme="minorHAnsi" w:eastAsiaTheme="minorEastAsia" w:hAnsiTheme="minorHAnsi" w:cstheme="minorBidi"/>
              <w:noProof/>
              <w:lang w:eastAsia="en-GB"/>
            </w:rPr>
          </w:pPr>
          <w:hyperlink w:anchor="_Toc128414130" w:history="1">
            <w:r w:rsidR="00D35FEF" w:rsidRPr="00EF6459">
              <w:rPr>
                <w:rStyle w:val="Hyperlink"/>
                <w:noProof/>
              </w:rPr>
              <w:t>10.0</w:t>
            </w:r>
            <w:r w:rsidR="00D35FEF">
              <w:rPr>
                <w:rFonts w:asciiTheme="minorHAnsi" w:eastAsiaTheme="minorEastAsia" w:hAnsiTheme="minorHAnsi" w:cstheme="minorBidi"/>
                <w:noProof/>
                <w:lang w:eastAsia="en-GB"/>
              </w:rPr>
              <w:tab/>
            </w:r>
            <w:r w:rsidR="00D35FEF" w:rsidRPr="00EF6459">
              <w:rPr>
                <w:rStyle w:val="Hyperlink"/>
                <w:noProof/>
              </w:rPr>
              <w:t>Drug Interactions</w:t>
            </w:r>
            <w:r w:rsidR="00D35FEF">
              <w:rPr>
                <w:noProof/>
                <w:webHidden/>
              </w:rPr>
              <w:tab/>
            </w:r>
            <w:r w:rsidR="00D35FEF">
              <w:rPr>
                <w:noProof/>
                <w:webHidden/>
              </w:rPr>
              <w:fldChar w:fldCharType="begin"/>
            </w:r>
            <w:r w:rsidR="00D35FEF">
              <w:rPr>
                <w:noProof/>
                <w:webHidden/>
              </w:rPr>
              <w:instrText xml:space="preserve"> PAGEREF _Toc128414130 \h </w:instrText>
            </w:r>
            <w:r w:rsidR="00D35FEF">
              <w:rPr>
                <w:noProof/>
                <w:webHidden/>
              </w:rPr>
            </w:r>
            <w:r w:rsidR="00D35FEF">
              <w:rPr>
                <w:noProof/>
                <w:webHidden/>
              </w:rPr>
              <w:fldChar w:fldCharType="separate"/>
            </w:r>
            <w:r w:rsidR="00707532">
              <w:rPr>
                <w:noProof/>
                <w:webHidden/>
              </w:rPr>
              <w:t>10</w:t>
            </w:r>
            <w:r w:rsidR="00D35FEF">
              <w:rPr>
                <w:noProof/>
                <w:webHidden/>
              </w:rPr>
              <w:fldChar w:fldCharType="end"/>
            </w:r>
          </w:hyperlink>
        </w:p>
        <w:p w14:paraId="5243BE87" w14:textId="6B2535A7" w:rsidR="00D35FEF" w:rsidRDefault="00000000">
          <w:pPr>
            <w:pStyle w:val="TOC1"/>
            <w:tabs>
              <w:tab w:val="left" w:pos="660"/>
              <w:tab w:val="right" w:leader="dot" w:pos="9322"/>
            </w:tabs>
            <w:rPr>
              <w:rFonts w:asciiTheme="minorHAnsi" w:eastAsiaTheme="minorEastAsia" w:hAnsiTheme="minorHAnsi" w:cstheme="minorBidi"/>
              <w:noProof/>
              <w:lang w:eastAsia="en-GB"/>
            </w:rPr>
          </w:pPr>
          <w:hyperlink w:anchor="_Toc128414131" w:history="1">
            <w:r w:rsidR="00D35FEF" w:rsidRPr="00EF6459">
              <w:rPr>
                <w:rStyle w:val="Hyperlink"/>
                <w:noProof/>
              </w:rPr>
              <w:t>11.0</w:t>
            </w:r>
            <w:r w:rsidR="00D35FEF">
              <w:rPr>
                <w:rFonts w:asciiTheme="minorHAnsi" w:eastAsiaTheme="minorEastAsia" w:hAnsiTheme="minorHAnsi" w:cstheme="minorBidi"/>
                <w:noProof/>
                <w:lang w:eastAsia="en-GB"/>
              </w:rPr>
              <w:tab/>
            </w:r>
            <w:r w:rsidR="00D35FEF" w:rsidRPr="00EF6459">
              <w:rPr>
                <w:rStyle w:val="Hyperlink"/>
                <w:noProof/>
              </w:rPr>
              <w:t>References</w:t>
            </w:r>
            <w:r w:rsidR="00D35FEF">
              <w:rPr>
                <w:noProof/>
                <w:webHidden/>
              </w:rPr>
              <w:tab/>
            </w:r>
            <w:r w:rsidR="00D35FEF">
              <w:rPr>
                <w:noProof/>
                <w:webHidden/>
              </w:rPr>
              <w:fldChar w:fldCharType="begin"/>
            </w:r>
            <w:r w:rsidR="00D35FEF">
              <w:rPr>
                <w:noProof/>
                <w:webHidden/>
              </w:rPr>
              <w:instrText xml:space="preserve"> PAGEREF _Toc128414131 \h </w:instrText>
            </w:r>
            <w:r w:rsidR="00D35FEF">
              <w:rPr>
                <w:noProof/>
                <w:webHidden/>
              </w:rPr>
            </w:r>
            <w:r w:rsidR="00D35FEF">
              <w:rPr>
                <w:noProof/>
                <w:webHidden/>
              </w:rPr>
              <w:fldChar w:fldCharType="separate"/>
            </w:r>
            <w:r w:rsidR="00707532">
              <w:rPr>
                <w:noProof/>
                <w:webHidden/>
              </w:rPr>
              <w:t>10</w:t>
            </w:r>
            <w:r w:rsidR="00D35FEF">
              <w:rPr>
                <w:noProof/>
                <w:webHidden/>
              </w:rPr>
              <w:fldChar w:fldCharType="end"/>
            </w:r>
          </w:hyperlink>
        </w:p>
        <w:p w14:paraId="0BF11052" w14:textId="3F76908E" w:rsidR="00D35FEF" w:rsidRDefault="00000000">
          <w:pPr>
            <w:pStyle w:val="TOC1"/>
            <w:tabs>
              <w:tab w:val="left" w:pos="660"/>
              <w:tab w:val="right" w:leader="dot" w:pos="9322"/>
            </w:tabs>
            <w:rPr>
              <w:rFonts w:asciiTheme="minorHAnsi" w:eastAsiaTheme="minorEastAsia" w:hAnsiTheme="minorHAnsi" w:cstheme="minorBidi"/>
              <w:noProof/>
              <w:lang w:eastAsia="en-GB"/>
            </w:rPr>
          </w:pPr>
          <w:hyperlink w:anchor="_Toc128414132" w:history="1">
            <w:r w:rsidR="00D35FEF" w:rsidRPr="00EF6459">
              <w:rPr>
                <w:rStyle w:val="Hyperlink"/>
                <w:noProof/>
              </w:rPr>
              <w:t>12.0</w:t>
            </w:r>
            <w:r w:rsidR="00D35FEF">
              <w:rPr>
                <w:rFonts w:asciiTheme="minorHAnsi" w:eastAsiaTheme="minorEastAsia" w:hAnsiTheme="minorHAnsi" w:cstheme="minorBidi"/>
                <w:noProof/>
                <w:lang w:eastAsia="en-GB"/>
              </w:rPr>
              <w:tab/>
            </w:r>
            <w:r w:rsidR="00D35FEF" w:rsidRPr="00EF6459">
              <w:rPr>
                <w:rStyle w:val="Hyperlink"/>
                <w:noProof/>
              </w:rPr>
              <w:t>Associated documents</w:t>
            </w:r>
            <w:r w:rsidR="00D35FEF">
              <w:rPr>
                <w:noProof/>
                <w:webHidden/>
              </w:rPr>
              <w:tab/>
            </w:r>
            <w:r w:rsidR="00D35FEF">
              <w:rPr>
                <w:noProof/>
                <w:webHidden/>
              </w:rPr>
              <w:fldChar w:fldCharType="begin"/>
            </w:r>
            <w:r w:rsidR="00D35FEF">
              <w:rPr>
                <w:noProof/>
                <w:webHidden/>
              </w:rPr>
              <w:instrText xml:space="preserve"> PAGEREF _Toc128414132 \h </w:instrText>
            </w:r>
            <w:r w:rsidR="00D35FEF">
              <w:rPr>
                <w:noProof/>
                <w:webHidden/>
              </w:rPr>
            </w:r>
            <w:r w:rsidR="00D35FEF">
              <w:rPr>
                <w:noProof/>
                <w:webHidden/>
              </w:rPr>
              <w:fldChar w:fldCharType="separate"/>
            </w:r>
            <w:r w:rsidR="00707532">
              <w:rPr>
                <w:noProof/>
                <w:webHidden/>
              </w:rPr>
              <w:t>10</w:t>
            </w:r>
            <w:r w:rsidR="00D35FEF">
              <w:rPr>
                <w:noProof/>
                <w:webHidden/>
              </w:rPr>
              <w:fldChar w:fldCharType="end"/>
            </w:r>
          </w:hyperlink>
        </w:p>
        <w:p w14:paraId="3A0BD402" w14:textId="50CAF70F" w:rsidR="00D35FEF" w:rsidRDefault="00000000">
          <w:pPr>
            <w:pStyle w:val="TOC1"/>
            <w:tabs>
              <w:tab w:val="left" w:pos="660"/>
              <w:tab w:val="right" w:leader="dot" w:pos="9322"/>
            </w:tabs>
            <w:rPr>
              <w:rFonts w:asciiTheme="minorHAnsi" w:eastAsiaTheme="minorEastAsia" w:hAnsiTheme="minorHAnsi" w:cstheme="minorBidi"/>
              <w:noProof/>
              <w:lang w:eastAsia="en-GB"/>
            </w:rPr>
          </w:pPr>
          <w:hyperlink w:anchor="_Toc128414133" w:history="1">
            <w:r w:rsidR="00D35FEF" w:rsidRPr="00EF6459">
              <w:rPr>
                <w:rStyle w:val="Hyperlink"/>
                <w:noProof/>
              </w:rPr>
              <w:t>13.0</w:t>
            </w:r>
            <w:r w:rsidR="00D35FEF">
              <w:rPr>
                <w:rFonts w:asciiTheme="minorHAnsi" w:eastAsiaTheme="minorEastAsia" w:hAnsiTheme="minorHAnsi" w:cstheme="minorBidi"/>
                <w:noProof/>
                <w:lang w:eastAsia="en-GB"/>
              </w:rPr>
              <w:tab/>
            </w:r>
            <w:r w:rsidR="00D35FEF" w:rsidRPr="00EF6459">
              <w:rPr>
                <w:rStyle w:val="Hyperlink"/>
                <w:noProof/>
              </w:rPr>
              <w:t>Contact Details</w:t>
            </w:r>
            <w:r w:rsidR="00D35FEF">
              <w:rPr>
                <w:noProof/>
                <w:webHidden/>
              </w:rPr>
              <w:tab/>
            </w:r>
            <w:r w:rsidR="00D35FEF">
              <w:rPr>
                <w:noProof/>
                <w:webHidden/>
              </w:rPr>
              <w:fldChar w:fldCharType="begin"/>
            </w:r>
            <w:r w:rsidR="00D35FEF">
              <w:rPr>
                <w:noProof/>
                <w:webHidden/>
              </w:rPr>
              <w:instrText xml:space="preserve"> PAGEREF _Toc128414133 \h </w:instrText>
            </w:r>
            <w:r w:rsidR="00D35FEF">
              <w:rPr>
                <w:noProof/>
                <w:webHidden/>
              </w:rPr>
            </w:r>
            <w:r w:rsidR="00D35FEF">
              <w:rPr>
                <w:noProof/>
                <w:webHidden/>
              </w:rPr>
              <w:fldChar w:fldCharType="separate"/>
            </w:r>
            <w:r w:rsidR="00707532">
              <w:rPr>
                <w:noProof/>
                <w:webHidden/>
              </w:rPr>
              <w:t>10</w:t>
            </w:r>
            <w:r w:rsidR="00D35FEF">
              <w:rPr>
                <w:noProof/>
                <w:webHidden/>
              </w:rPr>
              <w:fldChar w:fldCharType="end"/>
            </w:r>
          </w:hyperlink>
        </w:p>
        <w:p w14:paraId="72D12FBC" w14:textId="3D57542F" w:rsidR="00D35FEF" w:rsidRDefault="00000000">
          <w:pPr>
            <w:pStyle w:val="TOC1"/>
            <w:tabs>
              <w:tab w:val="right" w:leader="dot" w:pos="9322"/>
            </w:tabs>
            <w:rPr>
              <w:rFonts w:asciiTheme="minorHAnsi" w:eastAsiaTheme="minorEastAsia" w:hAnsiTheme="minorHAnsi" w:cstheme="minorBidi"/>
              <w:noProof/>
              <w:lang w:eastAsia="en-GB"/>
            </w:rPr>
          </w:pPr>
          <w:hyperlink w:anchor="_Toc128414134" w:history="1">
            <w:r w:rsidR="00D35FEF" w:rsidRPr="00EF6459">
              <w:rPr>
                <w:rStyle w:val="Hyperlink"/>
                <w:noProof/>
              </w:rPr>
              <w:t>Appendix 1: Methadone transfer form: from [Trust] to GP practice</w:t>
            </w:r>
            <w:r w:rsidR="00D35FEF">
              <w:rPr>
                <w:noProof/>
                <w:webHidden/>
              </w:rPr>
              <w:tab/>
            </w:r>
            <w:r w:rsidR="00D35FEF">
              <w:rPr>
                <w:noProof/>
                <w:webHidden/>
              </w:rPr>
              <w:fldChar w:fldCharType="begin"/>
            </w:r>
            <w:r w:rsidR="00D35FEF">
              <w:rPr>
                <w:noProof/>
                <w:webHidden/>
              </w:rPr>
              <w:instrText xml:space="preserve"> PAGEREF _Toc128414134 \h </w:instrText>
            </w:r>
            <w:r w:rsidR="00D35FEF">
              <w:rPr>
                <w:noProof/>
                <w:webHidden/>
              </w:rPr>
            </w:r>
            <w:r w:rsidR="00D35FEF">
              <w:rPr>
                <w:noProof/>
                <w:webHidden/>
              </w:rPr>
              <w:fldChar w:fldCharType="separate"/>
            </w:r>
            <w:r w:rsidR="00707532">
              <w:rPr>
                <w:noProof/>
                <w:webHidden/>
              </w:rPr>
              <w:t>12</w:t>
            </w:r>
            <w:r w:rsidR="00D35FEF">
              <w:rPr>
                <w:noProof/>
                <w:webHidden/>
              </w:rPr>
              <w:fldChar w:fldCharType="end"/>
            </w:r>
          </w:hyperlink>
        </w:p>
        <w:p w14:paraId="4B7E712C" w14:textId="5E21256C" w:rsidR="009C7AEA" w:rsidRDefault="009C7AEA">
          <w:r>
            <w:rPr>
              <w:b/>
              <w:bCs/>
            </w:rPr>
            <w:fldChar w:fldCharType="end"/>
          </w:r>
        </w:p>
      </w:sdtContent>
    </w:sdt>
    <w:p w14:paraId="5799EFF2" w14:textId="1FCC9BBE" w:rsidR="00F11531" w:rsidRDefault="00F11531" w:rsidP="00FA3D64">
      <w:pPr>
        <w:pStyle w:val="NCLBodyText"/>
      </w:pPr>
    </w:p>
    <w:p w14:paraId="077F9BB9" w14:textId="61F8DA29" w:rsidR="005C43BE" w:rsidRDefault="005C43BE" w:rsidP="00FA3D64">
      <w:pPr>
        <w:pStyle w:val="NCLBodyText"/>
      </w:pPr>
    </w:p>
    <w:p w14:paraId="22D643EB" w14:textId="77777777" w:rsidR="005C43BE" w:rsidRDefault="005C43BE" w:rsidP="00FA3D64">
      <w:pPr>
        <w:pStyle w:val="NCLBodyText"/>
      </w:pPr>
    </w:p>
    <w:p w14:paraId="7D1F5B03" w14:textId="77777777" w:rsidR="00E127BD" w:rsidRDefault="00D46B50" w:rsidP="00F11531">
      <w:pPr>
        <w:pStyle w:val="NCLHeading1"/>
        <w:numPr>
          <w:ilvl w:val="0"/>
          <w:numId w:val="39"/>
        </w:numPr>
      </w:pPr>
      <w:bookmarkStart w:id="0" w:name="_Toc121760566"/>
      <w:bookmarkStart w:id="1" w:name="_Toc128414117"/>
      <w:bookmarkStart w:id="2" w:name="_Toc535932374"/>
      <w:r w:rsidRPr="00D46B50">
        <w:lastRenderedPageBreak/>
        <w:t>Introduction</w:t>
      </w:r>
      <w:bookmarkEnd w:id="0"/>
      <w:bookmarkEnd w:id="1"/>
      <w:r>
        <w:t xml:space="preserve"> </w:t>
      </w:r>
      <w:bookmarkEnd w:id="2"/>
    </w:p>
    <w:p w14:paraId="36F38032" w14:textId="7D9B525C" w:rsidR="00D46B50" w:rsidRPr="0027048E" w:rsidRDefault="0D41551B" w:rsidP="00D46B50">
      <w:pPr>
        <w:pStyle w:val="NCLBodyText"/>
      </w:pPr>
      <w:r>
        <w:t>This document should provide sufficient information to enable you to make an informed decision regarding the clinical and legal responsibility for prescribing</w:t>
      </w:r>
      <w:r w:rsidR="15902EFF">
        <w:t xml:space="preserve"> methadone for the treatment of pain in </w:t>
      </w:r>
      <w:r w:rsidR="00AC55CA">
        <w:t xml:space="preserve">adult </w:t>
      </w:r>
      <w:r w:rsidR="15902EFF">
        <w:t xml:space="preserve">palliative care. This shared care is not used for the use of methadone for cough in palliative care (due to the differences in dosing and management); </w:t>
      </w:r>
      <w:r w:rsidR="67A373BE">
        <w:t xml:space="preserve">for this indication, individualised shared care arrangements should be considered. </w:t>
      </w:r>
      <w:r>
        <w:t xml:space="preserve"> </w:t>
      </w:r>
    </w:p>
    <w:p w14:paraId="3689CC9D" w14:textId="77777777" w:rsidR="00B751C3" w:rsidRDefault="00B751C3" w:rsidP="00D46B50">
      <w:pPr>
        <w:pStyle w:val="NCLBodyText"/>
        <w:rPr>
          <w:b/>
        </w:rPr>
      </w:pPr>
    </w:p>
    <w:p w14:paraId="5F7B83B1" w14:textId="77777777" w:rsidR="00D55FDD" w:rsidRDefault="00A825C7" w:rsidP="00D46B50">
      <w:pPr>
        <w:pStyle w:val="NCLBodyText"/>
      </w:pPr>
      <w:r w:rsidRPr="00D55FDD">
        <w:rPr>
          <w:b/>
        </w:rPr>
        <w:t>Background Information</w:t>
      </w:r>
      <w:r w:rsidRPr="00A825C7">
        <w:t xml:space="preserve"> </w:t>
      </w:r>
    </w:p>
    <w:p w14:paraId="20780348" w14:textId="77777777" w:rsidR="00B751C3" w:rsidRDefault="00A825C7" w:rsidP="00D46B50">
      <w:pPr>
        <w:pStyle w:val="NCLBodyText"/>
      </w:pPr>
      <w:r w:rsidRPr="00A825C7">
        <w:t xml:space="preserve">Methadone is a synthetic strong opioid agonist at the mu- and </w:t>
      </w:r>
      <w:r w:rsidR="0085700C">
        <w:t>delta-opioid</w:t>
      </w:r>
      <w:r w:rsidRPr="00A825C7">
        <w:t xml:space="preserve"> receptors and is also an NMDA antagonist</w:t>
      </w:r>
      <w:r w:rsidR="00460FAD">
        <w:t>.</w:t>
      </w:r>
      <w:r w:rsidR="00460FAD" w:rsidRPr="00460FAD">
        <w:rPr>
          <w:vertAlign w:val="superscript"/>
        </w:rPr>
        <w:t>1</w:t>
      </w:r>
      <w:r w:rsidR="00460FAD">
        <w:rPr>
          <w:vertAlign w:val="superscript"/>
        </w:rPr>
        <w:t>,2</w:t>
      </w:r>
      <w:r w:rsidRPr="00A825C7">
        <w:t xml:space="preserve"> Methadone is </w:t>
      </w:r>
      <w:r w:rsidR="0085700C">
        <w:t xml:space="preserve">a </w:t>
      </w:r>
      <w:r w:rsidRPr="00A825C7">
        <w:t xml:space="preserve">highly lipophilic drug that is subject to considerable tissue distribution and sequestration, and it has a characteristically long half-life in plasma of around 24 hours (but ranging from 8 to 75 hours). Methadone is mainly metabolized in the liver to several inactive metabolites. It is then excreted via the intestine and kidneys. However renal and hepatic impairment </w:t>
      </w:r>
      <w:r w:rsidR="0085700C">
        <w:t>does</w:t>
      </w:r>
      <w:r w:rsidRPr="00A825C7">
        <w:t xml:space="preserve"> not significantly affect methadone clearance. Tissue accumulation of methadone occurs when repeated doses are given and there is potential for toxicity</w:t>
      </w:r>
      <w:r w:rsidR="0085700C">
        <w:t>,</w:t>
      </w:r>
      <w:r w:rsidRPr="00A825C7">
        <w:t xml:space="preserve"> especially during the initial titration period. Also, there is </w:t>
      </w:r>
      <w:r w:rsidR="0085700C">
        <w:t xml:space="preserve">a </w:t>
      </w:r>
      <w:r w:rsidRPr="00A825C7">
        <w:t xml:space="preserve">considerable inter-individual variation in methadone pharmacokinetics, which </w:t>
      </w:r>
      <w:r w:rsidR="0085700C">
        <w:t>translates to</w:t>
      </w:r>
      <w:r w:rsidRPr="00A825C7">
        <w:t xml:space="preserve"> th</w:t>
      </w:r>
      <w:r w:rsidR="0085700C">
        <w:t>e</w:t>
      </w:r>
      <w:r w:rsidRPr="00A825C7">
        <w:t xml:space="preserve"> dose conversion and titration</w:t>
      </w:r>
      <w:r w:rsidR="0085700C">
        <w:t xml:space="preserve"> i</w:t>
      </w:r>
      <w:r w:rsidRPr="00A825C7">
        <w:t xml:space="preserve">s difficult to predict accurately. </w:t>
      </w:r>
    </w:p>
    <w:p w14:paraId="37229CCD" w14:textId="77777777" w:rsidR="00D46B50" w:rsidRPr="0027048E" w:rsidRDefault="00A825C7" w:rsidP="00D46B50">
      <w:pPr>
        <w:pStyle w:val="NCLBodyText"/>
      </w:pPr>
      <w:r w:rsidRPr="00A825C7">
        <w:t xml:space="preserve">Methadone should only be started in the palliative care setting by specialists experienced in its use. Patients </w:t>
      </w:r>
      <w:r w:rsidR="00D55FDD">
        <w:t>wi</w:t>
      </w:r>
      <w:r w:rsidRPr="00A825C7">
        <w:t>ll usually be admitted to a specialist palliative care unit when switching from another opioid to methadone</w:t>
      </w:r>
      <w:r w:rsidR="00D55FDD">
        <w:t xml:space="preserve"> or the switch will be undertaken by the specialist team</w:t>
      </w:r>
      <w:r w:rsidRPr="00A825C7">
        <w:t>. This enable</w:t>
      </w:r>
      <w:r w:rsidR="00D55FDD">
        <w:t>s</w:t>
      </w:r>
      <w:r w:rsidRPr="00A825C7">
        <w:t xml:space="preserve"> a controlled dose titration period. Where the switch to methadone is successful (</w:t>
      </w:r>
      <w:proofErr w:type="gramStart"/>
      <w:r w:rsidRPr="00A825C7">
        <w:t>i.e.</w:t>
      </w:r>
      <w:proofErr w:type="gramEnd"/>
      <w:r w:rsidRPr="00A825C7">
        <w:t xml:space="preserve"> improved pain relief and/or reduced toxicity), methadone can be considered </w:t>
      </w:r>
      <w:r w:rsidR="0085700C">
        <w:t xml:space="preserve">for prescribing </w:t>
      </w:r>
      <w:r w:rsidRPr="00A825C7">
        <w:t>in primary care with the patient remaining under the supervision of the relevant specialists.</w:t>
      </w:r>
    </w:p>
    <w:p w14:paraId="45E62E6D" w14:textId="77777777" w:rsidR="00D46B50" w:rsidRPr="00D46B50" w:rsidRDefault="00D46B50" w:rsidP="00D46B50">
      <w:pPr>
        <w:pStyle w:val="NCLBodyText"/>
        <w:rPr>
          <w:rFonts w:cs="Arial"/>
        </w:rPr>
      </w:pPr>
      <w:r w:rsidRPr="0027048E">
        <w:rPr>
          <w:rFonts w:cs="Arial"/>
        </w:rPr>
        <w:t xml:space="preserve">Progressing to a stable, optimal dose usually takes approximately </w:t>
      </w:r>
      <w:r w:rsidR="007272FF">
        <w:rPr>
          <w:rFonts w:cs="Arial"/>
        </w:rPr>
        <w:t>4 weeks or longer</w:t>
      </w:r>
      <w:r w:rsidRPr="0027048E">
        <w:rPr>
          <w:rFonts w:cs="Arial"/>
        </w:rPr>
        <w:t>.</w:t>
      </w:r>
      <w:r w:rsidRPr="0027048E">
        <w:rPr>
          <w:rFonts w:cs="Arial"/>
          <w:sz w:val="24"/>
        </w:rPr>
        <w:t xml:space="preserve">  </w:t>
      </w:r>
      <w:r w:rsidRPr="0027048E">
        <w:rPr>
          <w:rFonts w:cs="Arial"/>
        </w:rPr>
        <w:t xml:space="preserve">Once achieved, a shared care arrangement with you will be requested.  It will clarify responsibilities between the specialist and general practitioner (GP) for managing the prescribing of </w:t>
      </w:r>
      <w:r w:rsidR="007272FF">
        <w:rPr>
          <w:rFonts w:cs="Arial"/>
        </w:rPr>
        <w:t>methadone</w:t>
      </w:r>
      <w:r w:rsidRPr="0027048E">
        <w:rPr>
          <w:rFonts w:cs="Arial"/>
        </w:rPr>
        <w:t xml:space="preserve"> such as:</w:t>
      </w:r>
    </w:p>
    <w:p w14:paraId="2A8FF027" w14:textId="77777777" w:rsidR="00D46B50" w:rsidRPr="00F6699A" w:rsidRDefault="00D46B50" w:rsidP="00D46B50">
      <w:pPr>
        <w:pStyle w:val="ListBullet"/>
      </w:pPr>
      <w:r w:rsidRPr="00F6699A">
        <w:t xml:space="preserve">Who will </w:t>
      </w:r>
      <w:proofErr w:type="gramStart"/>
      <w:r w:rsidRPr="00F6699A">
        <w:t>prescribe;</w:t>
      </w:r>
      <w:proofErr w:type="gramEnd"/>
    </w:p>
    <w:p w14:paraId="6EFCD8DD" w14:textId="77777777" w:rsidR="00D46B50" w:rsidRPr="00F6699A" w:rsidRDefault="00D46B50" w:rsidP="00D46B50">
      <w:pPr>
        <w:pStyle w:val="ListBullet"/>
      </w:pPr>
      <w:r w:rsidRPr="00F6699A">
        <w:t xml:space="preserve">Who will </w:t>
      </w:r>
      <w:proofErr w:type="gramStart"/>
      <w:r w:rsidRPr="00F6699A">
        <w:t>monitor;</w:t>
      </w:r>
      <w:proofErr w:type="gramEnd"/>
    </w:p>
    <w:p w14:paraId="7518882C" w14:textId="77777777" w:rsidR="00D46B50" w:rsidRPr="00F6699A" w:rsidRDefault="00D46B50" w:rsidP="00D46B50">
      <w:pPr>
        <w:pStyle w:val="ListBullet"/>
      </w:pPr>
      <w:r w:rsidRPr="00F6699A">
        <w:t>Any tests required (</w:t>
      </w:r>
      <w:proofErr w:type="gramStart"/>
      <w:r w:rsidRPr="00F6699A">
        <w:t>e.g.</w:t>
      </w:r>
      <w:proofErr w:type="gramEnd"/>
      <w:r w:rsidRPr="00F6699A">
        <w:t xml:space="preserve"> blood tests), the exact names/nature of the tests, why they are needed, the frequency of testing, the location in which these will be carried out and action to be taken for any abnormal results </w:t>
      </w:r>
    </w:p>
    <w:p w14:paraId="492D03C8" w14:textId="77777777" w:rsidR="00D46B50" w:rsidRPr="00F6699A" w:rsidRDefault="00D46B50" w:rsidP="00D46B50">
      <w:pPr>
        <w:pStyle w:val="ListBullet"/>
      </w:pPr>
      <w:r w:rsidRPr="00F6699A">
        <w:t xml:space="preserve">Which clinician will be responsible for receipt and review of the </w:t>
      </w:r>
      <w:proofErr w:type="gramStart"/>
      <w:r w:rsidRPr="00F6699A">
        <w:t>results;</w:t>
      </w:r>
      <w:proofErr w:type="gramEnd"/>
    </w:p>
    <w:p w14:paraId="5EF6FCFA" w14:textId="77777777" w:rsidR="00D46B50" w:rsidRPr="00D46B50" w:rsidRDefault="00D46B50" w:rsidP="00D46B50">
      <w:pPr>
        <w:pStyle w:val="ListBullet"/>
      </w:pPr>
      <w:r w:rsidRPr="00F6699A">
        <w:t xml:space="preserve">Who will communicate any necessary changes in dose to the patient and the </w:t>
      </w:r>
      <w:proofErr w:type="gramStart"/>
      <w:r w:rsidRPr="00F6699A">
        <w:t>GP;</w:t>
      </w:r>
      <w:proofErr w:type="gramEnd"/>
    </w:p>
    <w:p w14:paraId="4453DD2F" w14:textId="77777777" w:rsidR="00D46B50" w:rsidRDefault="00D46B50" w:rsidP="00592DE9">
      <w:pPr>
        <w:pStyle w:val="NCLBodyText"/>
      </w:pPr>
      <w:r w:rsidRPr="00F6699A">
        <w:rPr>
          <w:i/>
        </w:rPr>
        <w:t xml:space="preserve">Please note that for some conditions and/or drugs, a Patient-Held Monitoring and Dosage Record booklet is required, in which case, in addition to all the above, the shared care guideline should also clarify who is responsible for recording the test results in this booklet.   </w:t>
      </w:r>
    </w:p>
    <w:p w14:paraId="60593029" w14:textId="77777777" w:rsidR="00592DE9" w:rsidRDefault="00F11531" w:rsidP="00F11531">
      <w:pPr>
        <w:pStyle w:val="NCLHeading1"/>
        <w:numPr>
          <w:ilvl w:val="0"/>
          <w:numId w:val="37"/>
        </w:numPr>
      </w:pPr>
      <w:bookmarkStart w:id="3" w:name="_Toc535932375"/>
      <w:bookmarkStart w:id="4" w:name="_Hlk121141535"/>
      <w:r>
        <w:t xml:space="preserve"> </w:t>
      </w:r>
      <w:bookmarkStart w:id="5" w:name="_Toc121760567"/>
      <w:bookmarkStart w:id="6" w:name="_Toc128414118"/>
      <w:r w:rsidR="00D46B50" w:rsidRPr="00D46B50">
        <w:t>Shared Care criteria</w:t>
      </w:r>
      <w:bookmarkEnd w:id="3"/>
      <w:bookmarkEnd w:id="5"/>
      <w:bookmarkEnd w:id="6"/>
    </w:p>
    <w:bookmarkEnd w:id="4"/>
    <w:p w14:paraId="589977CC" w14:textId="71BB12C3" w:rsidR="00592DE9" w:rsidRDefault="00D46B50" w:rsidP="00D46B50">
      <w:pPr>
        <w:pStyle w:val="NCLBodyText"/>
      </w:pPr>
      <w:r w:rsidRPr="00D46B50">
        <w:t xml:space="preserve">Patients who are stabilised on </w:t>
      </w:r>
      <w:r w:rsidR="00D55FDD">
        <w:t>methadone,</w:t>
      </w:r>
      <w:r w:rsidRPr="00D46B50">
        <w:t xml:space="preserve"> </w:t>
      </w:r>
      <w:r w:rsidR="0068611C">
        <w:t xml:space="preserve">for pain control who are under palliative care services </w:t>
      </w:r>
      <w:r w:rsidR="00CA507F">
        <w:t xml:space="preserve">within the NCL region </w:t>
      </w:r>
      <w:r w:rsidR="0068611C">
        <w:t xml:space="preserve">and </w:t>
      </w:r>
      <w:r w:rsidRPr="00D46B50">
        <w:t>have been monitored appropriately at baseline</w:t>
      </w:r>
      <w:r w:rsidR="00D55FDD">
        <w:t>,</w:t>
      </w:r>
      <w:r w:rsidRPr="00D46B50">
        <w:t xml:space="preserve"> and after initiation of treatment with no problems </w:t>
      </w:r>
      <w:r w:rsidR="00B751C3">
        <w:t xml:space="preserve">that </w:t>
      </w:r>
      <w:r w:rsidR="00D55FDD">
        <w:t>ha</w:t>
      </w:r>
      <w:r w:rsidR="00B751C3">
        <w:t>ve</w:t>
      </w:r>
      <w:r w:rsidR="00D55FDD">
        <w:t xml:space="preserve"> been </w:t>
      </w:r>
      <w:r w:rsidRPr="00D46B50">
        <w:t>identified during this period.</w:t>
      </w:r>
    </w:p>
    <w:p w14:paraId="1295C453" w14:textId="77777777" w:rsidR="00592DE9" w:rsidRDefault="0068611C" w:rsidP="0068611C">
      <w:pPr>
        <w:pStyle w:val="NCLHeading1"/>
        <w:numPr>
          <w:ilvl w:val="0"/>
          <w:numId w:val="32"/>
        </w:numPr>
      </w:pPr>
      <w:bookmarkStart w:id="7" w:name="_Toc535932376"/>
      <w:r>
        <w:t xml:space="preserve"> </w:t>
      </w:r>
      <w:bookmarkStart w:id="8" w:name="_Toc121760568"/>
      <w:bookmarkStart w:id="9" w:name="_Toc128414119"/>
      <w:r w:rsidR="00D46B50" w:rsidRPr="00D46B50">
        <w:t>Shared care responsibilities</w:t>
      </w:r>
      <w:bookmarkEnd w:id="7"/>
      <w:bookmarkEnd w:id="8"/>
      <w:bookmarkEnd w:id="9"/>
    </w:p>
    <w:p w14:paraId="16995742" w14:textId="77777777" w:rsidR="00D46B50" w:rsidRPr="0027048E" w:rsidRDefault="00D46B50" w:rsidP="00F11531">
      <w:pPr>
        <w:pStyle w:val="NCLHeading2"/>
        <w:numPr>
          <w:ilvl w:val="1"/>
          <w:numId w:val="32"/>
        </w:numPr>
        <w:ind w:left="851"/>
      </w:pPr>
      <w:bookmarkStart w:id="10" w:name="_Toc535932377"/>
      <w:bookmarkStart w:id="11" w:name="_Toc121760569"/>
      <w:bookmarkStart w:id="12" w:name="_Toc128414120"/>
      <w:r w:rsidRPr="0027048E">
        <w:t>Consultant and /or Specialist Nurse</w:t>
      </w:r>
      <w:bookmarkEnd w:id="10"/>
      <w:bookmarkEnd w:id="11"/>
      <w:bookmarkEnd w:id="12"/>
    </w:p>
    <w:p w14:paraId="13B52DCF" w14:textId="77777777" w:rsidR="004112F5" w:rsidRDefault="00D46B50" w:rsidP="00F11531">
      <w:pPr>
        <w:pStyle w:val="NCLBodyText"/>
        <w:ind w:left="491"/>
      </w:pPr>
      <w:r w:rsidRPr="0027048E">
        <w:t xml:space="preserve">Send a letter to the GP along with shared care criteria and </w:t>
      </w:r>
      <w:r w:rsidR="00D55FDD">
        <w:t xml:space="preserve">the </w:t>
      </w:r>
      <w:r w:rsidRPr="0027048E">
        <w:t xml:space="preserve">transfer form requesting shared care for this patient. Indication, dose and frequency to be decided by the hospital team.  </w:t>
      </w:r>
    </w:p>
    <w:p w14:paraId="28AB25D5" w14:textId="77777777" w:rsidR="00B751C3" w:rsidRPr="0027048E" w:rsidRDefault="00B751C3" w:rsidP="00D46B50">
      <w:pPr>
        <w:pStyle w:val="NCLBodyText"/>
      </w:pPr>
    </w:p>
    <w:p w14:paraId="48D728BB" w14:textId="0F52EBD0" w:rsidR="00D46B50" w:rsidRPr="0027048E" w:rsidRDefault="00D46B50" w:rsidP="00F11531">
      <w:pPr>
        <w:pStyle w:val="ListNumber"/>
        <w:ind w:left="993" w:hanging="426"/>
      </w:pPr>
      <w:r w:rsidRPr="0027048E">
        <w:lastRenderedPageBreak/>
        <w:t>Initiate treatment and prescribe until the GP formally agrees to share care (</w:t>
      </w:r>
      <w:r>
        <w:t xml:space="preserve">until </w:t>
      </w:r>
      <w:r w:rsidR="0085700C">
        <w:t xml:space="preserve">the </w:t>
      </w:r>
      <w:r w:rsidRPr="0027048E">
        <w:t>patient is stabilised</w:t>
      </w:r>
      <w:r>
        <w:t xml:space="preserve"> or according to Section C for local minimum supply durations</w:t>
      </w:r>
      <w:r w:rsidRPr="0027048E">
        <w:t xml:space="preserve">). </w:t>
      </w:r>
      <w:r>
        <w:t xml:space="preserve"> </w:t>
      </w:r>
      <w:r w:rsidR="007A6CBE">
        <w:t>Treatment should only be initiated</w:t>
      </w:r>
      <w:r w:rsidR="00413846">
        <w:t xml:space="preserve"> if</w:t>
      </w:r>
      <w:r w:rsidR="00146436">
        <w:t xml:space="preserve"> the GP has agreed to shared care before starting.</w:t>
      </w:r>
    </w:p>
    <w:p w14:paraId="01426B4C" w14:textId="77777777" w:rsidR="00D46B50" w:rsidRPr="0027048E" w:rsidRDefault="00D46B50" w:rsidP="00F11531">
      <w:pPr>
        <w:pStyle w:val="ListNumber"/>
        <w:ind w:left="993" w:hanging="426"/>
        <w:rPr>
          <w:sz w:val="24"/>
        </w:rPr>
      </w:pPr>
      <w:r w:rsidRPr="0027048E">
        <w:rPr>
          <w:snapToGrid w:val="0"/>
        </w:rPr>
        <w:t>Discuss the shared care arrangement with the patient</w:t>
      </w:r>
      <w:r w:rsidR="00D55FDD">
        <w:rPr>
          <w:snapToGrid w:val="0"/>
        </w:rPr>
        <w:t>.</w:t>
      </w:r>
    </w:p>
    <w:p w14:paraId="6C1B0285" w14:textId="77777777" w:rsidR="00D46B50" w:rsidRPr="0027048E" w:rsidRDefault="00D46B50" w:rsidP="00F11531">
      <w:pPr>
        <w:pStyle w:val="ListNumber"/>
        <w:ind w:left="993" w:hanging="426"/>
        <w:rPr>
          <w:sz w:val="24"/>
        </w:rPr>
      </w:pPr>
      <w:r w:rsidRPr="0027048E">
        <w:rPr>
          <w:snapToGrid w:val="0"/>
        </w:rPr>
        <w:t xml:space="preserve">Provide results of </w:t>
      </w:r>
      <w:r w:rsidR="00D55FDD">
        <w:rPr>
          <w:snapToGrid w:val="0"/>
        </w:rPr>
        <w:t xml:space="preserve">any </w:t>
      </w:r>
      <w:r w:rsidRPr="0027048E">
        <w:rPr>
          <w:snapToGrid w:val="0"/>
        </w:rPr>
        <w:t xml:space="preserve">baseline tests and </w:t>
      </w:r>
      <w:r w:rsidR="00D55FDD">
        <w:rPr>
          <w:snapToGrid w:val="0"/>
        </w:rPr>
        <w:t xml:space="preserve">any additional tests and </w:t>
      </w:r>
      <w:r w:rsidRPr="0027048E">
        <w:rPr>
          <w:snapToGrid w:val="0"/>
        </w:rPr>
        <w:t>recommend</w:t>
      </w:r>
      <w:r w:rsidR="00D55FDD">
        <w:rPr>
          <w:snapToGrid w:val="0"/>
        </w:rPr>
        <w:t>ed</w:t>
      </w:r>
      <w:r w:rsidRPr="0027048E">
        <w:rPr>
          <w:snapToGrid w:val="0"/>
        </w:rPr>
        <w:t xml:space="preserve"> frequency of monitoring </w:t>
      </w:r>
      <w:r w:rsidR="00D55FDD">
        <w:rPr>
          <w:snapToGrid w:val="0"/>
        </w:rPr>
        <w:t>with the</w:t>
      </w:r>
      <w:r w:rsidRPr="0027048E">
        <w:rPr>
          <w:snapToGrid w:val="0"/>
        </w:rPr>
        <w:t xml:space="preserve"> GP. The consultant must also explain what the recommended tests are, why they are needed</w:t>
      </w:r>
      <w:r w:rsidR="00D55FDD">
        <w:rPr>
          <w:snapToGrid w:val="0"/>
        </w:rPr>
        <w:t>,</w:t>
      </w:r>
      <w:r w:rsidRPr="0027048E">
        <w:rPr>
          <w:snapToGrid w:val="0"/>
        </w:rPr>
        <w:t xml:space="preserve"> and the location in which these tests will be carried out</w:t>
      </w:r>
      <w:r w:rsidR="00D55FDD">
        <w:rPr>
          <w:snapToGrid w:val="0"/>
        </w:rPr>
        <w:t>.</w:t>
      </w:r>
    </w:p>
    <w:p w14:paraId="633CA632" w14:textId="77777777" w:rsidR="00D46B50" w:rsidRPr="0027048E" w:rsidRDefault="00D46B50" w:rsidP="00F11531">
      <w:pPr>
        <w:pStyle w:val="ListNumber"/>
        <w:ind w:left="993" w:hanging="426"/>
        <w:rPr>
          <w:sz w:val="24"/>
        </w:rPr>
      </w:pPr>
      <w:r w:rsidRPr="0027048E">
        <w:rPr>
          <w:snapToGrid w:val="0"/>
        </w:rPr>
        <w:t>In</w:t>
      </w:r>
      <w:r w:rsidRPr="0027048E">
        <w:t xml:space="preserve">form </w:t>
      </w:r>
      <w:r w:rsidR="0085700C">
        <w:t xml:space="preserve">the </w:t>
      </w:r>
      <w:r w:rsidRPr="0027048E">
        <w:t>GP of blood test result</w:t>
      </w:r>
      <w:r w:rsidR="0085700C">
        <w:t xml:space="preserve">s and </w:t>
      </w:r>
      <w:r w:rsidRPr="0027048E">
        <w:t xml:space="preserve">actions to take in case of abnormal </w:t>
      </w:r>
      <w:proofErr w:type="gramStart"/>
      <w:r w:rsidRPr="0027048E">
        <w:t>results, and</w:t>
      </w:r>
      <w:proofErr w:type="gramEnd"/>
      <w:r w:rsidRPr="0027048E">
        <w:t xml:space="preserve"> advise the GP on when to adjust the dose, stop treatment, or consult with </w:t>
      </w:r>
      <w:r w:rsidR="00D55FDD">
        <w:t xml:space="preserve">the </w:t>
      </w:r>
      <w:r w:rsidRPr="0027048E">
        <w:t>specialist</w:t>
      </w:r>
      <w:r w:rsidR="00D55FDD">
        <w:t xml:space="preserve"> team.</w:t>
      </w:r>
    </w:p>
    <w:p w14:paraId="28C0B78A" w14:textId="77777777" w:rsidR="00D46B50" w:rsidRPr="0027048E" w:rsidRDefault="00D46B50" w:rsidP="00F11531">
      <w:pPr>
        <w:pStyle w:val="ListNumber"/>
        <w:ind w:left="993" w:hanging="426"/>
        <w:rPr>
          <w:sz w:val="24"/>
        </w:rPr>
      </w:pPr>
      <w:r w:rsidRPr="0027048E">
        <w:rPr>
          <w:snapToGrid w:val="0"/>
        </w:rPr>
        <w:t>Periodically review the patient’s condition and communicate promptly with the GP when treatment is changed.</w:t>
      </w:r>
      <w:r w:rsidRPr="0027048E">
        <w:t xml:space="preserve">  Counsel the patient on any dose changes that are made during </w:t>
      </w:r>
      <w:r w:rsidR="00D55FDD">
        <w:t xml:space="preserve">specialist </w:t>
      </w:r>
      <w:r w:rsidRPr="0027048E">
        <w:t>appointments</w:t>
      </w:r>
      <w:r w:rsidR="00D55FDD">
        <w:t xml:space="preserve"> or reviews.</w:t>
      </w:r>
    </w:p>
    <w:p w14:paraId="044DE7C7" w14:textId="77777777" w:rsidR="00D46B50" w:rsidRPr="0027048E" w:rsidRDefault="00D46B50" w:rsidP="00F11531">
      <w:pPr>
        <w:pStyle w:val="ListNumber"/>
        <w:ind w:left="993" w:hanging="426"/>
        <w:rPr>
          <w:sz w:val="24"/>
        </w:rPr>
      </w:pPr>
      <w:r w:rsidRPr="0027048E">
        <w:t xml:space="preserve">Evaluate adverse effects reported by </w:t>
      </w:r>
      <w:r w:rsidR="00D55FDD">
        <w:t xml:space="preserve">the </w:t>
      </w:r>
      <w:r w:rsidRPr="0027048E">
        <w:t>GP or patient</w:t>
      </w:r>
      <w:r w:rsidR="00D55FDD">
        <w:t>.</w:t>
      </w:r>
    </w:p>
    <w:p w14:paraId="3BC16B13" w14:textId="77777777" w:rsidR="00D46B50" w:rsidRPr="0027048E" w:rsidRDefault="00D46B50" w:rsidP="00F11531">
      <w:pPr>
        <w:pStyle w:val="ListNumber"/>
        <w:ind w:left="993" w:hanging="426"/>
      </w:pPr>
      <w:r w:rsidRPr="0027048E">
        <w:t xml:space="preserve">Report adverse events to the MHRA (via </w:t>
      </w:r>
      <w:r w:rsidR="0085700C">
        <w:t xml:space="preserve">the </w:t>
      </w:r>
      <w:r w:rsidRPr="0027048E">
        <w:t xml:space="preserve">yellow card scheme) and </w:t>
      </w:r>
      <w:r w:rsidR="00D55FDD">
        <w:t xml:space="preserve">the </w:t>
      </w:r>
      <w:r w:rsidRPr="0027048E">
        <w:t>GP</w:t>
      </w:r>
      <w:r w:rsidR="00D55FDD">
        <w:t>.</w:t>
      </w:r>
    </w:p>
    <w:p w14:paraId="06359112" w14:textId="77777777" w:rsidR="00D46B50" w:rsidRPr="0027048E" w:rsidRDefault="00D46B50" w:rsidP="00F11531">
      <w:pPr>
        <w:pStyle w:val="ListNumber"/>
        <w:ind w:left="993" w:hanging="426"/>
      </w:pPr>
      <w:r w:rsidRPr="0027048E">
        <w:t>Inform GP of patients who do not attend appointments</w:t>
      </w:r>
      <w:r w:rsidR="00D55FDD">
        <w:t>/</w:t>
      </w:r>
      <w:proofErr w:type="gramStart"/>
      <w:r w:rsidR="00D55FDD">
        <w:t>reviews</w:t>
      </w:r>
      <w:proofErr w:type="gramEnd"/>
      <w:r w:rsidR="00D55FDD">
        <w:t xml:space="preserve"> </w:t>
      </w:r>
    </w:p>
    <w:p w14:paraId="500B18DC" w14:textId="77777777" w:rsidR="004112F5" w:rsidRDefault="00D46B50" w:rsidP="00F11531">
      <w:pPr>
        <w:pStyle w:val="ListNumber"/>
        <w:ind w:left="993" w:hanging="426"/>
      </w:pPr>
      <w:r w:rsidRPr="0027048E">
        <w:t>Ensure that clear backup arrangements exist for GPs to obtain advice and support</w:t>
      </w:r>
      <w:r w:rsidR="00924357">
        <w:t>.</w:t>
      </w:r>
    </w:p>
    <w:p w14:paraId="54C58809" w14:textId="77777777" w:rsidR="004112F5" w:rsidRDefault="004112F5" w:rsidP="00F11531">
      <w:pPr>
        <w:pStyle w:val="ListNumber"/>
        <w:ind w:left="993" w:hanging="426"/>
      </w:pPr>
      <w:r>
        <w:t xml:space="preserve">Initial assessment of the appropriateness </w:t>
      </w:r>
      <w:r w:rsidR="0085700C">
        <w:t>of</w:t>
      </w:r>
      <w:r>
        <w:t xml:space="preserve"> Methadone</w:t>
      </w:r>
      <w:r w:rsidR="00C64529">
        <w:t xml:space="preserve"> will be undertaken by the specialist.</w:t>
      </w:r>
    </w:p>
    <w:p w14:paraId="3900B27D" w14:textId="77777777" w:rsidR="004112F5" w:rsidRDefault="004112F5" w:rsidP="00F11531">
      <w:pPr>
        <w:pStyle w:val="ListNumber"/>
        <w:ind w:left="993" w:hanging="426"/>
      </w:pPr>
      <w:r>
        <w:t xml:space="preserve">Consider and assess for the risk of long QT syndrome </w:t>
      </w:r>
      <w:proofErr w:type="gramStart"/>
      <w:r>
        <w:t>e.g.</w:t>
      </w:r>
      <w:proofErr w:type="gramEnd"/>
      <w:r>
        <w:t xml:space="preserve"> those with:</w:t>
      </w:r>
    </w:p>
    <w:p w14:paraId="6ACC2A7E" w14:textId="77777777" w:rsidR="004112F5" w:rsidRDefault="004112F5" w:rsidP="00F11531">
      <w:pPr>
        <w:pStyle w:val="ListNumber"/>
        <w:numPr>
          <w:ilvl w:val="0"/>
          <w:numId w:val="0"/>
        </w:numPr>
        <w:ind w:left="873" w:firstLine="153"/>
      </w:pPr>
      <w:r>
        <w:rPr>
          <w:rFonts w:ascii="Segoe UI Symbol" w:hAnsi="Segoe UI Symbol" w:cs="Segoe UI Symbol"/>
        </w:rPr>
        <w:t>➢</w:t>
      </w:r>
      <w:r>
        <w:t xml:space="preserve"> a history of cardiac conduction abnormalities</w:t>
      </w:r>
    </w:p>
    <w:p w14:paraId="35870FBF" w14:textId="77777777" w:rsidR="004112F5" w:rsidRDefault="004112F5" w:rsidP="00F11531">
      <w:pPr>
        <w:pStyle w:val="ListNumber"/>
        <w:numPr>
          <w:ilvl w:val="0"/>
          <w:numId w:val="0"/>
        </w:numPr>
        <w:ind w:left="873" w:firstLine="153"/>
      </w:pPr>
      <w:r>
        <w:rPr>
          <w:rFonts w:ascii="Segoe UI Symbol" w:hAnsi="Segoe UI Symbol" w:cs="Segoe UI Symbol"/>
        </w:rPr>
        <w:t>➢</w:t>
      </w:r>
      <w:r>
        <w:t xml:space="preserve"> a family history of sudden death</w:t>
      </w:r>
    </w:p>
    <w:p w14:paraId="1973E27D" w14:textId="77777777" w:rsidR="004112F5" w:rsidRDefault="004112F5" w:rsidP="00F11531">
      <w:pPr>
        <w:pStyle w:val="ListNumber"/>
        <w:numPr>
          <w:ilvl w:val="0"/>
          <w:numId w:val="0"/>
        </w:numPr>
        <w:ind w:left="873" w:firstLine="153"/>
      </w:pPr>
      <w:r>
        <w:rPr>
          <w:rFonts w:ascii="Segoe UI Symbol" w:hAnsi="Segoe UI Symbol" w:cs="Segoe UI Symbol"/>
        </w:rPr>
        <w:t>➢</w:t>
      </w:r>
      <w:r>
        <w:t xml:space="preserve"> advanced heart disease or ischaemic heart disease</w:t>
      </w:r>
    </w:p>
    <w:p w14:paraId="0DC48F8F" w14:textId="77777777" w:rsidR="004112F5" w:rsidRDefault="004112F5" w:rsidP="00F11531">
      <w:pPr>
        <w:pStyle w:val="ListNumber"/>
        <w:numPr>
          <w:ilvl w:val="0"/>
          <w:numId w:val="0"/>
        </w:numPr>
        <w:ind w:left="873" w:firstLine="153"/>
      </w:pPr>
      <w:r>
        <w:rPr>
          <w:rFonts w:ascii="Segoe UI Symbol" w:hAnsi="Segoe UI Symbol" w:cs="Segoe UI Symbol"/>
        </w:rPr>
        <w:t>➢</w:t>
      </w:r>
      <w:r>
        <w:t xml:space="preserve"> liver disease</w:t>
      </w:r>
    </w:p>
    <w:p w14:paraId="48C412A0" w14:textId="77777777" w:rsidR="004112F5" w:rsidRDefault="004112F5" w:rsidP="00F11531">
      <w:pPr>
        <w:pStyle w:val="ListNumber"/>
        <w:numPr>
          <w:ilvl w:val="0"/>
          <w:numId w:val="0"/>
        </w:numPr>
        <w:ind w:left="873" w:firstLine="153"/>
      </w:pPr>
      <w:r>
        <w:rPr>
          <w:rFonts w:ascii="Segoe UI Symbol" w:hAnsi="Segoe UI Symbol" w:cs="Segoe UI Symbol"/>
        </w:rPr>
        <w:t>➢</w:t>
      </w:r>
      <w:r>
        <w:t xml:space="preserve"> electrolyte abnormalities</w:t>
      </w:r>
    </w:p>
    <w:p w14:paraId="250B6E60" w14:textId="77777777" w:rsidR="004112F5" w:rsidRDefault="004112F5" w:rsidP="00F11531">
      <w:pPr>
        <w:pStyle w:val="ListNumber"/>
        <w:numPr>
          <w:ilvl w:val="0"/>
          <w:numId w:val="0"/>
        </w:numPr>
        <w:ind w:left="873" w:firstLine="153"/>
      </w:pPr>
      <w:r>
        <w:rPr>
          <w:rFonts w:ascii="Segoe UI Symbol" w:hAnsi="Segoe UI Symbol" w:cs="Segoe UI Symbol"/>
        </w:rPr>
        <w:t>➢</w:t>
      </w:r>
      <w:r>
        <w:t xml:space="preserve"> concurrent treatment with drugs which:</w:t>
      </w:r>
    </w:p>
    <w:p w14:paraId="42962215" w14:textId="77777777" w:rsidR="004112F5" w:rsidRDefault="004112F5" w:rsidP="00C64529">
      <w:pPr>
        <w:pStyle w:val="ListNumber"/>
        <w:numPr>
          <w:ilvl w:val="0"/>
          <w:numId w:val="0"/>
        </w:numPr>
        <w:ind w:left="1287" w:firstLine="153"/>
      </w:pPr>
      <w:r>
        <w:t>▪ may cause electrolyte abnormalities</w:t>
      </w:r>
    </w:p>
    <w:p w14:paraId="14A644DE" w14:textId="77777777" w:rsidR="004112F5" w:rsidRDefault="004112F5" w:rsidP="00C64529">
      <w:pPr>
        <w:pStyle w:val="ListNumber"/>
        <w:numPr>
          <w:ilvl w:val="0"/>
          <w:numId w:val="0"/>
        </w:numPr>
        <w:ind w:left="1134" w:firstLine="306"/>
      </w:pPr>
      <w:r>
        <w:t xml:space="preserve">▪ have </w:t>
      </w:r>
      <w:r w:rsidR="0085700C">
        <w:t>the</w:t>
      </w:r>
      <w:r>
        <w:t xml:space="preserve"> potential to prolong QT</w:t>
      </w:r>
    </w:p>
    <w:p w14:paraId="49ACA5D4" w14:textId="77777777" w:rsidR="004112F5" w:rsidRDefault="004112F5" w:rsidP="00C64529">
      <w:pPr>
        <w:pStyle w:val="ListNumber"/>
        <w:numPr>
          <w:ilvl w:val="0"/>
          <w:numId w:val="0"/>
        </w:numPr>
        <w:ind w:left="981" w:firstLine="459"/>
      </w:pPr>
      <w:r>
        <w:t>▪ inhibit CYP3A4</w:t>
      </w:r>
      <w:r w:rsidR="0022314B">
        <w:t xml:space="preserve"> cytochrome isoenzymes</w:t>
      </w:r>
      <w:r>
        <w:t>.</w:t>
      </w:r>
    </w:p>
    <w:p w14:paraId="7F62A428" w14:textId="77777777" w:rsidR="004112F5" w:rsidRDefault="004112F5" w:rsidP="00F11531">
      <w:pPr>
        <w:pStyle w:val="ListNumber"/>
        <w:ind w:left="993" w:hanging="426"/>
      </w:pPr>
      <w:r>
        <w:t>Obtain informed consent; ensure the patient understands the dosing, the benefits, side effects, intended outcomes</w:t>
      </w:r>
      <w:r w:rsidR="0085700C">
        <w:t>,</w:t>
      </w:r>
      <w:r>
        <w:t xml:space="preserve"> and possible drug</w:t>
      </w:r>
      <w:r w:rsidR="00CA0AB0">
        <w:t xml:space="preserve"> </w:t>
      </w:r>
      <w:r>
        <w:t>interactions of treatment.</w:t>
      </w:r>
      <w:r w:rsidR="00D74B9D">
        <w:t xml:space="preserve"> Provide the patient with a patient information leaflet (PIL).</w:t>
      </w:r>
    </w:p>
    <w:p w14:paraId="06409330" w14:textId="05F68E29" w:rsidR="004112F5" w:rsidRDefault="004112F5" w:rsidP="00F11531">
      <w:pPr>
        <w:pStyle w:val="ListNumber"/>
        <w:ind w:left="993" w:hanging="426"/>
      </w:pPr>
      <w:r>
        <w:t xml:space="preserve">Undertake </w:t>
      </w:r>
      <w:r w:rsidR="00C64529">
        <w:t xml:space="preserve">any </w:t>
      </w:r>
      <w:r>
        <w:t>baseline monitoring prior to initiation of Methadone</w:t>
      </w:r>
      <w:r w:rsidR="00C64529">
        <w:t xml:space="preserve"> (tests may need to be obtained via the GP under certain circumstances especially when the patient is not an inpatient</w:t>
      </w:r>
      <w:r w:rsidR="0085700C">
        <w:t>. This is</w:t>
      </w:r>
      <w:r w:rsidR="00C64529">
        <w:t xml:space="preserve"> due to the palliative care </w:t>
      </w:r>
      <w:r w:rsidR="0085700C">
        <w:t xml:space="preserve">community </w:t>
      </w:r>
      <w:r w:rsidR="00C64529">
        <w:t xml:space="preserve">teams lacking </w:t>
      </w:r>
      <w:r w:rsidR="0085700C">
        <w:t xml:space="preserve">direct </w:t>
      </w:r>
      <w:r w:rsidR="00C64529">
        <w:t>access to community phlebotomy)</w:t>
      </w:r>
      <w:r>
        <w:t>:</w:t>
      </w:r>
    </w:p>
    <w:p w14:paraId="765B4744" w14:textId="77777777" w:rsidR="004112F5" w:rsidRDefault="004112F5" w:rsidP="00F11531">
      <w:pPr>
        <w:pStyle w:val="ListNumber"/>
        <w:numPr>
          <w:ilvl w:val="0"/>
          <w:numId w:val="0"/>
        </w:numPr>
        <w:ind w:left="993"/>
      </w:pPr>
      <w:r>
        <w:rPr>
          <w:rFonts w:ascii="Segoe UI Symbol" w:hAnsi="Segoe UI Symbol" w:cs="Segoe UI Symbol"/>
        </w:rPr>
        <w:t>➢</w:t>
      </w:r>
      <w:r>
        <w:t xml:space="preserve"> Measure electrolytes and correct </w:t>
      </w:r>
      <w:r w:rsidR="0085700C">
        <w:t xml:space="preserve">them </w:t>
      </w:r>
      <w:r>
        <w:t>as appropriate – especially for hypokalaemia,</w:t>
      </w:r>
      <w:r w:rsidR="00C64529">
        <w:t xml:space="preserve"> </w:t>
      </w:r>
      <w:r w:rsidR="001B4012">
        <w:t>hypomagnesemia</w:t>
      </w:r>
      <w:r>
        <w:t xml:space="preserve">, </w:t>
      </w:r>
      <w:r w:rsidR="00CD04A7">
        <w:t>hypocalcaemia</w:t>
      </w:r>
      <w:r>
        <w:t xml:space="preserve"> &amp;</w:t>
      </w:r>
      <w:r w:rsidR="00CA0AB0">
        <w:t xml:space="preserve"> </w:t>
      </w:r>
      <w:r w:rsidR="002A05AD">
        <w:t>hypophosphatemia</w:t>
      </w:r>
      <w:r>
        <w:t>.</w:t>
      </w:r>
    </w:p>
    <w:p w14:paraId="26C9E9B3" w14:textId="77777777" w:rsidR="004112F5" w:rsidRDefault="004112F5" w:rsidP="00BF3655">
      <w:pPr>
        <w:pStyle w:val="ListNumber"/>
        <w:ind w:left="993" w:hanging="426"/>
      </w:pPr>
      <w:r>
        <w:t>Perform baseline ECG</w:t>
      </w:r>
      <w:r w:rsidR="00C64529">
        <w:t xml:space="preserve"> as required</w:t>
      </w:r>
      <w:r>
        <w:t>:</w:t>
      </w:r>
    </w:p>
    <w:p w14:paraId="2B174462" w14:textId="77777777" w:rsidR="00CA0AB0" w:rsidRDefault="004112F5" w:rsidP="00BF3655">
      <w:pPr>
        <w:pStyle w:val="ListNumber"/>
        <w:numPr>
          <w:ilvl w:val="0"/>
          <w:numId w:val="0"/>
        </w:numPr>
        <w:ind w:left="993"/>
      </w:pPr>
      <w:r>
        <w:rPr>
          <w:rFonts w:ascii="Segoe UI Symbol" w:hAnsi="Segoe UI Symbol" w:cs="Segoe UI Symbol"/>
        </w:rPr>
        <w:t>➢</w:t>
      </w:r>
      <w:r>
        <w:t xml:space="preserve"> QT interval prolongation and, rarely, a serious ventricular arrhythmia (torsade de pointes) have been observed during treatment</w:t>
      </w:r>
      <w:r w:rsidR="00CA0AB0">
        <w:t xml:space="preserve"> with methadone.</w:t>
      </w:r>
      <w:r w:rsidR="00CA0AB0" w:rsidRPr="00CA0AB0">
        <w:t xml:space="preserve"> </w:t>
      </w:r>
      <w:r w:rsidRPr="00CA0AB0">
        <w:t>Generally, the latter is associated with, but not limited to, higher-dose treatmen</w:t>
      </w:r>
      <w:r w:rsidR="00CA0AB0" w:rsidRPr="00CA0AB0">
        <w:t xml:space="preserve">t </w:t>
      </w:r>
      <w:r w:rsidRPr="00CA0AB0">
        <w:t>(&gt;</w:t>
      </w:r>
      <w:r w:rsidR="00C64529">
        <w:t xml:space="preserve"> 100mg</w:t>
      </w:r>
      <w:r w:rsidRPr="00CA0AB0">
        <w:t>/24h).</w:t>
      </w:r>
    </w:p>
    <w:p w14:paraId="36A71A9A" w14:textId="44D47E86" w:rsidR="004112F5" w:rsidRDefault="00DC6F0C" w:rsidP="00BF3655">
      <w:pPr>
        <w:pStyle w:val="ListNumber"/>
        <w:ind w:left="993" w:hanging="426"/>
      </w:pPr>
      <w:r>
        <w:t xml:space="preserve">Consider using </w:t>
      </w:r>
      <w:proofErr w:type="gramStart"/>
      <w:r>
        <w:t>a</w:t>
      </w:r>
      <w:proofErr w:type="gramEnd"/>
      <w:r w:rsidR="00D45D08">
        <w:t xml:space="preserve"> Opioid Toxicity Monitoring chart </w:t>
      </w:r>
      <w:r>
        <w:t>when making changes to methadone dosing</w:t>
      </w:r>
      <w:r w:rsidR="00D45D08">
        <w:t xml:space="preserve"> (which can be completed by the patient at home). The chart </w:t>
      </w:r>
      <w:r>
        <w:t>can be</w:t>
      </w:r>
      <w:r w:rsidR="00D45D08">
        <w:t xml:space="preserve"> continued throughout treatment, but the specialist may decide to stop </w:t>
      </w:r>
      <w:r>
        <w:t>formal</w:t>
      </w:r>
      <w:r w:rsidR="00D45D08">
        <w:t xml:space="preserve"> monitoring in patients on an established stable dose with no concerns. </w:t>
      </w:r>
      <w:r w:rsidR="00441E7C">
        <w:t xml:space="preserve">An example Opioid Toxicity Monitoring chart </w:t>
      </w:r>
      <w:r w:rsidR="00441E7C">
        <w:lastRenderedPageBreak/>
        <w:t xml:space="preserve">can be seen in the </w:t>
      </w:r>
      <w:hyperlink r:id="rId12" w:history="1">
        <w:r w:rsidR="00441E7C" w:rsidRPr="00441E7C">
          <w:rPr>
            <w:rStyle w:val="Hyperlink"/>
          </w:rPr>
          <w:t>CNWL guidance</w:t>
        </w:r>
      </w:hyperlink>
      <w:r w:rsidR="00441E7C">
        <w:t xml:space="preserve"> </w:t>
      </w:r>
      <w:r w:rsidR="0092779F">
        <w:t xml:space="preserve">(Appendix 3) </w:t>
      </w:r>
      <w:r w:rsidR="00441E7C">
        <w:t xml:space="preserve">–  </w:t>
      </w:r>
      <w:r>
        <w:t xml:space="preserve">it is recommended any </w:t>
      </w:r>
      <w:r w:rsidR="00441E7C">
        <w:t>chart</w:t>
      </w:r>
      <w:r w:rsidR="00D45D08">
        <w:t xml:space="preserve"> should contain</w:t>
      </w:r>
      <w:r w:rsidR="004112F5">
        <w:t>:</w:t>
      </w:r>
    </w:p>
    <w:p w14:paraId="43B445DC" w14:textId="77777777" w:rsidR="004112F5" w:rsidRDefault="004112F5" w:rsidP="00BF3655">
      <w:pPr>
        <w:pStyle w:val="ListNumber"/>
        <w:numPr>
          <w:ilvl w:val="0"/>
          <w:numId w:val="0"/>
        </w:numPr>
        <w:ind w:left="873" w:firstLine="153"/>
      </w:pPr>
      <w:r>
        <w:rPr>
          <w:rFonts w:ascii="Segoe UI Symbol" w:hAnsi="Segoe UI Symbol" w:cs="Segoe UI Symbol"/>
        </w:rPr>
        <w:t>➢</w:t>
      </w:r>
      <w:r>
        <w:t xml:space="preserve"> Respiratory rate</w:t>
      </w:r>
    </w:p>
    <w:p w14:paraId="75E8E06F" w14:textId="77777777" w:rsidR="004112F5" w:rsidRDefault="004112F5" w:rsidP="00BF3655">
      <w:pPr>
        <w:pStyle w:val="ListNumber"/>
        <w:numPr>
          <w:ilvl w:val="0"/>
          <w:numId w:val="0"/>
        </w:numPr>
        <w:ind w:left="873" w:firstLine="153"/>
      </w:pPr>
      <w:r>
        <w:rPr>
          <w:rFonts w:ascii="Segoe UI Symbol" w:hAnsi="Segoe UI Symbol" w:cs="Segoe UI Symbol"/>
        </w:rPr>
        <w:t>➢</w:t>
      </w:r>
      <w:r>
        <w:t xml:space="preserve"> Conscious Level</w:t>
      </w:r>
    </w:p>
    <w:p w14:paraId="01F70886" w14:textId="77777777" w:rsidR="004112F5" w:rsidRDefault="004112F5" w:rsidP="00BF3655">
      <w:pPr>
        <w:pStyle w:val="ListNumber"/>
        <w:numPr>
          <w:ilvl w:val="0"/>
          <w:numId w:val="0"/>
        </w:numPr>
        <w:ind w:left="873" w:firstLine="153"/>
      </w:pPr>
      <w:r>
        <w:rPr>
          <w:rFonts w:ascii="Segoe UI Symbol" w:hAnsi="Segoe UI Symbol" w:cs="Segoe UI Symbol"/>
        </w:rPr>
        <w:t>➢</w:t>
      </w:r>
      <w:r>
        <w:t xml:space="preserve"> Symptoms of opioid-induced neurotoxicity:</w:t>
      </w:r>
    </w:p>
    <w:p w14:paraId="7D0EBC71" w14:textId="77777777" w:rsidR="004112F5" w:rsidRDefault="004112F5" w:rsidP="007428C3">
      <w:pPr>
        <w:pStyle w:val="ListNumber"/>
        <w:numPr>
          <w:ilvl w:val="0"/>
          <w:numId w:val="0"/>
        </w:numPr>
        <w:ind w:left="1287" w:firstLine="153"/>
      </w:pPr>
      <w:r>
        <w:t>▪ Myoclonus, myoclonic jerks</w:t>
      </w:r>
    </w:p>
    <w:p w14:paraId="39602AFF" w14:textId="77777777" w:rsidR="004112F5" w:rsidRDefault="004112F5" w:rsidP="007428C3">
      <w:pPr>
        <w:pStyle w:val="ListNumber"/>
        <w:numPr>
          <w:ilvl w:val="0"/>
          <w:numId w:val="0"/>
        </w:numPr>
        <w:ind w:left="1134" w:firstLine="306"/>
      </w:pPr>
      <w:r>
        <w:t>▪ Hallucination</w:t>
      </w:r>
    </w:p>
    <w:p w14:paraId="395E516D" w14:textId="77777777" w:rsidR="004112F5" w:rsidRDefault="004112F5" w:rsidP="007428C3">
      <w:pPr>
        <w:pStyle w:val="ListNumber"/>
        <w:numPr>
          <w:ilvl w:val="0"/>
          <w:numId w:val="0"/>
        </w:numPr>
        <w:ind w:left="981" w:firstLine="459"/>
      </w:pPr>
      <w:r>
        <w:t>▪ Delirium/Confusion.</w:t>
      </w:r>
    </w:p>
    <w:p w14:paraId="7266A5CD" w14:textId="4EDE7FCA" w:rsidR="004112F5" w:rsidRDefault="004112F5" w:rsidP="00BF3655">
      <w:pPr>
        <w:pStyle w:val="ListNumber"/>
        <w:ind w:left="993" w:hanging="426"/>
      </w:pPr>
      <w:r>
        <w:t xml:space="preserve">Prescriptions for Methadone during the initial dose titration </w:t>
      </w:r>
      <w:r w:rsidR="001B4012">
        <w:t xml:space="preserve">are </w:t>
      </w:r>
      <w:r>
        <w:t>to be written by the specialist</w:t>
      </w:r>
      <w:r w:rsidR="00881E8F">
        <w:t xml:space="preserve"> unless the GP</w:t>
      </w:r>
      <w:r w:rsidR="00680322">
        <w:t xml:space="preserve"> agrees to </w:t>
      </w:r>
      <w:r w:rsidR="00203CB1">
        <w:t>take on the prescribing of the first dose.</w:t>
      </w:r>
    </w:p>
    <w:p w14:paraId="66F39631" w14:textId="77777777" w:rsidR="004112F5" w:rsidRDefault="004112F5" w:rsidP="00BF3655">
      <w:pPr>
        <w:pStyle w:val="ListNumber"/>
        <w:ind w:left="993" w:hanging="426"/>
      </w:pPr>
      <w:r>
        <w:t xml:space="preserve">Prescription of a further 14 days of Methadone </w:t>
      </w:r>
      <w:r w:rsidR="007C63DB">
        <w:t xml:space="preserve">to be supplied </w:t>
      </w:r>
      <w:r>
        <w:t xml:space="preserve">once a stable dose has been achieved and shared care agreed </w:t>
      </w:r>
      <w:r w:rsidR="001B4012">
        <w:t xml:space="preserve">upon </w:t>
      </w:r>
      <w:r>
        <w:t>with the GP.</w:t>
      </w:r>
    </w:p>
    <w:p w14:paraId="29D5C539" w14:textId="19D06189" w:rsidR="004112F5" w:rsidRDefault="004112F5" w:rsidP="00BF3655">
      <w:pPr>
        <w:pStyle w:val="ListNumber"/>
        <w:ind w:left="993" w:hanging="426"/>
      </w:pPr>
      <w:r>
        <w:t>When prescribing</w:t>
      </w:r>
      <w:r w:rsidR="00D42CBE">
        <w:t>,</w:t>
      </w:r>
      <w:r>
        <w:t xml:space="preserve"> state the formulation, strength, and number of milligrams to be taken with the frequency and the total quantity to be supplied in</w:t>
      </w:r>
      <w:r w:rsidR="00CA0AB0">
        <w:t xml:space="preserve"> </w:t>
      </w:r>
      <w:r>
        <w:t>words and figures.</w:t>
      </w:r>
    </w:p>
    <w:p w14:paraId="08FBD302" w14:textId="339980FE" w:rsidR="004112F5" w:rsidRDefault="004112F5" w:rsidP="00BF3655">
      <w:pPr>
        <w:pStyle w:val="ListNumber"/>
        <w:ind w:left="993" w:hanging="426"/>
      </w:pPr>
      <w:r>
        <w:t>Notify the community pharmacist nominated by the patient so community</w:t>
      </w:r>
      <w:r w:rsidR="00CA0AB0">
        <w:t xml:space="preserve"> </w:t>
      </w:r>
      <w:r>
        <w:t>supplies can be obtained</w:t>
      </w:r>
      <w:r w:rsidR="007C63DB">
        <w:t xml:space="preserve"> and the </w:t>
      </w:r>
      <w:r w:rsidR="000536A7">
        <w:t xml:space="preserve">clinical </w:t>
      </w:r>
      <w:r w:rsidR="007C63DB">
        <w:t xml:space="preserve">details </w:t>
      </w:r>
      <w:r w:rsidR="000536A7">
        <w:t xml:space="preserve">for safe dispensing provided (see </w:t>
      </w:r>
      <w:hyperlink r:id="rId13" w:history="1">
        <w:r w:rsidR="000536A7" w:rsidRPr="00DC0001">
          <w:rPr>
            <w:rStyle w:val="Hyperlink"/>
          </w:rPr>
          <w:t>CNWL guidelines</w:t>
        </w:r>
      </w:hyperlink>
      <w:r w:rsidR="000536A7">
        <w:t>).</w:t>
      </w:r>
    </w:p>
    <w:p w14:paraId="3FDAA927" w14:textId="77777777" w:rsidR="004112F5" w:rsidRDefault="004112F5" w:rsidP="00BF3655">
      <w:pPr>
        <w:pStyle w:val="ListNumber"/>
        <w:ind w:left="993" w:hanging="426"/>
      </w:pPr>
      <w:r>
        <w:t xml:space="preserve">Stop the </w:t>
      </w:r>
      <w:r w:rsidR="007C63DB">
        <w:t xml:space="preserve">methadone </w:t>
      </w:r>
      <w:r>
        <w:t>treatment if it is no longer considered to be appropriate.</w:t>
      </w:r>
    </w:p>
    <w:p w14:paraId="42980433" w14:textId="2706A370" w:rsidR="004112F5" w:rsidRDefault="004112F5" w:rsidP="00BF3655">
      <w:pPr>
        <w:pStyle w:val="ListNumber"/>
        <w:ind w:left="993" w:hanging="426"/>
      </w:pPr>
      <w:r>
        <w:t xml:space="preserve">To arrange a named Palliative Care physician to monitor the efficacy </w:t>
      </w:r>
      <w:r w:rsidR="001B4012">
        <w:t xml:space="preserve">and </w:t>
      </w:r>
      <w:r>
        <w:t>tolerability and adjust dose where required on a</w:t>
      </w:r>
      <w:r w:rsidR="007C63DB">
        <w:t xml:space="preserve">n </w:t>
      </w:r>
      <w:r w:rsidR="001B4012">
        <w:t>ad</w:t>
      </w:r>
      <w:r w:rsidR="007C63DB">
        <w:t xml:space="preserve"> </w:t>
      </w:r>
      <w:r w:rsidR="001B4012">
        <w:t>hoc</w:t>
      </w:r>
      <w:r w:rsidR="007C63DB">
        <w:t xml:space="preserve"> </w:t>
      </w:r>
      <w:r>
        <w:t>basis</w:t>
      </w:r>
      <w:r w:rsidR="007C63DB">
        <w:t xml:space="preserve"> as required</w:t>
      </w:r>
      <w:r>
        <w:t>. If the dose is</w:t>
      </w:r>
      <w:r w:rsidR="00CA0AB0">
        <w:t xml:space="preserve"> </w:t>
      </w:r>
      <w:r>
        <w:t xml:space="preserve">altered, additional closer monitoring should be undertaken for two weeks following </w:t>
      </w:r>
      <w:r w:rsidR="001B4012">
        <w:t xml:space="preserve">the </w:t>
      </w:r>
      <w:r>
        <w:t>dose alteration.</w:t>
      </w:r>
    </w:p>
    <w:p w14:paraId="5CE5F9DC" w14:textId="77777777" w:rsidR="004112F5" w:rsidRDefault="004112F5" w:rsidP="00BF3655">
      <w:pPr>
        <w:pStyle w:val="ListNumber"/>
        <w:ind w:left="993" w:hanging="426"/>
      </w:pPr>
      <w:r>
        <w:t>To arrange timely reassessment of the patient if the GP raises a concern.</w:t>
      </w:r>
    </w:p>
    <w:p w14:paraId="7DAF44E2" w14:textId="44B8C179" w:rsidR="004112F5" w:rsidRDefault="004112F5" w:rsidP="00BF3655">
      <w:pPr>
        <w:pStyle w:val="ListNumber"/>
        <w:ind w:left="993" w:hanging="426"/>
      </w:pPr>
      <w:r>
        <w:t>Ask the GP whether he or she is willing to participate in shared care by emailing the shared care request letter (continue to prescribe until GP has</w:t>
      </w:r>
      <w:r w:rsidR="00CA0AB0">
        <w:t xml:space="preserve"> </w:t>
      </w:r>
      <w:r>
        <w:t>agreed to take over prescribing).</w:t>
      </w:r>
    </w:p>
    <w:p w14:paraId="47F29BBF" w14:textId="77777777" w:rsidR="00D46B50" w:rsidRPr="00CA0AB0" w:rsidRDefault="004112F5" w:rsidP="00BF3655">
      <w:pPr>
        <w:pStyle w:val="ListNumber"/>
        <w:ind w:left="993" w:hanging="426"/>
      </w:pPr>
      <w:r>
        <w:t xml:space="preserve">Ensure all documentation is sent to the GP; must include </w:t>
      </w:r>
      <w:r w:rsidR="001B4012">
        <w:t xml:space="preserve">a </w:t>
      </w:r>
      <w:r>
        <w:t>clinical letter stating indication for pain management and contact details for urgent</w:t>
      </w:r>
      <w:r w:rsidR="00CA0AB0" w:rsidRPr="00CA0AB0">
        <w:t xml:space="preserve"> </w:t>
      </w:r>
      <w:r w:rsidRPr="00CA0AB0">
        <w:t xml:space="preserve">queries, </w:t>
      </w:r>
      <w:r w:rsidR="001B4012">
        <w:t xml:space="preserve">the </w:t>
      </w:r>
      <w:r w:rsidRPr="00CA0AB0">
        <w:t>patient’s dosage regimen including formulation, outcomes of reviews</w:t>
      </w:r>
      <w:r w:rsidR="001B4012">
        <w:t>,</w:t>
      </w:r>
      <w:r w:rsidRPr="00CA0AB0">
        <w:t xml:space="preserve"> and dose amendments as appropriate.</w:t>
      </w:r>
    </w:p>
    <w:p w14:paraId="414DBBCA" w14:textId="77777777" w:rsidR="004112F5" w:rsidRDefault="004112F5" w:rsidP="00CA0AB0">
      <w:pPr>
        <w:pStyle w:val="ListNumber"/>
        <w:numPr>
          <w:ilvl w:val="0"/>
          <w:numId w:val="0"/>
        </w:numPr>
        <w:ind w:left="567" w:hanging="283"/>
      </w:pPr>
    </w:p>
    <w:p w14:paraId="5E2A0035" w14:textId="77777777" w:rsidR="00D46B50" w:rsidRPr="0027048E" w:rsidRDefault="00D46B50" w:rsidP="0068611C">
      <w:pPr>
        <w:pStyle w:val="NCLHeading2"/>
        <w:numPr>
          <w:ilvl w:val="1"/>
          <w:numId w:val="32"/>
        </w:numPr>
      </w:pPr>
      <w:bookmarkStart w:id="13" w:name="_Toc535932378"/>
      <w:bookmarkStart w:id="14" w:name="_Toc121760570"/>
      <w:bookmarkStart w:id="15" w:name="_Toc128414121"/>
      <w:r w:rsidRPr="0027048E">
        <w:t>General Practitioner</w:t>
      </w:r>
      <w:bookmarkEnd w:id="13"/>
      <w:bookmarkEnd w:id="14"/>
      <w:bookmarkEnd w:id="15"/>
    </w:p>
    <w:p w14:paraId="0C56EA91" w14:textId="14C775E4" w:rsidR="00D46B50" w:rsidRDefault="00D46B50" w:rsidP="00BF3655">
      <w:pPr>
        <w:pStyle w:val="NCLBodyText"/>
        <w:ind w:left="720"/>
      </w:pPr>
      <w:r w:rsidRPr="0027048E">
        <w:t xml:space="preserve">Complete </w:t>
      </w:r>
      <w:r w:rsidR="001B4012">
        <w:t xml:space="preserve">the </w:t>
      </w:r>
      <w:r w:rsidRPr="0027048E">
        <w:t xml:space="preserve">transfer form and </w:t>
      </w:r>
      <w:r>
        <w:t>send</w:t>
      </w:r>
      <w:r w:rsidRPr="0027048E">
        <w:t xml:space="preserve"> </w:t>
      </w:r>
      <w:r w:rsidR="001B4012">
        <w:t xml:space="preserve">it </w:t>
      </w:r>
      <w:r w:rsidRPr="0027048E">
        <w:t xml:space="preserve">back to </w:t>
      </w:r>
      <w:r w:rsidR="001B4012">
        <w:t xml:space="preserve">the </w:t>
      </w:r>
      <w:r w:rsidR="00C6759A">
        <w:t>palliative care specialist</w:t>
      </w:r>
      <w:r w:rsidR="00C6759A">
        <w:rPr>
          <w:i/>
        </w:rPr>
        <w:t xml:space="preserve"> </w:t>
      </w:r>
      <w:r w:rsidRPr="0027048E">
        <w:t xml:space="preserve">confirming acceptance/ rejection of shared care for </w:t>
      </w:r>
      <w:r w:rsidR="001B4012">
        <w:t xml:space="preserve">the </w:t>
      </w:r>
      <w:r w:rsidRPr="0027048E">
        <w:t xml:space="preserve">patient. </w:t>
      </w:r>
      <w:r>
        <w:t xml:space="preserve"> </w:t>
      </w:r>
      <w:r w:rsidRPr="005D095E">
        <w:t>If GP</w:t>
      </w:r>
      <w:r w:rsidR="001B4012">
        <w:t xml:space="preserve"> is</w:t>
      </w:r>
      <w:r>
        <w:t xml:space="preserve"> unable to agree to shared care, </w:t>
      </w:r>
      <w:r w:rsidRPr="005D095E">
        <w:t xml:space="preserve">inform the </w:t>
      </w:r>
      <w:r w:rsidR="00C6759A">
        <w:t>palliative care specialist</w:t>
      </w:r>
      <w:r w:rsidR="00C6759A">
        <w:rPr>
          <w:i/>
        </w:rPr>
        <w:t xml:space="preserve"> </w:t>
      </w:r>
      <w:r w:rsidRPr="005D095E">
        <w:t xml:space="preserve">stating reasons within </w:t>
      </w:r>
      <w:r w:rsidRPr="005D095E">
        <w:rPr>
          <w:b/>
          <w:i/>
        </w:rPr>
        <w:t>14 days</w:t>
      </w:r>
      <w:r w:rsidRPr="005D095E">
        <w:t xml:space="preserve"> of receipt of </w:t>
      </w:r>
      <w:r w:rsidR="001B4012">
        <w:t xml:space="preserve">the </w:t>
      </w:r>
      <w:r w:rsidRPr="005D095E">
        <w:t>request.  If no response is received</w:t>
      </w:r>
      <w:r>
        <w:t xml:space="preserve"> </w:t>
      </w:r>
      <w:r w:rsidR="001B4012">
        <w:t>within</w:t>
      </w:r>
      <w:r>
        <w:t xml:space="preserve"> 14 days</w:t>
      </w:r>
      <w:r w:rsidRPr="005D095E">
        <w:t>, the Consultant will assume the GP has accepted shared care.</w:t>
      </w:r>
    </w:p>
    <w:p w14:paraId="7D717312" w14:textId="77777777" w:rsidR="004112F5" w:rsidRPr="005D095E" w:rsidRDefault="004112F5" w:rsidP="00D46B50">
      <w:pPr>
        <w:pStyle w:val="NCLBodyText"/>
      </w:pPr>
    </w:p>
    <w:p w14:paraId="045874CD" w14:textId="77777777" w:rsidR="00D46B50" w:rsidRPr="0027048E" w:rsidRDefault="00D46B50" w:rsidP="00BF3655">
      <w:pPr>
        <w:pStyle w:val="ListNumber"/>
        <w:numPr>
          <w:ilvl w:val="0"/>
          <w:numId w:val="13"/>
        </w:numPr>
        <w:ind w:left="993" w:hanging="426"/>
      </w:pPr>
      <w:r w:rsidRPr="0027048E">
        <w:t xml:space="preserve">Monitor </w:t>
      </w:r>
      <w:r w:rsidR="001B4012">
        <w:t xml:space="preserve">the </w:t>
      </w:r>
      <w:r w:rsidRPr="0027048E">
        <w:t xml:space="preserve">patient’s overall health and </w:t>
      </w:r>
      <w:proofErr w:type="gramStart"/>
      <w:r w:rsidRPr="0027048E">
        <w:t>well-being</w:t>
      </w:r>
      <w:proofErr w:type="gramEnd"/>
    </w:p>
    <w:p w14:paraId="5085884E" w14:textId="77777777" w:rsidR="00D46B50" w:rsidRPr="0027048E" w:rsidRDefault="00D46B50" w:rsidP="00BF3655">
      <w:pPr>
        <w:pStyle w:val="ListNumber"/>
        <w:ind w:left="993" w:hanging="426"/>
      </w:pPr>
      <w:r w:rsidRPr="0027048E">
        <w:t>Prescribe the drug treatment as described (but not alter the dose unless advised to do so by</w:t>
      </w:r>
      <w:r>
        <w:t xml:space="preserve"> the specialist</w:t>
      </w:r>
      <w:r w:rsidRPr="0027048E">
        <w:t>).</w:t>
      </w:r>
      <w:r w:rsidRPr="0027048E">
        <w:rPr>
          <w:snapToGrid w:val="0"/>
        </w:rPr>
        <w:t xml:space="preserve"> The term “as directed” </w:t>
      </w:r>
      <w:r w:rsidRPr="0027048E">
        <w:rPr>
          <w:b/>
          <w:snapToGrid w:val="0"/>
        </w:rPr>
        <w:t>SHOULD NOT</w:t>
      </w:r>
      <w:r w:rsidRPr="0027048E">
        <w:rPr>
          <w:snapToGrid w:val="0"/>
        </w:rPr>
        <w:t xml:space="preserve"> be </w:t>
      </w:r>
      <w:proofErr w:type="gramStart"/>
      <w:r w:rsidRPr="0027048E">
        <w:rPr>
          <w:snapToGrid w:val="0"/>
        </w:rPr>
        <w:t>used</w:t>
      </w:r>
      <w:proofErr w:type="gramEnd"/>
    </w:p>
    <w:p w14:paraId="2DCAFC24" w14:textId="77777777" w:rsidR="00D46B50" w:rsidRPr="0027048E" w:rsidRDefault="00D46B50" w:rsidP="00BF3655">
      <w:pPr>
        <w:pStyle w:val="ListNumber"/>
        <w:ind w:left="993" w:hanging="426"/>
      </w:pPr>
      <w:r w:rsidRPr="0027048E">
        <w:t xml:space="preserve">Ensure that the patient understands the </w:t>
      </w:r>
      <w:proofErr w:type="gramStart"/>
      <w:r w:rsidRPr="0027048E">
        <w:t>dosing</w:t>
      </w:r>
      <w:proofErr w:type="gramEnd"/>
    </w:p>
    <w:p w14:paraId="5F37C8D1" w14:textId="77777777" w:rsidR="00D46B50" w:rsidRPr="0027048E" w:rsidRDefault="00D46B50" w:rsidP="00BF3655">
      <w:pPr>
        <w:pStyle w:val="ListNumber"/>
        <w:ind w:left="993" w:hanging="426"/>
      </w:pPr>
      <w:r w:rsidRPr="0027048E">
        <w:t xml:space="preserve">Ensure the patient understands that he/she must report the warning symptoms as listed under “adverse </w:t>
      </w:r>
      <w:proofErr w:type="gramStart"/>
      <w:r w:rsidRPr="0027048E">
        <w:t>effects”</w:t>
      </w:r>
      <w:proofErr w:type="gramEnd"/>
    </w:p>
    <w:p w14:paraId="7A1FEEA9" w14:textId="77777777" w:rsidR="00D46B50" w:rsidRPr="0027048E" w:rsidRDefault="00D46B50" w:rsidP="00BF3655">
      <w:pPr>
        <w:pStyle w:val="ListNumber"/>
        <w:ind w:left="993" w:hanging="426"/>
      </w:pPr>
      <w:r w:rsidRPr="0027048E">
        <w:t xml:space="preserve">Ensure compatibility with concomitant </w:t>
      </w:r>
      <w:proofErr w:type="gramStart"/>
      <w:r w:rsidRPr="0027048E">
        <w:t>medication</w:t>
      </w:r>
      <w:proofErr w:type="gramEnd"/>
    </w:p>
    <w:p w14:paraId="3613C973" w14:textId="77777777" w:rsidR="00D46B50" w:rsidRPr="0027048E" w:rsidRDefault="00D46B50" w:rsidP="00BF3655">
      <w:pPr>
        <w:pStyle w:val="ListNumber"/>
        <w:ind w:left="993" w:hanging="426"/>
      </w:pPr>
      <w:r w:rsidRPr="0027048E">
        <w:t xml:space="preserve">Monitor results at recommended frequencies as described under “clinical monitoring” and inform the Consultant if </w:t>
      </w:r>
      <w:proofErr w:type="gramStart"/>
      <w:r w:rsidRPr="0027048E">
        <w:t>abnormal</w:t>
      </w:r>
      <w:proofErr w:type="gramEnd"/>
    </w:p>
    <w:p w14:paraId="30240497" w14:textId="77777777" w:rsidR="00D46B50" w:rsidRPr="0027048E" w:rsidRDefault="00D46B50" w:rsidP="00BF3655">
      <w:pPr>
        <w:pStyle w:val="ListNumber"/>
        <w:ind w:left="993" w:hanging="426"/>
        <w:rPr>
          <w:sz w:val="24"/>
        </w:rPr>
      </w:pPr>
      <w:r w:rsidRPr="0027048E">
        <w:rPr>
          <w:snapToGrid w:val="0"/>
        </w:rPr>
        <w:t xml:space="preserve">Adjust the dose as advised by the specialist (where applicable) and counsel </w:t>
      </w:r>
      <w:r w:rsidR="000536A7">
        <w:rPr>
          <w:snapToGrid w:val="0"/>
        </w:rPr>
        <w:t xml:space="preserve">the </w:t>
      </w:r>
      <w:r w:rsidRPr="0027048E">
        <w:rPr>
          <w:snapToGrid w:val="0"/>
        </w:rPr>
        <w:t xml:space="preserve">patient on any dose </w:t>
      </w:r>
      <w:proofErr w:type="gramStart"/>
      <w:r w:rsidRPr="0027048E">
        <w:rPr>
          <w:snapToGrid w:val="0"/>
        </w:rPr>
        <w:t>changes</w:t>
      </w:r>
      <w:proofErr w:type="gramEnd"/>
    </w:p>
    <w:p w14:paraId="70D0D717" w14:textId="77777777" w:rsidR="000536A7" w:rsidRDefault="000536A7" w:rsidP="00BF3655">
      <w:pPr>
        <w:pStyle w:val="ListNumber"/>
        <w:ind w:left="993" w:hanging="426"/>
      </w:pPr>
      <w:proofErr w:type="gramStart"/>
      <w:r w:rsidRPr="000536A7">
        <w:lastRenderedPageBreak/>
        <w:t>Refer back</w:t>
      </w:r>
      <w:proofErr w:type="gramEnd"/>
      <w:r w:rsidRPr="000536A7">
        <w:t xml:space="preserve"> to </w:t>
      </w:r>
      <w:r w:rsidR="001B4012">
        <w:t xml:space="preserve">a </w:t>
      </w:r>
      <w:r w:rsidRPr="000536A7">
        <w:t>specialist if the patient’s condition deteriorates, or if there are concerns over patient compliance, or on any aspect of patient care of concern to the GP that may affect treatment.</w:t>
      </w:r>
    </w:p>
    <w:p w14:paraId="16D87D14" w14:textId="77777777" w:rsidR="00D46B50" w:rsidRPr="0027048E" w:rsidRDefault="00D46B50" w:rsidP="00BF3655">
      <w:pPr>
        <w:pStyle w:val="ListNumber"/>
        <w:ind w:left="993" w:hanging="426"/>
      </w:pPr>
      <w:r w:rsidRPr="0027048E">
        <w:rPr>
          <w:color w:val="000000"/>
        </w:rPr>
        <w:t xml:space="preserve">Stop treatment on </w:t>
      </w:r>
      <w:r w:rsidR="000536A7">
        <w:rPr>
          <w:color w:val="000000"/>
        </w:rPr>
        <w:t xml:space="preserve">the </w:t>
      </w:r>
      <w:r w:rsidRPr="0027048E">
        <w:rPr>
          <w:color w:val="000000"/>
        </w:rPr>
        <w:t xml:space="preserve">advice of </w:t>
      </w:r>
      <w:r w:rsidR="000536A7">
        <w:rPr>
          <w:color w:val="000000"/>
        </w:rPr>
        <w:t xml:space="preserve">a </w:t>
      </w:r>
      <w:r w:rsidRPr="0027048E">
        <w:rPr>
          <w:color w:val="000000"/>
        </w:rPr>
        <w:t xml:space="preserve">specialist or immediately if </w:t>
      </w:r>
      <w:r w:rsidR="000536A7">
        <w:rPr>
          <w:color w:val="000000"/>
        </w:rPr>
        <w:t xml:space="preserve">an </w:t>
      </w:r>
      <w:r w:rsidRPr="0027048E">
        <w:rPr>
          <w:color w:val="000000"/>
        </w:rPr>
        <w:t xml:space="preserve">urgent need </w:t>
      </w:r>
      <w:proofErr w:type="gramStart"/>
      <w:r w:rsidRPr="0027048E">
        <w:rPr>
          <w:color w:val="000000"/>
        </w:rPr>
        <w:t>arises</w:t>
      </w:r>
      <w:proofErr w:type="gramEnd"/>
    </w:p>
    <w:p w14:paraId="0A431527" w14:textId="43026EBD" w:rsidR="0018473B" w:rsidRDefault="00D46B50" w:rsidP="00BF3655">
      <w:pPr>
        <w:pStyle w:val="ListNumber"/>
        <w:ind w:left="993" w:hanging="426"/>
      </w:pPr>
      <w:r w:rsidRPr="0027048E">
        <w:t xml:space="preserve">Help in monitoring the progression of </w:t>
      </w:r>
      <w:r w:rsidR="000536A7">
        <w:t xml:space="preserve">the </w:t>
      </w:r>
      <w:r w:rsidRPr="0027048E">
        <w:t xml:space="preserve">disease and inform the </w:t>
      </w:r>
      <w:r w:rsidR="00C6759A">
        <w:t>palliative care specialist</w:t>
      </w:r>
      <w:r w:rsidR="00C6759A">
        <w:rPr>
          <w:i/>
        </w:rPr>
        <w:t xml:space="preserve"> </w:t>
      </w:r>
      <w:r w:rsidRPr="0027048E">
        <w:t>of any changes to medication</w:t>
      </w:r>
      <w:r w:rsidR="007D7488">
        <w:t xml:space="preserve"> (see </w:t>
      </w:r>
      <w:r w:rsidR="0091641C">
        <w:t>Table 2</w:t>
      </w:r>
      <w:r w:rsidR="007D7488">
        <w:t>).</w:t>
      </w:r>
    </w:p>
    <w:p w14:paraId="4A8F2513" w14:textId="77777777" w:rsidR="004112F5" w:rsidRDefault="004112F5" w:rsidP="00BF3655">
      <w:pPr>
        <w:pStyle w:val="ListNumber"/>
        <w:ind w:left="993" w:hanging="426"/>
      </w:pPr>
      <w:r>
        <w:t xml:space="preserve">Reply to the request for shared care as soon as practicable, preferably within </w:t>
      </w:r>
      <w:r w:rsidR="0018473B">
        <w:t xml:space="preserve">14 </w:t>
      </w:r>
      <w:r>
        <w:t>working days, by emailing back the shared care letter.</w:t>
      </w:r>
    </w:p>
    <w:p w14:paraId="708E34AC" w14:textId="77777777" w:rsidR="004112F5" w:rsidRDefault="004112F5" w:rsidP="00BF3655">
      <w:pPr>
        <w:pStyle w:val="ListNumber"/>
        <w:ind w:left="993" w:hanging="426"/>
      </w:pPr>
      <w:r>
        <w:t>If declining this request, please indicate the reason for declining.</w:t>
      </w:r>
    </w:p>
    <w:p w14:paraId="1A87A478" w14:textId="77777777" w:rsidR="004112F5" w:rsidRDefault="004112F5" w:rsidP="00BF3655">
      <w:pPr>
        <w:pStyle w:val="ListNumber"/>
        <w:ind w:left="993" w:hanging="426"/>
      </w:pPr>
      <w:r>
        <w:t>Prescribe the Methadone at the dose recommended, from the agreed date, by the strength and formulation as defined by the consultant.</w:t>
      </w:r>
    </w:p>
    <w:p w14:paraId="60BD5E57" w14:textId="77777777" w:rsidR="007D7488" w:rsidRDefault="007D7488" w:rsidP="00BF3655">
      <w:pPr>
        <w:pStyle w:val="ListNumber"/>
        <w:ind w:left="993" w:hanging="426"/>
      </w:pPr>
      <w:r w:rsidRPr="007D7488">
        <w:t xml:space="preserve">Be aware of key </w:t>
      </w:r>
      <w:r w:rsidR="001B4012">
        <w:t>drug interactions</w:t>
      </w:r>
      <w:r w:rsidRPr="007D7488">
        <w:t xml:space="preserve"> with Methadone and seek advice if needed prior to initiating any medications which can interact with Methadone.</w:t>
      </w:r>
    </w:p>
    <w:p w14:paraId="5BD92C23" w14:textId="77777777" w:rsidR="001B4012" w:rsidRDefault="007D7488" w:rsidP="00BF3655">
      <w:pPr>
        <w:pStyle w:val="ListNumber"/>
        <w:ind w:left="993" w:hanging="426"/>
      </w:pPr>
      <w:r>
        <w:t xml:space="preserve">Report adverse events to the MHRA on a Yellow Card </w:t>
      </w:r>
      <w:r w:rsidR="001B4012">
        <w:t xml:space="preserve">at </w:t>
      </w:r>
      <w:proofErr w:type="gramStart"/>
      <w:r>
        <w:t>www.mhra.gov.uk/yellowcar</w:t>
      </w:r>
      <w:r w:rsidR="001B4012">
        <w:t>d</w:t>
      </w:r>
      <w:proofErr w:type="gramEnd"/>
    </w:p>
    <w:p w14:paraId="357F1036" w14:textId="77777777" w:rsidR="007D7488" w:rsidRDefault="007D7488" w:rsidP="001B4012">
      <w:pPr>
        <w:pStyle w:val="ListNumber"/>
        <w:numPr>
          <w:ilvl w:val="0"/>
          <w:numId w:val="0"/>
        </w:numPr>
        <w:ind w:left="993"/>
      </w:pPr>
      <w:r>
        <w:t xml:space="preserve"> and to </w:t>
      </w:r>
      <w:r w:rsidR="001B4012">
        <w:t xml:space="preserve">the </w:t>
      </w:r>
      <w:r>
        <w:t>specialist and appropriate Medicines Optimisation team.</w:t>
      </w:r>
    </w:p>
    <w:p w14:paraId="669DA4C2" w14:textId="77777777" w:rsidR="000536A7" w:rsidRDefault="007D7488" w:rsidP="00BF3655">
      <w:pPr>
        <w:pStyle w:val="ListNumber"/>
        <w:ind w:left="993" w:hanging="426"/>
      </w:pPr>
      <w:r>
        <w:t>All requests for repeat prescriptions should ideally be reviewed individually prior to issuing them.</w:t>
      </w:r>
    </w:p>
    <w:p w14:paraId="6B3DEC5C" w14:textId="77777777" w:rsidR="00C45F28" w:rsidRPr="00C45F28" w:rsidRDefault="00D46B50" w:rsidP="0068611C">
      <w:pPr>
        <w:pStyle w:val="NCLHeading2"/>
        <w:numPr>
          <w:ilvl w:val="1"/>
          <w:numId w:val="32"/>
        </w:numPr>
      </w:pPr>
      <w:bookmarkStart w:id="16" w:name="_Toc535932379"/>
      <w:bookmarkStart w:id="17" w:name="_Toc121760571"/>
      <w:bookmarkStart w:id="18" w:name="_Toc128414122"/>
      <w:r w:rsidRPr="005D095E">
        <w:t>Patient responsibility</w:t>
      </w:r>
      <w:bookmarkEnd w:id="16"/>
      <w:bookmarkEnd w:id="17"/>
      <w:bookmarkEnd w:id="18"/>
    </w:p>
    <w:p w14:paraId="41A18433" w14:textId="77777777" w:rsidR="00D46B50" w:rsidRPr="0027048E" w:rsidRDefault="00D46B50" w:rsidP="00BF3655">
      <w:pPr>
        <w:pStyle w:val="ListNumber"/>
        <w:numPr>
          <w:ilvl w:val="0"/>
          <w:numId w:val="16"/>
        </w:numPr>
        <w:ind w:left="1134" w:hanging="426"/>
      </w:pPr>
      <w:r w:rsidRPr="0027048E">
        <w:t xml:space="preserve">Take medicines as </w:t>
      </w:r>
      <w:proofErr w:type="gramStart"/>
      <w:r w:rsidRPr="0027048E">
        <w:t>agreed</w:t>
      </w:r>
      <w:proofErr w:type="gramEnd"/>
    </w:p>
    <w:p w14:paraId="6C597F40" w14:textId="10E92C99" w:rsidR="00D46B50" w:rsidRDefault="00D46B50" w:rsidP="00BF3655">
      <w:pPr>
        <w:pStyle w:val="ListNumber"/>
        <w:numPr>
          <w:ilvl w:val="0"/>
          <w:numId w:val="16"/>
        </w:numPr>
        <w:ind w:left="1134" w:hanging="426"/>
      </w:pPr>
      <w:r w:rsidRPr="0027048E">
        <w:t xml:space="preserve">Inform </w:t>
      </w:r>
      <w:r w:rsidR="000176C6">
        <w:t xml:space="preserve">the </w:t>
      </w:r>
      <w:r w:rsidR="00C6759A">
        <w:t>palliative care specialist</w:t>
      </w:r>
      <w:r w:rsidR="00C6759A">
        <w:rPr>
          <w:i/>
        </w:rPr>
        <w:t xml:space="preserve"> </w:t>
      </w:r>
      <w:r w:rsidRPr="0027048E">
        <w:t xml:space="preserve">and GP of any changes in address or telephone </w:t>
      </w:r>
      <w:proofErr w:type="gramStart"/>
      <w:r w:rsidRPr="0027048E">
        <w:t>numbers</w:t>
      </w:r>
      <w:proofErr w:type="gramEnd"/>
    </w:p>
    <w:p w14:paraId="4073BB94" w14:textId="77777777" w:rsidR="00C45F28" w:rsidRDefault="00C45F28" w:rsidP="00BF3655">
      <w:pPr>
        <w:pStyle w:val="ListNumber"/>
        <w:numPr>
          <w:ilvl w:val="0"/>
          <w:numId w:val="16"/>
        </w:numPr>
        <w:ind w:left="1134" w:hanging="426"/>
      </w:pPr>
      <w:r>
        <w:t>Attend all appointments with GP and specialist.</w:t>
      </w:r>
    </w:p>
    <w:p w14:paraId="32EFE406" w14:textId="77777777" w:rsidR="00C45F28" w:rsidRDefault="00C45F28" w:rsidP="00BF3655">
      <w:pPr>
        <w:pStyle w:val="ListNumber"/>
        <w:numPr>
          <w:ilvl w:val="0"/>
          <w:numId w:val="16"/>
        </w:numPr>
        <w:ind w:left="1134" w:hanging="426"/>
      </w:pPr>
      <w:r>
        <w:t>Report to the specialist or GP if he or she does not have a clear understanding of the treatment.</w:t>
      </w:r>
      <w:r w:rsidR="007D7488">
        <w:t xml:space="preserve"> Be aware of further information must be provided if driving a motor vehicle or you plan to travel outside the UK. </w:t>
      </w:r>
    </w:p>
    <w:p w14:paraId="380B8A0E" w14:textId="77777777" w:rsidR="00C45F28" w:rsidRDefault="00C45F28" w:rsidP="00BF3655">
      <w:pPr>
        <w:pStyle w:val="ListNumber"/>
        <w:numPr>
          <w:ilvl w:val="0"/>
          <w:numId w:val="16"/>
        </w:numPr>
        <w:ind w:left="1134" w:hanging="426"/>
      </w:pPr>
      <w:r>
        <w:t>Agree to any required routine blood monitoring</w:t>
      </w:r>
      <w:r w:rsidR="007D7488">
        <w:t xml:space="preserve"> </w:t>
      </w:r>
      <w:r>
        <w:t>health checks for the duration of treatment.</w:t>
      </w:r>
    </w:p>
    <w:p w14:paraId="2DBC06B1" w14:textId="77777777" w:rsidR="00C45F28" w:rsidRDefault="00C45F28" w:rsidP="00BF3655">
      <w:pPr>
        <w:pStyle w:val="ListNumber"/>
        <w:numPr>
          <w:ilvl w:val="0"/>
          <w:numId w:val="16"/>
        </w:numPr>
        <w:ind w:left="1134" w:hanging="426"/>
      </w:pPr>
      <w:r>
        <w:t xml:space="preserve">Share any concerns in relation to treatment with </w:t>
      </w:r>
      <w:proofErr w:type="gramStart"/>
      <w:r>
        <w:t>methadone</w:t>
      </w:r>
      <w:proofErr w:type="gramEnd"/>
    </w:p>
    <w:p w14:paraId="21597258" w14:textId="77777777" w:rsidR="00C45F28" w:rsidRDefault="00C45F28" w:rsidP="00BF3655">
      <w:pPr>
        <w:pStyle w:val="ListNumber"/>
        <w:numPr>
          <w:ilvl w:val="0"/>
          <w:numId w:val="16"/>
        </w:numPr>
        <w:ind w:left="1134" w:hanging="426"/>
      </w:pPr>
      <w:r>
        <w:t xml:space="preserve">Inform </w:t>
      </w:r>
      <w:r w:rsidR="007D7488">
        <w:t xml:space="preserve">the </w:t>
      </w:r>
      <w:r>
        <w:t>specialist or GP of any other medication being taken, including over-the-counter products/ alternative therapies.</w:t>
      </w:r>
    </w:p>
    <w:p w14:paraId="7F845CBA" w14:textId="77777777" w:rsidR="00C45F28" w:rsidRDefault="00C45F28" w:rsidP="00BF3655">
      <w:pPr>
        <w:pStyle w:val="ListNumber"/>
        <w:numPr>
          <w:ilvl w:val="0"/>
          <w:numId w:val="16"/>
        </w:numPr>
        <w:ind w:left="1134" w:hanging="426"/>
      </w:pPr>
      <w:r>
        <w:t>Report to the GP or specialist as soon as possible should his/her condition significantly worsen</w:t>
      </w:r>
      <w:r w:rsidR="000176C6">
        <w:t>s</w:t>
      </w:r>
      <w:r>
        <w:t>.</w:t>
      </w:r>
    </w:p>
    <w:p w14:paraId="13E645B5" w14:textId="77777777" w:rsidR="00C45F28" w:rsidRDefault="00C45F28" w:rsidP="00BF3655">
      <w:pPr>
        <w:pStyle w:val="ListNumber"/>
        <w:numPr>
          <w:ilvl w:val="0"/>
          <w:numId w:val="16"/>
        </w:numPr>
        <w:ind w:left="1134" w:hanging="426"/>
      </w:pPr>
      <w:r>
        <w:t>Report any adverse effects or warning symptoms to the specialist or GP.</w:t>
      </w:r>
    </w:p>
    <w:p w14:paraId="040CE73B" w14:textId="77777777" w:rsidR="00C45F28" w:rsidRPr="0027048E" w:rsidRDefault="00C45F28" w:rsidP="00BF3655">
      <w:pPr>
        <w:pStyle w:val="ListNumber"/>
        <w:numPr>
          <w:ilvl w:val="0"/>
          <w:numId w:val="16"/>
        </w:numPr>
        <w:ind w:left="1134" w:hanging="567"/>
      </w:pPr>
      <w:r>
        <w:t>The patient may also choose to report any adverse drug reaction direct to the MHRA on a Yellow Card, available at pharmacies, GP surgeries</w:t>
      </w:r>
      <w:r w:rsidR="000176C6">
        <w:t>,</w:t>
      </w:r>
      <w:r>
        <w:t xml:space="preserve"> or from the Yellow Card hotline (freephone 0808 100 3352 during business hours). The form can also be downloaded from </w:t>
      </w:r>
      <w:proofErr w:type="gramStart"/>
      <w:r>
        <w:t>www.mhra.gov.uk/yellowcard</w:t>
      </w:r>
      <w:proofErr w:type="gramEnd"/>
    </w:p>
    <w:p w14:paraId="7E0F77EE" w14:textId="77777777" w:rsidR="00D46B50" w:rsidRPr="0027048E" w:rsidRDefault="00C45F28" w:rsidP="0068611C">
      <w:pPr>
        <w:pStyle w:val="NCLHeading2"/>
        <w:numPr>
          <w:ilvl w:val="1"/>
          <w:numId w:val="32"/>
        </w:numPr>
      </w:pPr>
      <w:bookmarkStart w:id="19" w:name="_Toc121760572"/>
      <w:bookmarkStart w:id="20" w:name="_Toc128414123"/>
      <w:r>
        <w:t>Integrated Care Boards</w:t>
      </w:r>
      <w:bookmarkEnd w:id="19"/>
      <w:bookmarkEnd w:id="20"/>
    </w:p>
    <w:p w14:paraId="3278D9D3" w14:textId="77777777" w:rsidR="00D46B50" w:rsidRPr="0027048E" w:rsidRDefault="00D46B50" w:rsidP="00C45F28">
      <w:pPr>
        <w:pStyle w:val="ListNumber"/>
        <w:numPr>
          <w:ilvl w:val="0"/>
          <w:numId w:val="18"/>
        </w:numPr>
      </w:pPr>
      <w:r w:rsidRPr="0027048E">
        <w:t>To provide feedback to Trusts from the standard letter, via the shared care forum.</w:t>
      </w:r>
    </w:p>
    <w:p w14:paraId="614950F0" w14:textId="77777777" w:rsidR="00D46B50" w:rsidRDefault="00D46B50" w:rsidP="00C45F28">
      <w:pPr>
        <w:pStyle w:val="ListNumber"/>
        <w:numPr>
          <w:ilvl w:val="0"/>
          <w:numId w:val="18"/>
        </w:numPr>
      </w:pPr>
      <w:r w:rsidRPr="0027048E">
        <w:t xml:space="preserve">To support GPs to make the decision </w:t>
      </w:r>
      <w:proofErr w:type="gramStart"/>
      <w:r w:rsidRPr="0027048E">
        <w:t>whether or not</w:t>
      </w:r>
      <w:proofErr w:type="gramEnd"/>
      <w:r w:rsidRPr="0027048E">
        <w:t xml:space="preserve"> to accept clinical responsibility for prescribing. </w:t>
      </w:r>
    </w:p>
    <w:p w14:paraId="54B2E67F" w14:textId="77777777" w:rsidR="00D46B50" w:rsidRDefault="00D46B50" w:rsidP="00C45F28">
      <w:pPr>
        <w:pStyle w:val="ListNumber"/>
        <w:numPr>
          <w:ilvl w:val="0"/>
          <w:numId w:val="18"/>
        </w:numPr>
      </w:pPr>
      <w:r w:rsidRPr="00F6699A">
        <w:t xml:space="preserve">To support </w:t>
      </w:r>
      <w:r w:rsidR="00497F0D">
        <w:t>NHS Trusts</w:t>
      </w:r>
      <w:r w:rsidRPr="00F6699A">
        <w:t xml:space="preserve"> in resolving issues that may arise as a result of shared care. </w:t>
      </w:r>
    </w:p>
    <w:p w14:paraId="6E4171C6" w14:textId="77777777" w:rsidR="00745429" w:rsidRDefault="00AB2DF8" w:rsidP="0068611C">
      <w:pPr>
        <w:pStyle w:val="NCLHeading1"/>
        <w:numPr>
          <w:ilvl w:val="0"/>
          <w:numId w:val="32"/>
        </w:numPr>
      </w:pPr>
      <w:bookmarkStart w:id="21" w:name="_Toc535932381"/>
      <w:r>
        <w:lastRenderedPageBreak/>
        <w:t xml:space="preserve"> </w:t>
      </w:r>
      <w:bookmarkStart w:id="22" w:name="_Toc121760573"/>
      <w:bookmarkStart w:id="23" w:name="_Toc128414124"/>
      <w:r w:rsidR="00D46B50" w:rsidRPr="00D46B50">
        <w:t>Indications</w:t>
      </w:r>
      <w:bookmarkEnd w:id="21"/>
      <w:bookmarkEnd w:id="22"/>
      <w:bookmarkEnd w:id="23"/>
    </w:p>
    <w:p w14:paraId="5FB69863" w14:textId="77777777" w:rsidR="00745429" w:rsidRPr="00745429" w:rsidRDefault="00745429" w:rsidP="00745429">
      <w:pPr>
        <w:pStyle w:val="NCLBodyText"/>
        <w:rPr>
          <w:bCs/>
        </w:rPr>
      </w:pPr>
      <w:r w:rsidRPr="00745429">
        <w:rPr>
          <w:bCs/>
        </w:rPr>
        <w:t>Methadone is only used as a third-line opioid for patients with complex pain that is poorly responsive to other opioids, or where these opioids have resulted in intolerable side effects. However, in patients who are already using it as replacement therapy for substance misuse</w:t>
      </w:r>
      <w:r w:rsidR="00497F0D">
        <w:rPr>
          <w:bCs/>
        </w:rPr>
        <w:t>,</w:t>
      </w:r>
      <w:r w:rsidRPr="00745429">
        <w:rPr>
          <w:bCs/>
        </w:rPr>
        <w:t xml:space="preserve"> it may be considered earlier than as a 3</w:t>
      </w:r>
      <w:r w:rsidRPr="00745429">
        <w:rPr>
          <w:bCs/>
          <w:vertAlign w:val="superscript"/>
        </w:rPr>
        <w:t>rd</w:t>
      </w:r>
      <w:r w:rsidRPr="00745429">
        <w:rPr>
          <w:bCs/>
        </w:rPr>
        <w:t xml:space="preserve"> line option. </w:t>
      </w:r>
    </w:p>
    <w:p w14:paraId="7B00F7AF" w14:textId="77777777" w:rsidR="00745429" w:rsidRPr="00745429" w:rsidRDefault="00745429" w:rsidP="00745429">
      <w:pPr>
        <w:pStyle w:val="NCLBodyText"/>
        <w:rPr>
          <w:bCs/>
          <w:lang w:val="en-US"/>
        </w:rPr>
      </w:pPr>
      <w:r w:rsidRPr="00745429">
        <w:rPr>
          <w:bCs/>
          <w:lang w:val="en-US"/>
        </w:rPr>
        <w:t>Methadone can be useful for the following problems:</w:t>
      </w:r>
    </w:p>
    <w:p w14:paraId="6F2B0017" w14:textId="77777777" w:rsidR="00745429" w:rsidRPr="00745429" w:rsidRDefault="00745429" w:rsidP="00745429">
      <w:pPr>
        <w:pStyle w:val="NCLBodyText"/>
        <w:numPr>
          <w:ilvl w:val="0"/>
          <w:numId w:val="22"/>
        </w:numPr>
        <w:rPr>
          <w:bCs/>
          <w:lang w:val="en-US"/>
        </w:rPr>
      </w:pPr>
      <w:r w:rsidRPr="00745429">
        <w:rPr>
          <w:bCs/>
        </w:rPr>
        <w:t xml:space="preserve">inadequate analgesia with conventional strong opioids, </w:t>
      </w:r>
      <w:proofErr w:type="gramStart"/>
      <w:r w:rsidRPr="00745429">
        <w:rPr>
          <w:bCs/>
        </w:rPr>
        <w:t>e.g.</w:t>
      </w:r>
      <w:proofErr w:type="gramEnd"/>
      <w:r w:rsidRPr="00745429">
        <w:rPr>
          <w:bCs/>
        </w:rPr>
        <w:t xml:space="preserve"> for patients whose opioid dose is rapidly escalating but with incomplete benefit, or for those for whom dose increase is limited by toxicity symptoms</w:t>
      </w:r>
    </w:p>
    <w:p w14:paraId="5FAF5496" w14:textId="77777777" w:rsidR="00745429" w:rsidRPr="00745429" w:rsidRDefault="00745429" w:rsidP="00745429">
      <w:pPr>
        <w:pStyle w:val="NCLBodyText"/>
        <w:numPr>
          <w:ilvl w:val="0"/>
          <w:numId w:val="22"/>
        </w:numPr>
        <w:rPr>
          <w:bCs/>
          <w:lang w:val="en-US"/>
        </w:rPr>
      </w:pPr>
      <w:r w:rsidRPr="00745429">
        <w:rPr>
          <w:bCs/>
        </w:rPr>
        <w:t>opioid induced neurotoxicity (hyperalgesia, allodynia +/- myoclonus, sedation, delirium, complex neuropathic pain</w:t>
      </w:r>
    </w:p>
    <w:p w14:paraId="644CDD6D" w14:textId="77777777" w:rsidR="00745429" w:rsidRPr="00745429" w:rsidRDefault="00745429" w:rsidP="00745429">
      <w:pPr>
        <w:pStyle w:val="NCLBodyText"/>
        <w:numPr>
          <w:ilvl w:val="0"/>
          <w:numId w:val="22"/>
        </w:numPr>
        <w:rPr>
          <w:bCs/>
          <w:lang w:val="en-US"/>
        </w:rPr>
      </w:pPr>
      <w:r w:rsidRPr="00745429">
        <w:rPr>
          <w:bCs/>
        </w:rPr>
        <w:t xml:space="preserve">in </w:t>
      </w:r>
      <w:r w:rsidR="00497F0D">
        <w:rPr>
          <w:bCs/>
        </w:rPr>
        <w:t xml:space="preserve">the </w:t>
      </w:r>
      <w:r w:rsidRPr="00745429">
        <w:rPr>
          <w:bCs/>
        </w:rPr>
        <w:t xml:space="preserve">treatment of difficult pain in patients with </w:t>
      </w:r>
      <w:r w:rsidR="00497F0D">
        <w:rPr>
          <w:bCs/>
        </w:rPr>
        <w:t>end-stage</w:t>
      </w:r>
      <w:r w:rsidRPr="00745429">
        <w:rPr>
          <w:bCs/>
        </w:rPr>
        <w:t xml:space="preserve"> renal disease where other opioids are not effective or unsuitable (eGFR &lt; 30mls/min) </w:t>
      </w:r>
    </w:p>
    <w:p w14:paraId="73D77DC1" w14:textId="77777777" w:rsidR="00745429" w:rsidRPr="00745429" w:rsidRDefault="00745429" w:rsidP="00745429">
      <w:pPr>
        <w:pStyle w:val="NCLBodyText"/>
        <w:numPr>
          <w:ilvl w:val="0"/>
          <w:numId w:val="22"/>
        </w:numPr>
        <w:rPr>
          <w:bCs/>
        </w:rPr>
      </w:pPr>
      <w:r w:rsidRPr="00745429">
        <w:rPr>
          <w:bCs/>
          <w:lang w:val="en-US"/>
        </w:rPr>
        <w:t xml:space="preserve">in true morphine allergy </w:t>
      </w:r>
    </w:p>
    <w:p w14:paraId="2D00492E" w14:textId="77777777" w:rsidR="00745429" w:rsidRPr="00745429" w:rsidRDefault="00745429" w:rsidP="00745429">
      <w:pPr>
        <w:pStyle w:val="NCLBodyText"/>
        <w:numPr>
          <w:ilvl w:val="0"/>
          <w:numId w:val="22"/>
        </w:numPr>
        <w:rPr>
          <w:bCs/>
        </w:rPr>
      </w:pPr>
      <w:r w:rsidRPr="00745429">
        <w:rPr>
          <w:bCs/>
          <w:lang w:val="en-US"/>
        </w:rPr>
        <w:t>as analgesia for patients already using methadone for opioid dependency</w:t>
      </w:r>
    </w:p>
    <w:p w14:paraId="7F042B1F" w14:textId="77777777" w:rsidR="007D7488" w:rsidRDefault="007D7488" w:rsidP="00D46B50">
      <w:pPr>
        <w:pStyle w:val="NCLBodyText"/>
      </w:pPr>
    </w:p>
    <w:p w14:paraId="5DF7340E" w14:textId="77777777" w:rsidR="007D7488" w:rsidRDefault="00B0058E" w:rsidP="00D46B50">
      <w:pPr>
        <w:pStyle w:val="NCLBodyText"/>
      </w:pPr>
      <w:r w:rsidRPr="007D7488">
        <w:rPr>
          <w:b/>
        </w:rPr>
        <w:t>National Institute for Health and Clinical Excellence (NICE)</w:t>
      </w:r>
      <w:r w:rsidRPr="00B0058E">
        <w:t xml:space="preserve"> </w:t>
      </w:r>
    </w:p>
    <w:p w14:paraId="6F94D739" w14:textId="77777777" w:rsidR="00745429" w:rsidRDefault="00B0058E" w:rsidP="00D46B50">
      <w:pPr>
        <w:pStyle w:val="NCLBodyText"/>
      </w:pPr>
      <w:r w:rsidRPr="00B0058E">
        <w:t xml:space="preserve">There are no NICE guidelines on the use of methadone for pain; however, the use of methadone as an analgesic is </w:t>
      </w:r>
      <w:r w:rsidR="00497F0D">
        <w:t>well-established</w:t>
      </w:r>
      <w:r w:rsidRPr="00B0058E">
        <w:t xml:space="preserve"> within palliative medicine. </w:t>
      </w:r>
      <w:r w:rsidR="00497F0D">
        <w:t xml:space="preserve">See the </w:t>
      </w:r>
      <w:r w:rsidRPr="00B0058E">
        <w:t>Palliative Care Formulary (PCF7) third edition.</w:t>
      </w:r>
    </w:p>
    <w:p w14:paraId="3C119341" w14:textId="77777777" w:rsidR="00745429" w:rsidRDefault="00745429" w:rsidP="00D46B50">
      <w:pPr>
        <w:pStyle w:val="NCLBodyText"/>
      </w:pPr>
    </w:p>
    <w:p w14:paraId="094AEDAC" w14:textId="77777777" w:rsidR="00E60D27" w:rsidRDefault="007D7488" w:rsidP="00D46B50">
      <w:pPr>
        <w:pStyle w:val="NCLBodyText"/>
      </w:pPr>
      <w:r w:rsidRPr="007D7488">
        <w:rPr>
          <w:b/>
        </w:rPr>
        <w:t>Licensing:</w:t>
      </w:r>
      <w:r>
        <w:t xml:space="preserve"> </w:t>
      </w:r>
      <w:r w:rsidR="00E60D27" w:rsidRPr="00E60D27">
        <w:t>Not all preparations are licensed for use as an analgesic in moderate to severe pain. However, it is initiated by specialists due to difficulties with dose titration and risks of accumulation. The specialist will initiate this product during the titration period which should then be maintained throughout treatment</w:t>
      </w:r>
      <w:r w:rsidR="00497F0D">
        <w:t xml:space="preserve"> at a dose recommended by them</w:t>
      </w:r>
      <w:r w:rsidR="00E60D27" w:rsidRPr="00E60D27">
        <w:t xml:space="preserve">. One of </w:t>
      </w:r>
      <w:proofErr w:type="gramStart"/>
      <w:r>
        <w:t>a number of</w:t>
      </w:r>
      <w:proofErr w:type="gramEnd"/>
      <w:r>
        <w:t xml:space="preserve"> </w:t>
      </w:r>
      <w:r w:rsidR="00E60D27" w:rsidRPr="00E60D27">
        <w:t>preparations may be used, depending on route and dosage</w:t>
      </w:r>
      <w:r>
        <w:t>.</w:t>
      </w:r>
    </w:p>
    <w:p w14:paraId="1A8C96C9" w14:textId="77777777" w:rsidR="00E60D27" w:rsidRDefault="00E60D27" w:rsidP="00745429">
      <w:pPr>
        <w:pStyle w:val="NCLBodyText"/>
      </w:pPr>
      <w:r w:rsidRPr="00E60D27">
        <w:t xml:space="preserve"> </w:t>
      </w:r>
    </w:p>
    <w:p w14:paraId="1E815272" w14:textId="77777777" w:rsidR="00E60D27" w:rsidRDefault="00E60D27" w:rsidP="00D46B50">
      <w:pPr>
        <w:pStyle w:val="NCLBodyText"/>
      </w:pPr>
      <w:r w:rsidRPr="007D7488">
        <w:rPr>
          <w:b/>
        </w:rPr>
        <w:t>Prescribing:</w:t>
      </w:r>
      <w:r w:rsidRPr="00E60D27">
        <w:t xml:space="preserve"> When used for this indication Methadone should be prescribed on an FP10 prescription in the same way as </w:t>
      </w:r>
      <w:r w:rsidR="00497F0D">
        <w:t>other schedule</w:t>
      </w:r>
      <w:r w:rsidRPr="00E60D27">
        <w:t xml:space="preserve"> 2 controlled drugs – the restrictions and prescription forms used for </w:t>
      </w:r>
      <w:r w:rsidR="00497F0D">
        <w:t xml:space="preserve">the </w:t>
      </w:r>
      <w:r w:rsidRPr="00E60D27">
        <w:t>management of addiction do not apply.</w:t>
      </w:r>
    </w:p>
    <w:p w14:paraId="6244A672" w14:textId="77777777" w:rsidR="00497F0D" w:rsidRDefault="00497F0D" w:rsidP="00D46B50">
      <w:pPr>
        <w:pStyle w:val="NCLBodyText"/>
      </w:pPr>
    </w:p>
    <w:p w14:paraId="7EB244BE" w14:textId="77777777" w:rsidR="00D46B50" w:rsidRDefault="00F11531" w:rsidP="0068611C">
      <w:pPr>
        <w:pStyle w:val="NCLHeading1"/>
        <w:numPr>
          <w:ilvl w:val="0"/>
          <w:numId w:val="32"/>
        </w:numPr>
      </w:pPr>
      <w:bookmarkStart w:id="24" w:name="_Toc535932382"/>
      <w:bookmarkStart w:id="25" w:name="_Hlk121145507"/>
      <w:r>
        <w:t xml:space="preserve"> </w:t>
      </w:r>
      <w:bookmarkStart w:id="26" w:name="_Toc121760574"/>
      <w:bookmarkStart w:id="27" w:name="_Toc128414125"/>
      <w:r w:rsidR="00D46B50">
        <w:t>Dose and Administration</w:t>
      </w:r>
      <w:bookmarkEnd w:id="24"/>
      <w:bookmarkEnd w:id="26"/>
      <w:bookmarkEnd w:id="27"/>
    </w:p>
    <w:p w14:paraId="18042B5B" w14:textId="77777777" w:rsidR="00676F94" w:rsidRDefault="00676F94" w:rsidP="00D46B50">
      <w:pPr>
        <w:pStyle w:val="NCLBodyText"/>
        <w:rPr>
          <w:b/>
        </w:rPr>
      </w:pPr>
      <w:r w:rsidRPr="00676F94">
        <w:rPr>
          <w:b/>
        </w:rPr>
        <w:t xml:space="preserve">Dose and administration </w:t>
      </w:r>
    </w:p>
    <w:bookmarkEnd w:id="25"/>
    <w:p w14:paraId="6CA2A932" w14:textId="77777777" w:rsidR="00A17513" w:rsidRDefault="00D45D08" w:rsidP="00D46B50">
      <w:pPr>
        <w:pStyle w:val="NCLBodyText"/>
      </w:pPr>
      <w:r>
        <w:t xml:space="preserve">The </w:t>
      </w:r>
      <w:r w:rsidR="00A17513" w:rsidRPr="00A17513">
        <w:t xml:space="preserve">initial dose and regime will be recommended by the </w:t>
      </w:r>
      <w:r w:rsidR="00A17513">
        <w:t xml:space="preserve">palliative care </w:t>
      </w:r>
      <w:r w:rsidR="00A17513" w:rsidRPr="00A17513">
        <w:t>specialist (along with the initial prescription</w:t>
      </w:r>
      <w:r w:rsidR="00A17513">
        <w:t xml:space="preserve">), and all relevant details will be sent to the GP (such as </w:t>
      </w:r>
      <w:r w:rsidR="00A17513" w:rsidRPr="00A17513">
        <w:t>GP the rationale for methadone treatment, the correct dose, formulation and quantity</w:t>
      </w:r>
      <w:r w:rsidR="00A17513">
        <w:t xml:space="preserve">). Any dose adjustments recommended by the specialist will be communicated to the GP in writing to enact from the next prescription (it will also be communicated verbally/in writing to the patient in cases of an immediate adjustment). </w:t>
      </w:r>
    </w:p>
    <w:p w14:paraId="72FFFF1F" w14:textId="5C6091E4" w:rsidR="00B0058E" w:rsidRPr="00676F94" w:rsidRDefault="00A17513" w:rsidP="00D46B50">
      <w:pPr>
        <w:pStyle w:val="NCLBodyText"/>
      </w:pPr>
      <w:r>
        <w:t>In terms of switching from existing treatments, t</w:t>
      </w:r>
      <w:r w:rsidR="00676F94" w:rsidRPr="00676F94">
        <w:t xml:space="preserve">here is no straightforward conversion ratio between methadone and other opioids such as morphine. Accumulation can result in a delayed onset of toxicity. </w:t>
      </w:r>
      <w:r w:rsidR="002A05AD" w:rsidRPr="00676F94">
        <w:t>Thus,</w:t>
      </w:r>
      <w:r w:rsidR="00676F94" w:rsidRPr="00676F94">
        <w:t xml:space="preserve"> dose titration is extremely difficult and </w:t>
      </w:r>
      <w:r w:rsidR="00497F0D">
        <w:t xml:space="preserve">is </w:t>
      </w:r>
      <w:r w:rsidR="00676F94" w:rsidRPr="00676F94">
        <w:t>usually undertaken in an inpatient setting where both nursing and medical staff are experienced in its use.</w:t>
      </w:r>
    </w:p>
    <w:p w14:paraId="61EB49E3" w14:textId="77777777" w:rsidR="00B0058E" w:rsidRDefault="00B0058E" w:rsidP="00D46B50">
      <w:pPr>
        <w:pStyle w:val="NCLBodyText"/>
      </w:pPr>
      <w:r w:rsidRPr="00B0058E">
        <w:t>Several guidelines exist for switching from morphine to methadone, but all require practitioners to be experienced in the use of methadone and close observation of the patient, generally as an inpatient. Carefully controlled outpatient regimens can be used, but pain relief can take weeks rather than days to achieve</w:t>
      </w:r>
      <w:r w:rsidR="00676F94">
        <w:t xml:space="preserve">. </w:t>
      </w:r>
      <w:r w:rsidRPr="00B0058E">
        <w:t xml:space="preserve">Local specialists generally choose to reduce the regular dose of </w:t>
      </w:r>
      <w:r w:rsidR="00497F0D">
        <w:t>opioids</w:t>
      </w:r>
      <w:r w:rsidRPr="00B0058E">
        <w:t xml:space="preserve"> and gradually upwardly </w:t>
      </w:r>
      <w:r w:rsidRPr="00B0058E">
        <w:lastRenderedPageBreak/>
        <w:t xml:space="preserve">titrate the methadone until an effective dose is reached and the current opioid has been discontinued (anecdotally, this usually ends with the patient being stabilised on a lower methadone dose). Maintenance doses vary considerably, but </w:t>
      </w:r>
      <w:r w:rsidR="00676F94">
        <w:t xml:space="preserve">most </w:t>
      </w:r>
      <w:r w:rsidRPr="00B0058E">
        <w:t xml:space="preserve">are prescribed </w:t>
      </w:r>
      <w:r w:rsidR="00497F0D">
        <w:t xml:space="preserve">at </w:t>
      </w:r>
      <w:r w:rsidRPr="00B0058E">
        <w:t xml:space="preserve">less than </w:t>
      </w:r>
      <w:r w:rsidR="00676F94">
        <w:t>100</w:t>
      </w:r>
      <w:r w:rsidRPr="00B0058E">
        <w:t>mg daily. Methadone doses are generally split into twice daily dosing, although occasionally three times daily dosing is used.</w:t>
      </w:r>
    </w:p>
    <w:p w14:paraId="1A7E6C99" w14:textId="77777777" w:rsidR="00676F94" w:rsidRDefault="00676F94" w:rsidP="00676F94">
      <w:pPr>
        <w:pStyle w:val="NCLBodyText"/>
      </w:pPr>
    </w:p>
    <w:p w14:paraId="7F18E8F8" w14:textId="77777777" w:rsidR="00676F94" w:rsidRDefault="00676F94" w:rsidP="00676F94">
      <w:pPr>
        <w:pStyle w:val="NCLBodyText"/>
      </w:pPr>
      <w:r w:rsidRPr="00676F94">
        <w:rPr>
          <w:b/>
        </w:rPr>
        <w:t>Oral to subcutaneous conversion</w:t>
      </w:r>
      <w:r w:rsidRPr="00676F94">
        <w:t xml:space="preserve"> </w:t>
      </w:r>
    </w:p>
    <w:p w14:paraId="79AE658E" w14:textId="749CCD6E" w:rsidR="00676F94" w:rsidRDefault="00063372" w:rsidP="00676F94">
      <w:pPr>
        <w:pStyle w:val="NCLBodyText"/>
      </w:pPr>
      <w:r>
        <w:t>For use during t</w:t>
      </w:r>
      <w:r w:rsidR="00676F94" w:rsidRPr="00676F94">
        <w:t>emporary or permanent loss of oral route (</w:t>
      </w:r>
      <w:proofErr w:type="gramStart"/>
      <w:r w:rsidR="00676F94" w:rsidRPr="00676F94">
        <w:t>e.g.</w:t>
      </w:r>
      <w:proofErr w:type="gramEnd"/>
      <w:r w:rsidR="00676F94" w:rsidRPr="00676F94">
        <w:t xml:space="preserve"> vomiting or </w:t>
      </w:r>
      <w:r w:rsidR="00497F0D">
        <w:t>end-of-life</w:t>
      </w:r>
      <w:r w:rsidR="00676F94" w:rsidRPr="00676F94">
        <w:t xml:space="preserve"> care)</w:t>
      </w:r>
      <w:r w:rsidR="00497F0D">
        <w:t>.</w:t>
      </w:r>
      <w:r w:rsidR="00676F94" w:rsidRPr="00676F94">
        <w:t xml:space="preserve"> Discuss </w:t>
      </w:r>
      <w:r w:rsidR="00497F0D">
        <w:t xml:space="preserve">this </w:t>
      </w:r>
      <w:r w:rsidR="00676F94" w:rsidRPr="00676F94">
        <w:t>with the pain or palliative care consultant. If required, subcutaneous methadone is given:</w:t>
      </w:r>
    </w:p>
    <w:p w14:paraId="327AF558" w14:textId="55AD0791" w:rsidR="00676F94" w:rsidRDefault="00676F94" w:rsidP="00063372">
      <w:pPr>
        <w:pStyle w:val="NCLBodyText"/>
        <w:numPr>
          <w:ilvl w:val="0"/>
          <w:numId w:val="47"/>
        </w:numPr>
      </w:pPr>
      <w:r w:rsidRPr="00676F94">
        <w:t xml:space="preserve">via </w:t>
      </w:r>
      <w:r w:rsidR="00497F0D">
        <w:t xml:space="preserve">a </w:t>
      </w:r>
      <w:r w:rsidR="002A05AD" w:rsidRPr="00676F94">
        <w:t>24-hour</w:t>
      </w:r>
      <w:r w:rsidRPr="00676F94">
        <w:t xml:space="preserve"> subcutaneous syringe </w:t>
      </w:r>
      <w:proofErr w:type="gramStart"/>
      <w:r w:rsidRPr="00676F94">
        <w:t>driver</w:t>
      </w:r>
      <w:r w:rsidR="00063372">
        <w:t>;</w:t>
      </w:r>
      <w:proofErr w:type="gramEnd"/>
      <w:r w:rsidRPr="00676F94">
        <w:t xml:space="preserve"> </w:t>
      </w:r>
    </w:p>
    <w:p w14:paraId="3B2B79D8" w14:textId="653B1F25" w:rsidR="00063372" w:rsidRDefault="00676F94" w:rsidP="00063372">
      <w:pPr>
        <w:pStyle w:val="NCLBodyText"/>
        <w:numPr>
          <w:ilvl w:val="0"/>
          <w:numId w:val="47"/>
        </w:numPr>
      </w:pPr>
      <w:r w:rsidRPr="00676F94">
        <w:t xml:space="preserve">At a dose half that of the previous </w:t>
      </w:r>
      <w:r w:rsidR="002A05AD" w:rsidRPr="00676F94">
        <w:t>24-hour</w:t>
      </w:r>
      <w:r w:rsidRPr="00676F94">
        <w:t xml:space="preserve"> oral dose: </w:t>
      </w:r>
    </w:p>
    <w:p w14:paraId="3222F514" w14:textId="4894FE30" w:rsidR="00676F94" w:rsidRDefault="00676F94" w:rsidP="00063372">
      <w:pPr>
        <w:pStyle w:val="NCLBodyText"/>
        <w:numPr>
          <w:ilvl w:val="1"/>
          <w:numId w:val="47"/>
        </w:numPr>
        <w:ind w:left="1276"/>
      </w:pPr>
      <w:r w:rsidRPr="00676F94">
        <w:t>E.g.</w:t>
      </w:r>
      <w:r w:rsidR="00063372">
        <w:t>,</w:t>
      </w:r>
      <w:r w:rsidRPr="00676F94">
        <w:t xml:space="preserve"> methadone 20mg </w:t>
      </w:r>
      <w:proofErr w:type="spellStart"/>
      <w:r w:rsidRPr="00676F94">
        <w:t>b.d.</w:t>
      </w:r>
      <w:proofErr w:type="spellEnd"/>
      <w:r w:rsidRPr="00676F94">
        <w:t xml:space="preserve"> PO would be equivalent to 20mg over 24hrs via </w:t>
      </w:r>
      <w:r w:rsidR="00497F0D">
        <w:t xml:space="preserve">a </w:t>
      </w:r>
      <w:r w:rsidRPr="00676F94">
        <w:t xml:space="preserve">syringe </w:t>
      </w:r>
      <w:proofErr w:type="gramStart"/>
      <w:r w:rsidRPr="00676F94">
        <w:t>driver</w:t>
      </w:r>
      <w:r w:rsidR="00063372">
        <w:t>;</w:t>
      </w:r>
      <w:proofErr w:type="gramEnd"/>
    </w:p>
    <w:p w14:paraId="6999B13C" w14:textId="2446BB87" w:rsidR="00063372" w:rsidRDefault="00063372" w:rsidP="00063372">
      <w:pPr>
        <w:pStyle w:val="NCLBodyText"/>
        <w:numPr>
          <w:ilvl w:val="0"/>
          <w:numId w:val="47"/>
        </w:numPr>
      </w:pPr>
      <w:r>
        <w:t>Using w</w:t>
      </w:r>
      <w:r w:rsidRPr="00676F94">
        <w:t>ater or sodium chloride 0.9% can be used as a diluent</w:t>
      </w:r>
      <w:r>
        <w:t>.</w:t>
      </w:r>
      <w:r w:rsidRPr="00676F94">
        <w:t xml:space="preserve"> </w:t>
      </w:r>
    </w:p>
    <w:p w14:paraId="41FFE81C" w14:textId="0279EBD7" w:rsidR="00676F94" w:rsidRDefault="00676F94" w:rsidP="00063372">
      <w:pPr>
        <w:pStyle w:val="NCLBodyText"/>
        <w:numPr>
          <w:ilvl w:val="0"/>
          <w:numId w:val="47"/>
        </w:numPr>
      </w:pPr>
      <w:r w:rsidRPr="00676F94">
        <w:t xml:space="preserve">There is limited data on combining methadone with other drugs in syringe drivers: discuss with the pain or palliative care </w:t>
      </w:r>
      <w:proofErr w:type="gramStart"/>
      <w:r w:rsidRPr="00676F94">
        <w:t>team</w:t>
      </w:r>
      <w:proofErr w:type="gramEnd"/>
      <w:r w:rsidRPr="00676F94">
        <w:t xml:space="preserve"> </w:t>
      </w:r>
    </w:p>
    <w:p w14:paraId="1A594304" w14:textId="77777777" w:rsidR="00063372" w:rsidRDefault="00063372" w:rsidP="00063372">
      <w:pPr>
        <w:pStyle w:val="NCLBodyText"/>
      </w:pPr>
    </w:p>
    <w:p w14:paraId="11784ED9" w14:textId="77777777" w:rsidR="00D46B50" w:rsidRPr="00B751C3" w:rsidRDefault="00D46B50" w:rsidP="00E60D27">
      <w:pPr>
        <w:pStyle w:val="NCLSubsection"/>
        <w:rPr>
          <w:b/>
          <w:i w:val="0"/>
          <w:u w:val="none"/>
        </w:rPr>
      </w:pPr>
      <w:r w:rsidRPr="00B751C3">
        <w:rPr>
          <w:b/>
          <w:i w:val="0"/>
          <w:u w:val="none"/>
        </w:rPr>
        <w:t>Preparations available</w:t>
      </w:r>
    </w:p>
    <w:p w14:paraId="01565659" w14:textId="6FC8A08A" w:rsidR="00A17513" w:rsidRDefault="00A17513" w:rsidP="00A17513">
      <w:pPr>
        <w:pStyle w:val="Caption"/>
      </w:pPr>
      <w:r>
        <w:t xml:space="preserve">Table </w:t>
      </w:r>
      <w:r>
        <w:fldChar w:fldCharType="begin"/>
      </w:r>
      <w:r>
        <w:instrText>SEQ Table \* ARABIC</w:instrText>
      </w:r>
      <w:r>
        <w:fldChar w:fldCharType="separate"/>
      </w:r>
      <w:r w:rsidR="00707532">
        <w:rPr>
          <w:noProof/>
        </w:rPr>
        <w:t>1</w:t>
      </w:r>
      <w:r>
        <w:fldChar w:fldCharType="end"/>
      </w:r>
      <w:r>
        <w:t xml:space="preserve"> - </w:t>
      </w:r>
      <w:r w:rsidRPr="00A17513">
        <w:t>Approved Formulations of Methadone to Prescribe**</w:t>
      </w:r>
    </w:p>
    <w:tbl>
      <w:tblPr>
        <w:tblW w:w="10783" w:type="dxa"/>
        <w:tblInd w:w="-108" w:type="dxa"/>
        <w:tblBorders>
          <w:top w:val="nil"/>
          <w:left w:val="nil"/>
          <w:bottom w:val="nil"/>
          <w:right w:val="nil"/>
        </w:tblBorders>
        <w:tblLayout w:type="fixed"/>
        <w:tblLook w:val="0000" w:firstRow="0" w:lastRow="0" w:firstColumn="0" w:lastColumn="0" w:noHBand="0" w:noVBand="0"/>
      </w:tblPr>
      <w:tblGrid>
        <w:gridCol w:w="10783"/>
      </w:tblGrid>
      <w:tr w:rsidR="0063168A" w:rsidRPr="0063168A" w14:paraId="146654C3" w14:textId="77777777" w:rsidTr="0063168A">
        <w:trPr>
          <w:trHeight w:val="1276"/>
        </w:trPr>
        <w:tc>
          <w:tcPr>
            <w:tcW w:w="10783" w:type="dxa"/>
          </w:tcPr>
          <w:tbl>
            <w:tblPr>
              <w:tblStyle w:val="TableGrid"/>
              <w:tblW w:w="0" w:type="auto"/>
              <w:tblLayout w:type="fixed"/>
              <w:tblLook w:val="04A0" w:firstRow="1" w:lastRow="0" w:firstColumn="1" w:lastColumn="0" w:noHBand="0" w:noVBand="1"/>
            </w:tblPr>
            <w:tblGrid>
              <w:gridCol w:w="1555"/>
              <w:gridCol w:w="4819"/>
              <w:gridCol w:w="3402"/>
            </w:tblGrid>
            <w:tr w:rsidR="0063168A" w:rsidRPr="0063168A" w14:paraId="7DB81C5A" w14:textId="77777777" w:rsidTr="00F11531">
              <w:tc>
                <w:tcPr>
                  <w:tcW w:w="1555" w:type="dxa"/>
                </w:tcPr>
                <w:p w14:paraId="6C819619" w14:textId="77777777" w:rsidR="0063168A" w:rsidRPr="0063168A" w:rsidRDefault="0063168A" w:rsidP="0063168A">
                  <w:pPr>
                    <w:pStyle w:val="NCLBodyText"/>
                  </w:pPr>
                  <w:r w:rsidRPr="0063168A">
                    <w:t xml:space="preserve">Oral formulations </w:t>
                  </w:r>
                </w:p>
              </w:tc>
              <w:tc>
                <w:tcPr>
                  <w:tcW w:w="4819" w:type="dxa"/>
                </w:tcPr>
                <w:p w14:paraId="42683C16" w14:textId="77777777" w:rsidR="0063168A" w:rsidRPr="0063168A" w:rsidRDefault="0063168A" w:rsidP="0063168A">
                  <w:pPr>
                    <w:pStyle w:val="NCLBodyText"/>
                  </w:pPr>
                  <w:r w:rsidRPr="0063168A">
                    <w:t>Preferred option</w:t>
                  </w:r>
                </w:p>
                <w:p w14:paraId="33D5ED56" w14:textId="77777777" w:rsidR="0063168A" w:rsidRPr="00A95B3A" w:rsidRDefault="0063168A" w:rsidP="0063168A">
                  <w:pPr>
                    <w:pStyle w:val="NCLBodyText"/>
                    <w:rPr>
                      <w:b/>
                      <w:bCs/>
                    </w:rPr>
                  </w:pPr>
                  <w:r w:rsidRPr="00A95B3A">
                    <w:rPr>
                      <w:b/>
                      <w:bCs/>
                    </w:rPr>
                    <w:t>Methadone oral solution 1mg/ml</w:t>
                  </w:r>
                </w:p>
                <w:p w14:paraId="30FED1D0" w14:textId="77777777" w:rsidR="0063168A" w:rsidRPr="0063168A" w:rsidRDefault="0063168A" w:rsidP="0063168A">
                  <w:pPr>
                    <w:pStyle w:val="NCLBodyText"/>
                  </w:pPr>
                  <w:r w:rsidRPr="0063168A">
                    <w:t xml:space="preserve">Must specify </w:t>
                  </w:r>
                  <w:r w:rsidR="00497F0D">
                    <w:t>sugar-free</w:t>
                  </w:r>
                  <w:r w:rsidRPr="0063168A">
                    <w:t xml:space="preserve"> when specifically required</w:t>
                  </w:r>
                  <w:r w:rsidRPr="0063168A">
                    <w:rPr>
                      <w:b/>
                    </w:rPr>
                    <w:t>*</w:t>
                  </w:r>
                </w:p>
                <w:p w14:paraId="3AC3DCAC" w14:textId="77777777" w:rsidR="0063168A" w:rsidRPr="0063168A" w:rsidRDefault="0063168A" w:rsidP="0063168A">
                  <w:pPr>
                    <w:pStyle w:val="NCLBodyText"/>
                  </w:pPr>
                  <w:r w:rsidRPr="0063168A">
                    <w:t>Usually green in colour</w:t>
                  </w:r>
                </w:p>
                <w:p w14:paraId="06F59099" w14:textId="77777777" w:rsidR="0063168A" w:rsidRPr="0063168A" w:rsidRDefault="0063168A" w:rsidP="0063168A">
                  <w:pPr>
                    <w:pStyle w:val="NCLBodyText"/>
                  </w:pPr>
                  <w:r w:rsidRPr="0063168A">
                    <w:t>The bottle containing the liquid methadone preparation should always be shaken before use. Patients should use a syringe to measure the liquid methadone preparation, to ensure the accuracy of the volume ingested.</w:t>
                  </w:r>
                </w:p>
                <w:p w14:paraId="15B8F675" w14:textId="77777777" w:rsidR="0063168A" w:rsidRPr="0063168A" w:rsidRDefault="0063168A" w:rsidP="0063168A">
                  <w:pPr>
                    <w:pStyle w:val="NCLBodyText"/>
                  </w:pPr>
                </w:p>
                <w:p w14:paraId="73D394CF" w14:textId="0CD8C6A4" w:rsidR="0063168A" w:rsidRPr="00A95B3A" w:rsidRDefault="00A95B3A" w:rsidP="0063168A">
                  <w:pPr>
                    <w:pStyle w:val="NCLBodyText"/>
                    <w:rPr>
                      <w:b/>
                      <w:bCs/>
                    </w:rPr>
                  </w:pPr>
                  <w:r>
                    <w:rPr>
                      <w:b/>
                      <w:bCs/>
                    </w:rPr>
                    <w:t>Methadone t</w:t>
                  </w:r>
                  <w:r w:rsidR="0063168A" w:rsidRPr="00A95B3A">
                    <w:rPr>
                      <w:b/>
                      <w:bCs/>
                    </w:rPr>
                    <w:t>ablets 5mg</w:t>
                  </w:r>
                </w:p>
              </w:tc>
              <w:tc>
                <w:tcPr>
                  <w:tcW w:w="3402" w:type="dxa"/>
                </w:tcPr>
                <w:p w14:paraId="1700ACC8" w14:textId="11FC3197" w:rsidR="0063168A" w:rsidRPr="0063168A" w:rsidRDefault="0063168A" w:rsidP="0063168A">
                  <w:pPr>
                    <w:pStyle w:val="NCLBodyText"/>
                  </w:pPr>
                  <w:r w:rsidRPr="0063168A">
                    <w:t xml:space="preserve">NB: </w:t>
                  </w:r>
                  <w:r w:rsidR="008254D5">
                    <w:t xml:space="preserve">concentrated </w:t>
                  </w:r>
                  <w:r w:rsidRPr="0063168A">
                    <w:t>oral solution</w:t>
                  </w:r>
                  <w:r w:rsidR="008254D5">
                    <w:t>s</w:t>
                  </w:r>
                  <w:r w:rsidRPr="0063168A">
                    <w:t xml:space="preserve"> </w:t>
                  </w:r>
                  <w:r w:rsidR="009A3FB8">
                    <w:t>(</w:t>
                  </w:r>
                  <w:r w:rsidR="009A3FB8" w:rsidRPr="0063168A">
                    <w:t>10mg/ml and 20mg/ml</w:t>
                  </w:r>
                  <w:r w:rsidR="009A3FB8">
                    <w:t xml:space="preserve">) </w:t>
                  </w:r>
                  <w:r w:rsidRPr="0063168A">
                    <w:rPr>
                      <w:b/>
                    </w:rPr>
                    <w:t>are not</w:t>
                  </w:r>
                  <w:r w:rsidRPr="0063168A">
                    <w:t xml:space="preserve"> to be </w:t>
                  </w:r>
                  <w:r w:rsidR="002A05AD" w:rsidRPr="0063168A">
                    <w:t>prescribed</w:t>
                  </w:r>
                  <w:r w:rsidR="009A3FB8">
                    <w:t>.</w:t>
                  </w:r>
                </w:p>
                <w:p w14:paraId="46090E78" w14:textId="77777777" w:rsidR="0063168A" w:rsidRPr="0063168A" w:rsidRDefault="0063168A" w:rsidP="0063168A">
                  <w:pPr>
                    <w:pStyle w:val="NCLBodyText"/>
                  </w:pPr>
                </w:p>
                <w:p w14:paraId="27583363" w14:textId="77777777" w:rsidR="0063168A" w:rsidRPr="0063168A" w:rsidRDefault="0063168A" w:rsidP="0063168A">
                  <w:pPr>
                    <w:pStyle w:val="NCLBodyText"/>
                  </w:pPr>
                  <w:r w:rsidRPr="0063168A">
                    <w:t xml:space="preserve">Methadone linctus </w:t>
                  </w:r>
                  <w:r w:rsidRPr="0063168A">
                    <w:rPr>
                      <w:b/>
                    </w:rPr>
                    <w:t>is not</w:t>
                  </w:r>
                  <w:r w:rsidRPr="0063168A">
                    <w:t xml:space="preserve"> to be prescribed for pain control</w:t>
                  </w:r>
                </w:p>
              </w:tc>
            </w:tr>
            <w:tr w:rsidR="0063168A" w:rsidRPr="0063168A" w14:paraId="2490F7BC" w14:textId="77777777" w:rsidTr="00F11531">
              <w:tc>
                <w:tcPr>
                  <w:tcW w:w="1555" w:type="dxa"/>
                </w:tcPr>
                <w:p w14:paraId="1B249C2A" w14:textId="77777777" w:rsidR="0063168A" w:rsidRPr="0063168A" w:rsidRDefault="0063168A" w:rsidP="0063168A">
                  <w:pPr>
                    <w:pStyle w:val="NCLBodyText"/>
                  </w:pPr>
                  <w:r w:rsidRPr="0063168A">
                    <w:t xml:space="preserve">Parenteral formulations </w:t>
                  </w:r>
                </w:p>
              </w:tc>
              <w:tc>
                <w:tcPr>
                  <w:tcW w:w="4819" w:type="dxa"/>
                </w:tcPr>
                <w:p w14:paraId="6687A749" w14:textId="77777777" w:rsidR="0063168A" w:rsidRPr="00A95B3A" w:rsidRDefault="0063168A" w:rsidP="0063168A">
                  <w:pPr>
                    <w:pStyle w:val="NCLBodyText"/>
                    <w:rPr>
                      <w:b/>
                      <w:bCs/>
                    </w:rPr>
                  </w:pPr>
                  <w:r w:rsidRPr="00A95B3A">
                    <w:rPr>
                      <w:b/>
                      <w:bCs/>
                    </w:rPr>
                    <w:t xml:space="preserve">Methadone injection </w:t>
                  </w:r>
                </w:p>
                <w:p w14:paraId="7D2985EA" w14:textId="77777777" w:rsidR="0063168A" w:rsidRPr="0063168A" w:rsidRDefault="0063168A" w:rsidP="0063168A">
                  <w:pPr>
                    <w:pStyle w:val="NCLBodyText"/>
                    <w:rPr>
                      <w:bCs/>
                    </w:rPr>
                  </w:pPr>
                  <w:r w:rsidRPr="0063168A">
                    <w:rPr>
                      <w:bCs/>
                    </w:rPr>
                    <w:t>10mg/1ml solution for injection ampoules</w:t>
                  </w:r>
                </w:p>
                <w:p w14:paraId="3D035F83" w14:textId="77777777" w:rsidR="0063168A" w:rsidRPr="0063168A" w:rsidRDefault="0063168A" w:rsidP="0063168A">
                  <w:pPr>
                    <w:pStyle w:val="NCLBodyText"/>
                    <w:rPr>
                      <w:bCs/>
                    </w:rPr>
                  </w:pPr>
                </w:p>
                <w:p w14:paraId="45740805" w14:textId="77777777" w:rsidR="0063168A" w:rsidRPr="0063168A" w:rsidRDefault="0063168A" w:rsidP="0063168A">
                  <w:pPr>
                    <w:pStyle w:val="NCLBodyText"/>
                  </w:pPr>
                  <w:r w:rsidRPr="0063168A">
                    <w:rPr>
                      <w:bCs/>
                    </w:rPr>
                    <w:t>A</w:t>
                  </w:r>
                  <w:r w:rsidRPr="0063168A">
                    <w:t>mpoules containing 1, 2, 3.5</w:t>
                  </w:r>
                  <w:r w:rsidR="00497F0D">
                    <w:t>,</w:t>
                  </w:r>
                  <w:r w:rsidRPr="0063168A">
                    <w:t xml:space="preserve"> or 5ml of solution are usually available.</w:t>
                  </w:r>
                </w:p>
                <w:p w14:paraId="0F648315" w14:textId="77777777" w:rsidR="0063168A" w:rsidRPr="0063168A" w:rsidRDefault="0063168A" w:rsidP="0063168A">
                  <w:pPr>
                    <w:pStyle w:val="NCLBodyText"/>
                  </w:pPr>
                </w:p>
              </w:tc>
              <w:tc>
                <w:tcPr>
                  <w:tcW w:w="3402" w:type="dxa"/>
                </w:tcPr>
                <w:p w14:paraId="1E057940" w14:textId="6A338543" w:rsidR="0063168A" w:rsidRPr="0063168A" w:rsidRDefault="0063168A" w:rsidP="0063168A">
                  <w:pPr>
                    <w:pStyle w:val="NCLBodyText"/>
                  </w:pPr>
                  <w:r w:rsidRPr="0063168A">
                    <w:t xml:space="preserve">Concentrated ampoules (50mg/ml) </w:t>
                  </w:r>
                  <w:r w:rsidRPr="0063168A">
                    <w:rPr>
                      <w:b/>
                    </w:rPr>
                    <w:t>are not</w:t>
                  </w:r>
                  <w:r w:rsidRPr="0063168A">
                    <w:t xml:space="preserve"> recommended and should not be used unless exceptionally high CSCI (continuous subcutaneous infusion) doses are required.</w:t>
                  </w:r>
                </w:p>
                <w:p w14:paraId="53093DB4" w14:textId="77777777" w:rsidR="0063168A" w:rsidRPr="0063168A" w:rsidRDefault="0063168A" w:rsidP="0063168A">
                  <w:pPr>
                    <w:pStyle w:val="NCLBodyText"/>
                  </w:pPr>
                </w:p>
              </w:tc>
            </w:tr>
          </w:tbl>
          <w:p w14:paraId="687CBCDD" w14:textId="77777777" w:rsidR="0063168A" w:rsidRPr="0063168A" w:rsidRDefault="0063168A" w:rsidP="0063168A">
            <w:pPr>
              <w:pStyle w:val="NCLBodyText"/>
            </w:pPr>
          </w:p>
        </w:tc>
      </w:tr>
    </w:tbl>
    <w:p w14:paraId="34CE7496" w14:textId="77777777" w:rsidR="0063168A" w:rsidRPr="004B1265" w:rsidRDefault="004B1265" w:rsidP="0063168A">
      <w:pPr>
        <w:pStyle w:val="NCLBodyText"/>
        <w:rPr>
          <w:sz w:val="20"/>
          <w:szCs w:val="20"/>
        </w:rPr>
      </w:pPr>
      <w:r w:rsidRPr="004B1265">
        <w:rPr>
          <w:b/>
          <w:sz w:val="20"/>
          <w:szCs w:val="20"/>
        </w:rPr>
        <w:t>*</w:t>
      </w:r>
      <w:r w:rsidRPr="004B1265">
        <w:rPr>
          <w:sz w:val="20"/>
          <w:szCs w:val="20"/>
        </w:rPr>
        <w:t>Bitter taste can be masked. The oral solution can be diluted in water or any juice (except grapefruit) for enhanced palatability.</w:t>
      </w:r>
    </w:p>
    <w:p w14:paraId="6F5B7DB9" w14:textId="77777777" w:rsidR="0063168A" w:rsidRPr="004B1265" w:rsidRDefault="0063168A" w:rsidP="0063168A">
      <w:pPr>
        <w:pStyle w:val="NCLBodyText"/>
        <w:rPr>
          <w:sz w:val="20"/>
          <w:szCs w:val="20"/>
        </w:rPr>
      </w:pPr>
      <w:r w:rsidRPr="004B1265">
        <w:rPr>
          <w:b/>
          <w:sz w:val="20"/>
          <w:szCs w:val="20"/>
        </w:rPr>
        <w:t>**</w:t>
      </w:r>
      <w:r w:rsidRPr="004B1265">
        <w:rPr>
          <w:sz w:val="20"/>
          <w:szCs w:val="20"/>
        </w:rPr>
        <w:t xml:space="preserve"> other unlicensed formulations may be available from specialist manufacturers including suppositories </w:t>
      </w:r>
      <w:r w:rsidR="00497F0D">
        <w:rPr>
          <w:sz w:val="20"/>
          <w:szCs w:val="20"/>
        </w:rPr>
        <w:t>that</w:t>
      </w:r>
      <w:r w:rsidRPr="004B1265">
        <w:rPr>
          <w:sz w:val="20"/>
          <w:szCs w:val="20"/>
        </w:rPr>
        <w:t xml:space="preserve"> can be compounded for rectal administration. </w:t>
      </w:r>
    </w:p>
    <w:p w14:paraId="40B590E4" w14:textId="6CF59A11" w:rsidR="00B751C3" w:rsidRDefault="00A17513" w:rsidP="00F11531">
      <w:pPr>
        <w:pStyle w:val="NCLHeading1"/>
        <w:numPr>
          <w:ilvl w:val="0"/>
          <w:numId w:val="32"/>
        </w:numPr>
      </w:pPr>
      <w:bookmarkStart w:id="28" w:name="_Toc121760575"/>
      <w:r>
        <w:t xml:space="preserve"> </w:t>
      </w:r>
      <w:bookmarkStart w:id="29" w:name="_Toc128414126"/>
      <w:r w:rsidR="002C2CFB">
        <w:t>Adverse Effects</w:t>
      </w:r>
      <w:bookmarkEnd w:id="28"/>
      <w:bookmarkEnd w:id="29"/>
    </w:p>
    <w:p w14:paraId="10844B9B" w14:textId="36A1DE3A" w:rsidR="00B0058E" w:rsidRDefault="00717966" w:rsidP="00BF3655">
      <w:pPr>
        <w:pStyle w:val="ListBullet"/>
        <w:numPr>
          <w:ilvl w:val="0"/>
          <w:numId w:val="0"/>
        </w:numPr>
      </w:pPr>
      <w:r>
        <w:t>Adverse effects with m</w:t>
      </w:r>
      <w:r w:rsidR="00B0058E">
        <w:t xml:space="preserve">ethadone are generally </w:t>
      </w:r>
      <w:proofErr w:type="gramStart"/>
      <w:r w:rsidR="00B0058E">
        <w:t>similar to</w:t>
      </w:r>
      <w:proofErr w:type="gramEnd"/>
      <w:r w:rsidR="00B0058E">
        <w:t xml:space="preserve"> morphine and other strong opioids. The important differences </w:t>
      </w:r>
      <w:r w:rsidR="002A05AD">
        <w:t>are: -</w:t>
      </w:r>
    </w:p>
    <w:p w14:paraId="3E552571" w14:textId="0FCDC92A" w:rsidR="00B0058E" w:rsidRDefault="00B0058E" w:rsidP="00063372">
      <w:pPr>
        <w:pStyle w:val="ListBullet2"/>
        <w:numPr>
          <w:ilvl w:val="0"/>
          <w:numId w:val="49"/>
        </w:numPr>
      </w:pPr>
      <w:r>
        <w:t>Accumulation resulting in delayed toxicity (</w:t>
      </w:r>
      <w:proofErr w:type="gramStart"/>
      <w:r>
        <w:t>e.g.</w:t>
      </w:r>
      <w:proofErr w:type="gramEnd"/>
      <w:r>
        <w:t xml:space="preserve"> respiratory depression) can occur despite </w:t>
      </w:r>
      <w:r w:rsidR="009D6AF9">
        <w:t>well-tolerated</w:t>
      </w:r>
      <w:r>
        <w:t xml:space="preserve"> stable doses for days or weeks</w:t>
      </w:r>
      <w:r w:rsidR="00DA46A4">
        <w:t>.</w:t>
      </w:r>
    </w:p>
    <w:p w14:paraId="638A395D" w14:textId="5B7AC469" w:rsidR="00B0058E" w:rsidRDefault="00B0058E" w:rsidP="00063372">
      <w:pPr>
        <w:pStyle w:val="ListBullet2"/>
        <w:numPr>
          <w:ilvl w:val="0"/>
          <w:numId w:val="49"/>
        </w:numPr>
      </w:pPr>
      <w:r>
        <w:t>Drug interactions resulting in unexpected toxicity</w:t>
      </w:r>
      <w:r w:rsidR="00DA46A4">
        <w:t xml:space="preserve"> can occur</w:t>
      </w:r>
      <w:r>
        <w:t xml:space="preserve">. </w:t>
      </w:r>
    </w:p>
    <w:p w14:paraId="2B486FA8" w14:textId="04DB0356" w:rsidR="00B0058E" w:rsidRDefault="00B0058E" w:rsidP="00063372">
      <w:pPr>
        <w:pStyle w:val="ListBullet2"/>
        <w:numPr>
          <w:ilvl w:val="0"/>
          <w:numId w:val="49"/>
        </w:numPr>
      </w:pPr>
      <w:r>
        <w:lastRenderedPageBreak/>
        <w:t>Arrhythmias due to QT prolongation</w:t>
      </w:r>
      <w:r w:rsidR="00DA46A4">
        <w:t xml:space="preserve"> can occur</w:t>
      </w:r>
      <w:r>
        <w:t>. Case reports include fatal arrhythmias but mainly involve</w:t>
      </w:r>
      <w:r w:rsidR="00DA46A4">
        <w:t xml:space="preserve"> </w:t>
      </w:r>
      <w:r>
        <w:t>people treated for opioid addiction (dose regimens differ). The clinical significance in pain medicine is</w:t>
      </w:r>
      <w:r w:rsidR="00602D54">
        <w:t xml:space="preserve"> </w:t>
      </w:r>
      <w:r>
        <w:t>unclear but pre- and post-methadone initiation ECG monitoring can be used in patients at</w:t>
      </w:r>
      <w:r w:rsidR="00602D54">
        <w:t xml:space="preserve"> </w:t>
      </w:r>
      <w:proofErr w:type="gramStart"/>
      <w:r>
        <w:t>particular cardiovascular</w:t>
      </w:r>
      <w:proofErr w:type="gramEnd"/>
      <w:r>
        <w:t xml:space="preserve"> risk.</w:t>
      </w:r>
    </w:p>
    <w:p w14:paraId="14F04BA3" w14:textId="77777777" w:rsidR="00602D54" w:rsidRDefault="00602D54" w:rsidP="00C74DF7">
      <w:pPr>
        <w:pStyle w:val="ListBullet"/>
        <w:numPr>
          <w:ilvl w:val="0"/>
          <w:numId w:val="0"/>
        </w:numPr>
      </w:pPr>
    </w:p>
    <w:p w14:paraId="3AE348DA" w14:textId="7CA66D72" w:rsidR="00C74DF7" w:rsidRDefault="00C74DF7" w:rsidP="00C74DF7">
      <w:pPr>
        <w:pStyle w:val="ListBullet"/>
        <w:numPr>
          <w:ilvl w:val="0"/>
          <w:numId w:val="0"/>
        </w:numPr>
      </w:pPr>
      <w:r w:rsidRPr="00EA65F1">
        <w:t>GPs are asked to monitor the patient for potential adverse effects</w:t>
      </w:r>
      <w:r w:rsidR="0035002A" w:rsidRPr="00EA65F1">
        <w:t xml:space="preserve">. Table </w:t>
      </w:r>
      <w:r w:rsidR="00063372">
        <w:t>2</w:t>
      </w:r>
      <w:r w:rsidR="0035002A" w:rsidRPr="00EA65F1">
        <w:t xml:space="preserve"> (below) outlines the more common adverse effects and their appropriate management.</w:t>
      </w:r>
      <w:r w:rsidR="0044423A" w:rsidRPr="00EA65F1">
        <w:t xml:space="preserve"> A larger list of adverse effects can be seen below. Any adverse effects experienced </w:t>
      </w:r>
      <w:r w:rsidR="000034ED" w:rsidRPr="00EA65F1">
        <w:t xml:space="preserve">which is not transient </w:t>
      </w:r>
      <w:r w:rsidR="0044423A" w:rsidRPr="00EA65F1">
        <w:t>should be</w:t>
      </w:r>
      <w:r w:rsidR="00241A49" w:rsidRPr="00EA65F1">
        <w:t xml:space="preserve"> communicated to the initiating clinician.</w:t>
      </w:r>
    </w:p>
    <w:p w14:paraId="7C0F3490" w14:textId="1527E756" w:rsidR="0035002A" w:rsidRPr="000176C6" w:rsidRDefault="00063372" w:rsidP="00063372">
      <w:pPr>
        <w:pStyle w:val="Caption"/>
        <w:rPr>
          <w:b w:val="0"/>
        </w:rPr>
      </w:pPr>
      <w:r>
        <w:t xml:space="preserve">Table </w:t>
      </w:r>
      <w:r>
        <w:fldChar w:fldCharType="begin"/>
      </w:r>
      <w:r>
        <w:instrText>SEQ Table \* ARABIC</w:instrText>
      </w:r>
      <w:r>
        <w:fldChar w:fldCharType="separate"/>
      </w:r>
      <w:r w:rsidR="00707532">
        <w:rPr>
          <w:noProof/>
        </w:rPr>
        <w:t>2</w:t>
      </w:r>
      <w:r>
        <w:fldChar w:fldCharType="end"/>
      </w:r>
      <w:r>
        <w:t xml:space="preserve"> – </w:t>
      </w:r>
      <w:r w:rsidR="0035002A" w:rsidRPr="000176C6">
        <w:t>Monitoring</w:t>
      </w:r>
      <w:r>
        <w:t xml:space="preserve"> </w:t>
      </w:r>
      <w:r w:rsidR="0035002A" w:rsidRPr="000176C6">
        <w:t>issues with methadone and their management</w:t>
      </w:r>
    </w:p>
    <w:tbl>
      <w:tblPr>
        <w:tblStyle w:val="TableGrid"/>
        <w:tblW w:w="0" w:type="auto"/>
        <w:tblInd w:w="-5" w:type="dxa"/>
        <w:tblLook w:val="04A0" w:firstRow="1" w:lastRow="0" w:firstColumn="1" w:lastColumn="0" w:noHBand="0" w:noVBand="1"/>
      </w:tblPr>
      <w:tblGrid>
        <w:gridCol w:w="1560"/>
        <w:gridCol w:w="3543"/>
        <w:gridCol w:w="4224"/>
      </w:tblGrid>
      <w:tr w:rsidR="0035002A" w14:paraId="26482A4F" w14:textId="77777777" w:rsidTr="00063372">
        <w:trPr>
          <w:tblHeader/>
        </w:trPr>
        <w:tc>
          <w:tcPr>
            <w:tcW w:w="1560" w:type="dxa"/>
            <w:shd w:val="clear" w:color="auto" w:fill="D9D9D9" w:themeFill="background1" w:themeFillShade="D9"/>
          </w:tcPr>
          <w:p w14:paraId="6E607A16" w14:textId="77777777" w:rsidR="0035002A" w:rsidRPr="000536A7" w:rsidRDefault="0035002A" w:rsidP="00E25E58">
            <w:pPr>
              <w:pStyle w:val="ListNumber"/>
              <w:numPr>
                <w:ilvl w:val="0"/>
                <w:numId w:val="0"/>
              </w:numPr>
              <w:rPr>
                <w:b/>
                <w:sz w:val="20"/>
                <w:szCs w:val="20"/>
              </w:rPr>
            </w:pPr>
            <w:r w:rsidRPr="000536A7">
              <w:rPr>
                <w:b/>
                <w:sz w:val="20"/>
                <w:szCs w:val="20"/>
              </w:rPr>
              <w:t>Problem</w:t>
            </w:r>
          </w:p>
        </w:tc>
        <w:tc>
          <w:tcPr>
            <w:tcW w:w="3543" w:type="dxa"/>
            <w:shd w:val="clear" w:color="auto" w:fill="D9D9D9" w:themeFill="background1" w:themeFillShade="D9"/>
          </w:tcPr>
          <w:p w14:paraId="06388EEA" w14:textId="77777777" w:rsidR="0035002A" w:rsidRPr="000536A7" w:rsidRDefault="0035002A" w:rsidP="00E25E58">
            <w:pPr>
              <w:pStyle w:val="ListNumber"/>
              <w:numPr>
                <w:ilvl w:val="0"/>
                <w:numId w:val="0"/>
              </w:numPr>
              <w:rPr>
                <w:b/>
                <w:sz w:val="20"/>
                <w:szCs w:val="20"/>
              </w:rPr>
            </w:pPr>
            <w:r w:rsidRPr="000536A7">
              <w:rPr>
                <w:b/>
                <w:sz w:val="20"/>
                <w:szCs w:val="20"/>
              </w:rPr>
              <w:t>Explanation</w:t>
            </w:r>
          </w:p>
        </w:tc>
        <w:tc>
          <w:tcPr>
            <w:tcW w:w="4224" w:type="dxa"/>
            <w:shd w:val="clear" w:color="auto" w:fill="D9D9D9" w:themeFill="background1" w:themeFillShade="D9"/>
          </w:tcPr>
          <w:p w14:paraId="42CF504B" w14:textId="77777777" w:rsidR="0035002A" w:rsidRPr="000536A7" w:rsidRDefault="0035002A" w:rsidP="00E25E58">
            <w:pPr>
              <w:pStyle w:val="ListNumber"/>
              <w:numPr>
                <w:ilvl w:val="0"/>
                <w:numId w:val="0"/>
              </w:numPr>
              <w:rPr>
                <w:b/>
                <w:sz w:val="20"/>
                <w:szCs w:val="20"/>
              </w:rPr>
            </w:pPr>
            <w:r w:rsidRPr="000536A7">
              <w:rPr>
                <w:b/>
                <w:sz w:val="20"/>
                <w:szCs w:val="20"/>
              </w:rPr>
              <w:t>Management</w:t>
            </w:r>
          </w:p>
        </w:tc>
      </w:tr>
      <w:tr w:rsidR="0035002A" w14:paraId="6E8D37E7" w14:textId="77777777" w:rsidTr="00063372">
        <w:tc>
          <w:tcPr>
            <w:tcW w:w="1560" w:type="dxa"/>
          </w:tcPr>
          <w:p w14:paraId="398BE31B" w14:textId="77777777" w:rsidR="0035002A" w:rsidRPr="00F4158A" w:rsidRDefault="0035002A" w:rsidP="00E25E58">
            <w:pPr>
              <w:pStyle w:val="ListNumber"/>
              <w:numPr>
                <w:ilvl w:val="0"/>
                <w:numId w:val="0"/>
              </w:numPr>
              <w:rPr>
                <w:sz w:val="20"/>
                <w:szCs w:val="20"/>
              </w:rPr>
            </w:pPr>
            <w:r w:rsidRPr="00F4158A">
              <w:rPr>
                <w:sz w:val="20"/>
                <w:szCs w:val="20"/>
              </w:rPr>
              <w:t>Drowsiness</w:t>
            </w:r>
          </w:p>
          <w:p w14:paraId="46944472" w14:textId="77777777" w:rsidR="0035002A" w:rsidRPr="00F4158A" w:rsidRDefault="0035002A" w:rsidP="00E25E58">
            <w:pPr>
              <w:pStyle w:val="ListNumber"/>
              <w:numPr>
                <w:ilvl w:val="0"/>
                <w:numId w:val="0"/>
              </w:numPr>
              <w:rPr>
                <w:sz w:val="20"/>
                <w:szCs w:val="20"/>
              </w:rPr>
            </w:pPr>
          </w:p>
        </w:tc>
        <w:tc>
          <w:tcPr>
            <w:tcW w:w="3543" w:type="dxa"/>
          </w:tcPr>
          <w:p w14:paraId="4112A7C0" w14:textId="77777777" w:rsidR="0035002A" w:rsidRPr="00F4158A" w:rsidRDefault="0035002A" w:rsidP="00E25E58">
            <w:pPr>
              <w:pStyle w:val="ListNumber"/>
              <w:numPr>
                <w:ilvl w:val="0"/>
                <w:numId w:val="0"/>
              </w:numPr>
              <w:rPr>
                <w:sz w:val="20"/>
                <w:szCs w:val="20"/>
              </w:rPr>
            </w:pPr>
            <w:r>
              <w:rPr>
                <w:sz w:val="20"/>
                <w:szCs w:val="20"/>
              </w:rPr>
              <w:t>T</w:t>
            </w:r>
            <w:r w:rsidRPr="00F4158A">
              <w:rPr>
                <w:sz w:val="20"/>
                <w:szCs w:val="20"/>
              </w:rPr>
              <w:t xml:space="preserve">his may indicate accumulation; it can herald respiratory depression and should thus prompt </w:t>
            </w:r>
            <w:proofErr w:type="gramStart"/>
            <w:r w:rsidRPr="00F4158A">
              <w:rPr>
                <w:sz w:val="20"/>
                <w:szCs w:val="20"/>
              </w:rPr>
              <w:t>same-day</w:t>
            </w:r>
            <w:proofErr w:type="gramEnd"/>
            <w:r w:rsidRPr="00F4158A">
              <w:rPr>
                <w:sz w:val="20"/>
                <w:szCs w:val="20"/>
              </w:rPr>
              <w:t xml:space="preserve"> assessment</w:t>
            </w:r>
          </w:p>
          <w:p w14:paraId="03BA3E88" w14:textId="77777777" w:rsidR="0035002A" w:rsidRPr="00F4158A" w:rsidRDefault="0035002A" w:rsidP="00E25E58">
            <w:pPr>
              <w:pStyle w:val="ListNumber"/>
              <w:numPr>
                <w:ilvl w:val="0"/>
                <w:numId w:val="0"/>
              </w:numPr>
              <w:rPr>
                <w:sz w:val="20"/>
                <w:szCs w:val="20"/>
              </w:rPr>
            </w:pPr>
          </w:p>
        </w:tc>
        <w:tc>
          <w:tcPr>
            <w:tcW w:w="4224" w:type="dxa"/>
          </w:tcPr>
          <w:p w14:paraId="1AFD895A" w14:textId="77777777" w:rsidR="0035002A" w:rsidRPr="00F4158A" w:rsidRDefault="0035002A" w:rsidP="00E25E58">
            <w:pPr>
              <w:pStyle w:val="ListNumber"/>
              <w:numPr>
                <w:ilvl w:val="0"/>
                <w:numId w:val="0"/>
              </w:numPr>
              <w:rPr>
                <w:sz w:val="20"/>
                <w:szCs w:val="20"/>
              </w:rPr>
            </w:pPr>
            <w:r>
              <w:rPr>
                <w:sz w:val="20"/>
                <w:szCs w:val="20"/>
              </w:rPr>
              <w:t>If</w:t>
            </w:r>
            <w:r w:rsidRPr="00F4158A">
              <w:rPr>
                <w:sz w:val="20"/>
                <w:szCs w:val="20"/>
              </w:rPr>
              <w:t xml:space="preserve"> a delay in assessment cannot be avoided, consider asking the patient to omit or reduce their methadone and use top-up doses of shorter-action opioids, </w:t>
            </w:r>
            <w:proofErr w:type="gramStart"/>
            <w:r w:rsidRPr="00F4158A">
              <w:rPr>
                <w:sz w:val="20"/>
                <w:szCs w:val="20"/>
              </w:rPr>
              <w:t>e</w:t>
            </w:r>
            <w:r>
              <w:rPr>
                <w:sz w:val="20"/>
                <w:szCs w:val="20"/>
              </w:rPr>
              <w:t>.</w:t>
            </w:r>
            <w:r w:rsidRPr="00F4158A">
              <w:rPr>
                <w:sz w:val="20"/>
                <w:szCs w:val="20"/>
              </w:rPr>
              <w:t>g</w:t>
            </w:r>
            <w:r>
              <w:rPr>
                <w:sz w:val="20"/>
                <w:szCs w:val="20"/>
              </w:rPr>
              <w:t>.</w:t>
            </w:r>
            <w:proofErr w:type="gramEnd"/>
            <w:r w:rsidRPr="00F4158A">
              <w:rPr>
                <w:sz w:val="20"/>
                <w:szCs w:val="20"/>
              </w:rPr>
              <w:t xml:space="preserve"> Oramorph, if needed</w:t>
            </w:r>
          </w:p>
          <w:p w14:paraId="0B8B000A" w14:textId="77777777" w:rsidR="0035002A" w:rsidRPr="00F4158A" w:rsidRDefault="0035002A" w:rsidP="00E25E58">
            <w:pPr>
              <w:pStyle w:val="ListNumber"/>
              <w:numPr>
                <w:ilvl w:val="0"/>
                <w:numId w:val="0"/>
              </w:numPr>
              <w:rPr>
                <w:sz w:val="20"/>
                <w:szCs w:val="20"/>
              </w:rPr>
            </w:pPr>
          </w:p>
        </w:tc>
      </w:tr>
      <w:tr w:rsidR="0035002A" w14:paraId="476DF7F4" w14:textId="77777777" w:rsidTr="00063372">
        <w:tc>
          <w:tcPr>
            <w:tcW w:w="1560" w:type="dxa"/>
          </w:tcPr>
          <w:p w14:paraId="3AA68291" w14:textId="77777777" w:rsidR="0035002A" w:rsidRPr="00F4158A" w:rsidRDefault="0035002A" w:rsidP="00E25E58">
            <w:pPr>
              <w:pStyle w:val="ListNumber"/>
              <w:numPr>
                <w:ilvl w:val="0"/>
                <w:numId w:val="0"/>
              </w:numPr>
              <w:rPr>
                <w:sz w:val="20"/>
                <w:szCs w:val="20"/>
              </w:rPr>
            </w:pPr>
            <w:r w:rsidRPr="00F4158A">
              <w:rPr>
                <w:sz w:val="20"/>
                <w:szCs w:val="20"/>
              </w:rPr>
              <w:t>Electrolyte disturbance</w:t>
            </w:r>
          </w:p>
        </w:tc>
        <w:tc>
          <w:tcPr>
            <w:tcW w:w="3543" w:type="dxa"/>
          </w:tcPr>
          <w:p w14:paraId="20EBD303" w14:textId="77777777" w:rsidR="0035002A" w:rsidRPr="00F4158A" w:rsidRDefault="0035002A" w:rsidP="00E25E58">
            <w:pPr>
              <w:pStyle w:val="ListNumber"/>
              <w:numPr>
                <w:ilvl w:val="0"/>
                <w:numId w:val="0"/>
              </w:numPr>
              <w:rPr>
                <w:sz w:val="20"/>
                <w:szCs w:val="20"/>
              </w:rPr>
            </w:pPr>
            <w:r>
              <w:rPr>
                <w:sz w:val="20"/>
                <w:szCs w:val="20"/>
              </w:rPr>
              <w:t>T</w:t>
            </w:r>
            <w:r w:rsidRPr="00F4158A">
              <w:rPr>
                <w:sz w:val="20"/>
                <w:szCs w:val="20"/>
              </w:rPr>
              <w:t>h</w:t>
            </w:r>
            <w:r>
              <w:rPr>
                <w:sz w:val="20"/>
                <w:szCs w:val="20"/>
              </w:rPr>
              <w:t>is</w:t>
            </w:r>
            <w:r w:rsidRPr="00F4158A">
              <w:rPr>
                <w:sz w:val="20"/>
                <w:szCs w:val="20"/>
              </w:rPr>
              <w:t xml:space="preserve"> increase</w:t>
            </w:r>
            <w:r>
              <w:rPr>
                <w:sz w:val="20"/>
                <w:szCs w:val="20"/>
              </w:rPr>
              <w:t>s</w:t>
            </w:r>
            <w:r w:rsidRPr="00F4158A">
              <w:rPr>
                <w:sz w:val="20"/>
                <w:szCs w:val="20"/>
              </w:rPr>
              <w:t xml:space="preserve"> the risk of QT prolongation and arrhythmia</w:t>
            </w:r>
          </w:p>
        </w:tc>
        <w:tc>
          <w:tcPr>
            <w:tcW w:w="4224" w:type="dxa"/>
          </w:tcPr>
          <w:p w14:paraId="120AE7DE" w14:textId="77777777" w:rsidR="0035002A" w:rsidRPr="00F4158A" w:rsidRDefault="0035002A" w:rsidP="00E25E58">
            <w:pPr>
              <w:pStyle w:val="ListNumber"/>
              <w:numPr>
                <w:ilvl w:val="0"/>
                <w:numId w:val="0"/>
              </w:numPr>
              <w:rPr>
                <w:sz w:val="20"/>
                <w:szCs w:val="20"/>
              </w:rPr>
            </w:pPr>
            <w:r>
              <w:rPr>
                <w:sz w:val="20"/>
                <w:szCs w:val="20"/>
              </w:rPr>
              <w:t>C</w:t>
            </w:r>
            <w:r w:rsidRPr="00F4158A">
              <w:rPr>
                <w:sz w:val="20"/>
                <w:szCs w:val="20"/>
              </w:rPr>
              <w:t>orrect the electrolyte imbalance</w:t>
            </w:r>
          </w:p>
        </w:tc>
      </w:tr>
      <w:tr w:rsidR="0035002A" w14:paraId="4E167C67" w14:textId="77777777" w:rsidTr="00063372">
        <w:tc>
          <w:tcPr>
            <w:tcW w:w="1560" w:type="dxa"/>
          </w:tcPr>
          <w:p w14:paraId="60CE3058" w14:textId="672D06A5" w:rsidR="0035002A" w:rsidRPr="00F4158A" w:rsidRDefault="00063372" w:rsidP="00E25E58">
            <w:pPr>
              <w:pStyle w:val="ListNumber"/>
              <w:numPr>
                <w:ilvl w:val="0"/>
                <w:numId w:val="0"/>
              </w:numPr>
              <w:rPr>
                <w:sz w:val="20"/>
                <w:szCs w:val="20"/>
              </w:rPr>
            </w:pPr>
            <w:r>
              <w:rPr>
                <w:sz w:val="20"/>
                <w:szCs w:val="20"/>
              </w:rPr>
              <w:t>Use of d</w:t>
            </w:r>
            <w:r w:rsidR="0035002A" w:rsidRPr="00F4158A">
              <w:rPr>
                <w:sz w:val="20"/>
                <w:szCs w:val="20"/>
              </w:rPr>
              <w:t>iffe</w:t>
            </w:r>
            <w:r>
              <w:rPr>
                <w:sz w:val="20"/>
                <w:szCs w:val="20"/>
              </w:rPr>
              <w:t>rent</w:t>
            </w:r>
            <w:r w:rsidR="0035002A" w:rsidRPr="00F4158A">
              <w:rPr>
                <w:sz w:val="20"/>
                <w:szCs w:val="20"/>
              </w:rPr>
              <w:t xml:space="preserve"> preparations</w:t>
            </w:r>
          </w:p>
        </w:tc>
        <w:tc>
          <w:tcPr>
            <w:tcW w:w="3543" w:type="dxa"/>
          </w:tcPr>
          <w:p w14:paraId="61217E9A" w14:textId="77777777" w:rsidR="0035002A" w:rsidRPr="00F4158A" w:rsidRDefault="0035002A" w:rsidP="00E25E58">
            <w:pPr>
              <w:pStyle w:val="ListNumber"/>
              <w:numPr>
                <w:ilvl w:val="0"/>
                <w:numId w:val="0"/>
              </w:numPr>
              <w:rPr>
                <w:sz w:val="20"/>
                <w:szCs w:val="20"/>
              </w:rPr>
            </w:pPr>
            <w:r>
              <w:rPr>
                <w:sz w:val="20"/>
                <w:szCs w:val="20"/>
              </w:rPr>
              <w:t>C</w:t>
            </w:r>
            <w:r w:rsidRPr="00F4158A">
              <w:rPr>
                <w:sz w:val="20"/>
                <w:szCs w:val="20"/>
              </w:rPr>
              <w:t>oncentrations of liquid preparations vary; significant dose changes can result from changes in concentration</w:t>
            </w:r>
          </w:p>
        </w:tc>
        <w:tc>
          <w:tcPr>
            <w:tcW w:w="4224" w:type="dxa"/>
          </w:tcPr>
          <w:p w14:paraId="5D02C398" w14:textId="77777777" w:rsidR="0035002A" w:rsidRPr="00F4158A" w:rsidRDefault="0035002A" w:rsidP="00E25E58">
            <w:pPr>
              <w:pStyle w:val="ListNumber"/>
              <w:numPr>
                <w:ilvl w:val="0"/>
                <w:numId w:val="0"/>
              </w:numPr>
              <w:rPr>
                <w:sz w:val="20"/>
                <w:szCs w:val="20"/>
              </w:rPr>
            </w:pPr>
            <w:r>
              <w:rPr>
                <w:sz w:val="20"/>
                <w:szCs w:val="20"/>
              </w:rPr>
              <w:t>A</w:t>
            </w:r>
            <w:r w:rsidRPr="00F4158A">
              <w:rPr>
                <w:sz w:val="20"/>
                <w:szCs w:val="20"/>
              </w:rPr>
              <w:t>void unnecessary changes in the concentration of methadone liquid; ensure any change is effectively communicated to the patient and other team members</w:t>
            </w:r>
          </w:p>
        </w:tc>
      </w:tr>
      <w:tr w:rsidR="0035002A" w14:paraId="78B14776" w14:textId="77777777" w:rsidTr="00063372">
        <w:tc>
          <w:tcPr>
            <w:tcW w:w="1560" w:type="dxa"/>
          </w:tcPr>
          <w:p w14:paraId="4FAF619F" w14:textId="77777777" w:rsidR="0035002A" w:rsidRPr="00F4158A" w:rsidRDefault="0035002A" w:rsidP="00E25E58">
            <w:pPr>
              <w:pStyle w:val="ListNumber"/>
              <w:numPr>
                <w:ilvl w:val="0"/>
                <w:numId w:val="0"/>
              </w:numPr>
              <w:rPr>
                <w:sz w:val="20"/>
                <w:szCs w:val="20"/>
              </w:rPr>
            </w:pPr>
            <w:r w:rsidRPr="00F4158A">
              <w:rPr>
                <w:sz w:val="20"/>
                <w:szCs w:val="20"/>
              </w:rPr>
              <w:t>Respiratory depression</w:t>
            </w:r>
          </w:p>
        </w:tc>
        <w:tc>
          <w:tcPr>
            <w:tcW w:w="3543" w:type="dxa"/>
          </w:tcPr>
          <w:p w14:paraId="1640E150" w14:textId="77777777" w:rsidR="0035002A" w:rsidRPr="00F4158A" w:rsidRDefault="0035002A" w:rsidP="00E25E58">
            <w:pPr>
              <w:pStyle w:val="ListNumber"/>
              <w:numPr>
                <w:ilvl w:val="0"/>
                <w:numId w:val="0"/>
              </w:numPr>
              <w:rPr>
                <w:sz w:val="20"/>
                <w:szCs w:val="20"/>
              </w:rPr>
            </w:pPr>
            <w:r>
              <w:rPr>
                <w:sz w:val="20"/>
                <w:szCs w:val="20"/>
              </w:rPr>
              <w:t>T</w:t>
            </w:r>
            <w:r w:rsidRPr="00F4158A">
              <w:rPr>
                <w:sz w:val="20"/>
                <w:szCs w:val="20"/>
              </w:rPr>
              <w:t xml:space="preserve">his can result from unrecognised </w:t>
            </w:r>
            <w:proofErr w:type="gramStart"/>
            <w:r w:rsidRPr="00F4158A">
              <w:rPr>
                <w:sz w:val="20"/>
                <w:szCs w:val="20"/>
              </w:rPr>
              <w:t>accumulation</w:t>
            </w:r>
            <w:proofErr w:type="gramEnd"/>
          </w:p>
          <w:p w14:paraId="521077A7" w14:textId="77777777" w:rsidR="0035002A" w:rsidRPr="00F4158A" w:rsidRDefault="0035002A" w:rsidP="00E25E58">
            <w:pPr>
              <w:pStyle w:val="ListNumber"/>
              <w:numPr>
                <w:ilvl w:val="0"/>
                <w:numId w:val="0"/>
              </w:numPr>
              <w:rPr>
                <w:sz w:val="20"/>
                <w:szCs w:val="20"/>
              </w:rPr>
            </w:pPr>
          </w:p>
        </w:tc>
        <w:tc>
          <w:tcPr>
            <w:tcW w:w="4224" w:type="dxa"/>
          </w:tcPr>
          <w:p w14:paraId="5CCB2758" w14:textId="5C4B2CC4" w:rsidR="0035002A" w:rsidRPr="00F4158A" w:rsidRDefault="0035002A" w:rsidP="00E25E58">
            <w:pPr>
              <w:pStyle w:val="ListNumber"/>
              <w:numPr>
                <w:ilvl w:val="0"/>
                <w:numId w:val="0"/>
              </w:numPr>
              <w:rPr>
                <w:sz w:val="20"/>
                <w:szCs w:val="20"/>
              </w:rPr>
            </w:pPr>
            <w:r>
              <w:rPr>
                <w:sz w:val="20"/>
                <w:szCs w:val="20"/>
              </w:rPr>
              <w:t>P</w:t>
            </w:r>
            <w:r w:rsidRPr="00F4158A">
              <w:rPr>
                <w:sz w:val="20"/>
                <w:szCs w:val="20"/>
              </w:rPr>
              <w:t xml:space="preserve">rovide basic life support while awaiting paramedic assistance; administer naloxone </w:t>
            </w:r>
            <w:r w:rsidR="00441E7C">
              <w:rPr>
                <w:sz w:val="20"/>
                <w:szCs w:val="20"/>
              </w:rPr>
              <w:t xml:space="preserve">(small boluses of 100micrograms every 5 to 10 minutes) </w:t>
            </w:r>
            <w:r w:rsidRPr="00F4158A">
              <w:rPr>
                <w:sz w:val="20"/>
                <w:szCs w:val="20"/>
              </w:rPr>
              <w:t>if available; naloxone is cleared more rapidly than methadone and so patients will require prolonged careful monitoring despite initially improving</w:t>
            </w:r>
          </w:p>
        </w:tc>
      </w:tr>
    </w:tbl>
    <w:p w14:paraId="4659BF5D" w14:textId="77777777" w:rsidR="0035002A" w:rsidRDefault="0035002A" w:rsidP="00C74DF7">
      <w:pPr>
        <w:pStyle w:val="ListBullet"/>
        <w:numPr>
          <w:ilvl w:val="0"/>
          <w:numId w:val="0"/>
        </w:numPr>
      </w:pPr>
    </w:p>
    <w:p w14:paraId="20E1D541" w14:textId="11CE5981" w:rsidR="0035002A" w:rsidRDefault="0035002A" w:rsidP="00C74DF7">
      <w:pPr>
        <w:pStyle w:val="ListBullet"/>
        <w:numPr>
          <w:ilvl w:val="0"/>
          <w:numId w:val="0"/>
        </w:numPr>
      </w:pPr>
    </w:p>
    <w:p w14:paraId="61926A41" w14:textId="77777777" w:rsidR="00745429" w:rsidRPr="00745429" w:rsidRDefault="00745429" w:rsidP="00BF3655">
      <w:pPr>
        <w:pStyle w:val="ListBullet"/>
        <w:numPr>
          <w:ilvl w:val="0"/>
          <w:numId w:val="0"/>
        </w:numPr>
        <w:rPr>
          <w:bCs/>
        </w:rPr>
      </w:pPr>
      <w:r w:rsidRPr="00745429">
        <w:rPr>
          <w:b/>
          <w:bCs/>
        </w:rPr>
        <w:t xml:space="preserve">Common </w:t>
      </w:r>
      <w:r w:rsidRPr="00745429">
        <w:rPr>
          <w:bCs/>
        </w:rPr>
        <w:t xml:space="preserve">– nausea, vomiting, constipation, dry mouth, biliary spasm, respiratory depression, drowsiness, muscle rigidity, hypotension, bradycardia, tachycardia, palpitation, oedema, postural hypotension, hallucinations, vertigo, euphoria, dysphoria, dependence, confusion, urinary retention, ureteric </w:t>
      </w:r>
      <w:proofErr w:type="gramStart"/>
      <w:r w:rsidRPr="00745429">
        <w:rPr>
          <w:bCs/>
        </w:rPr>
        <w:t>spasm;</w:t>
      </w:r>
      <w:proofErr w:type="gramEnd"/>
    </w:p>
    <w:p w14:paraId="490328BD" w14:textId="77777777" w:rsidR="00745429" w:rsidRPr="00745429" w:rsidRDefault="00745429" w:rsidP="00BF3655">
      <w:pPr>
        <w:pStyle w:val="ListBullet"/>
        <w:numPr>
          <w:ilvl w:val="0"/>
          <w:numId w:val="0"/>
        </w:numPr>
        <w:ind w:left="283" w:hanging="283"/>
        <w:rPr>
          <w:bCs/>
        </w:rPr>
      </w:pPr>
    </w:p>
    <w:p w14:paraId="193EAE6F" w14:textId="77777777" w:rsidR="00745429" w:rsidRPr="00745429" w:rsidRDefault="00745429" w:rsidP="00BF3655">
      <w:pPr>
        <w:pStyle w:val="ListBullet"/>
        <w:numPr>
          <w:ilvl w:val="0"/>
          <w:numId w:val="0"/>
        </w:numPr>
        <w:rPr>
          <w:bCs/>
        </w:rPr>
      </w:pPr>
      <w:r w:rsidRPr="00745429">
        <w:rPr>
          <w:b/>
          <w:bCs/>
        </w:rPr>
        <w:t>Uncommon</w:t>
      </w:r>
      <w:r w:rsidRPr="00745429">
        <w:rPr>
          <w:bCs/>
        </w:rPr>
        <w:t xml:space="preserve"> – restlessness, dyspnoea, hypoventilation, depersonalization, dysarthria, amnesia, incoordination, paraesthesia, malaise, agitation, tremor, muscle weakness, hypertension, dizziness, itching, bronchospasm, dysmenorrhoea, dry eyes, hyperprolactinaemia; and</w:t>
      </w:r>
    </w:p>
    <w:p w14:paraId="14B68EA6" w14:textId="77777777" w:rsidR="00745429" w:rsidRPr="00745429" w:rsidRDefault="00745429" w:rsidP="00BF3655">
      <w:pPr>
        <w:pStyle w:val="ListBullet"/>
        <w:numPr>
          <w:ilvl w:val="0"/>
          <w:numId w:val="0"/>
        </w:numPr>
        <w:ind w:left="283" w:hanging="283"/>
        <w:rPr>
          <w:bCs/>
        </w:rPr>
      </w:pPr>
    </w:p>
    <w:p w14:paraId="3A8B443B" w14:textId="77777777" w:rsidR="00745429" w:rsidRPr="00745429" w:rsidRDefault="00745429" w:rsidP="00BF3655">
      <w:pPr>
        <w:pStyle w:val="ListBullet"/>
        <w:numPr>
          <w:ilvl w:val="0"/>
          <w:numId w:val="0"/>
        </w:numPr>
        <w:rPr>
          <w:bCs/>
        </w:rPr>
      </w:pPr>
      <w:r w:rsidRPr="00745429">
        <w:rPr>
          <w:b/>
          <w:bCs/>
        </w:rPr>
        <w:t xml:space="preserve">Rare </w:t>
      </w:r>
      <w:r w:rsidRPr="00745429">
        <w:rPr>
          <w:bCs/>
        </w:rPr>
        <w:t xml:space="preserve">– QT interval prolongation, </w:t>
      </w:r>
      <w:proofErr w:type="spellStart"/>
      <w:r w:rsidRPr="00745429">
        <w:rPr>
          <w:bCs/>
        </w:rPr>
        <w:t>torsades</w:t>
      </w:r>
      <w:proofErr w:type="spellEnd"/>
      <w:r w:rsidRPr="00745429">
        <w:rPr>
          <w:bCs/>
        </w:rPr>
        <w:t xml:space="preserve"> de pointes, hypothermia, circulatory depression, cardiac arrest, hiccups, arrhythmia, paralytic ileus, haemoptysis, psychosis, seizures, shock, asystole, pyrexia, ataxia, muscle fasciculation, raised intracranial </w:t>
      </w:r>
      <w:proofErr w:type="gramStart"/>
      <w:r w:rsidRPr="00745429">
        <w:rPr>
          <w:bCs/>
        </w:rPr>
        <w:t>pressure</w:t>
      </w:r>
      <w:proofErr w:type="gramEnd"/>
    </w:p>
    <w:p w14:paraId="0BC561AE" w14:textId="77777777" w:rsidR="00745429" w:rsidRPr="00745429" w:rsidRDefault="00745429" w:rsidP="00BF3655">
      <w:pPr>
        <w:pStyle w:val="ListBullet"/>
        <w:numPr>
          <w:ilvl w:val="0"/>
          <w:numId w:val="0"/>
        </w:numPr>
        <w:ind w:left="283" w:hanging="283"/>
        <w:rPr>
          <w:i/>
          <w:iCs/>
        </w:rPr>
      </w:pPr>
    </w:p>
    <w:p w14:paraId="2E410650" w14:textId="77777777" w:rsidR="00745429" w:rsidRPr="00745429" w:rsidRDefault="00745429" w:rsidP="00BF3655">
      <w:pPr>
        <w:pStyle w:val="ListBullet"/>
        <w:numPr>
          <w:ilvl w:val="0"/>
          <w:numId w:val="0"/>
        </w:numPr>
      </w:pPr>
      <w:r w:rsidRPr="00745429">
        <w:rPr>
          <w:i/>
          <w:iCs/>
        </w:rPr>
        <w:t xml:space="preserve">Effects on ability to drive and operate machinery: </w:t>
      </w:r>
      <w:r w:rsidRPr="00745429">
        <w:t xml:space="preserve">Methadone can affect the ability to drive or operate machinery. The time after which such activities can be safely resumed is </w:t>
      </w:r>
      <w:proofErr w:type="gramStart"/>
      <w:r w:rsidR="009D6AF9">
        <w:t>patient-dependent</w:t>
      </w:r>
      <w:proofErr w:type="gramEnd"/>
      <w:r w:rsidRPr="00745429">
        <w:t xml:space="preserve">. Patients should be informed of the impact on the ability to drive, and not to drive until it is known how methadone affects the individual. It is an offence to drive while under the influence of medicine. </w:t>
      </w:r>
    </w:p>
    <w:p w14:paraId="0F9BE416" w14:textId="77777777" w:rsidR="00745429" w:rsidRPr="00745429" w:rsidRDefault="00745429" w:rsidP="00745429">
      <w:pPr>
        <w:pStyle w:val="ListBullet"/>
        <w:numPr>
          <w:ilvl w:val="0"/>
          <w:numId w:val="0"/>
        </w:numPr>
        <w:ind w:left="567"/>
        <w:rPr>
          <w:i/>
          <w:iCs/>
        </w:rPr>
      </w:pPr>
    </w:p>
    <w:p w14:paraId="6A89DC3B" w14:textId="77777777" w:rsidR="00745429" w:rsidRDefault="00745429" w:rsidP="00BF3655">
      <w:pPr>
        <w:pStyle w:val="ListBullet"/>
        <w:numPr>
          <w:ilvl w:val="0"/>
          <w:numId w:val="0"/>
        </w:numPr>
      </w:pPr>
      <w:r w:rsidRPr="00745429">
        <w:rPr>
          <w:i/>
          <w:iCs/>
        </w:rPr>
        <w:t xml:space="preserve">Pregnancy and Breastfeeding: </w:t>
      </w:r>
      <w:r w:rsidRPr="00745429">
        <w:t xml:space="preserve">There is potential for adverse effects harming a foetus and neonate, including respiratory depression. A careful benefit/risk assessment must be made. It should not be used during labour. Specialist advice should be taken under these circumstances. </w:t>
      </w:r>
    </w:p>
    <w:p w14:paraId="45D2C522" w14:textId="77777777" w:rsidR="00602D54" w:rsidRDefault="00602D54" w:rsidP="00745429">
      <w:pPr>
        <w:pStyle w:val="ListBullet"/>
        <w:numPr>
          <w:ilvl w:val="0"/>
          <w:numId w:val="0"/>
        </w:numPr>
        <w:ind w:left="284"/>
      </w:pPr>
    </w:p>
    <w:p w14:paraId="41E1934D" w14:textId="4564D377" w:rsidR="002C2CFB" w:rsidRDefault="00602D54" w:rsidP="00602D54">
      <w:pPr>
        <w:rPr>
          <w:rFonts w:eastAsiaTheme="minorHAnsi" w:cs="Calibri"/>
          <w:sz w:val="22"/>
          <w:szCs w:val="22"/>
        </w:rPr>
      </w:pPr>
      <w:r w:rsidRPr="00602D54">
        <w:rPr>
          <w:rFonts w:eastAsiaTheme="minorHAnsi" w:cs="Calibri"/>
          <w:sz w:val="22"/>
          <w:szCs w:val="22"/>
        </w:rPr>
        <w:t xml:space="preserve">Methadone does not have black triangle </w:t>
      </w:r>
      <w:r w:rsidRPr="00602D54">
        <w:rPr>
          <w:rFonts w:ascii="Arial" w:eastAsiaTheme="minorHAnsi" w:hAnsi="Arial" w:cs="Arial"/>
          <w:sz w:val="22"/>
          <w:szCs w:val="22"/>
        </w:rPr>
        <w:t>▲</w:t>
      </w:r>
      <w:r w:rsidRPr="00602D54">
        <w:rPr>
          <w:rFonts w:eastAsiaTheme="minorHAnsi" w:cs="Calibri"/>
          <w:sz w:val="22"/>
          <w:szCs w:val="22"/>
        </w:rPr>
        <w:t>status. Serious suspected reactions (even if well recognised or causal link uncertain) should be reported to the CHM. Refer to summary of product characteristics (SPC)</w:t>
      </w:r>
      <w:r w:rsidR="009D6AF9" w:rsidRPr="009D6AF9">
        <w:rPr>
          <w:rFonts w:eastAsiaTheme="minorHAnsi" w:cs="Calibri"/>
          <w:sz w:val="22"/>
          <w:szCs w:val="22"/>
          <w:vertAlign w:val="superscript"/>
        </w:rPr>
        <w:t>2</w:t>
      </w:r>
      <w:r w:rsidRPr="00602D54">
        <w:rPr>
          <w:rFonts w:eastAsiaTheme="minorHAnsi" w:cs="Calibri"/>
          <w:sz w:val="22"/>
          <w:szCs w:val="22"/>
        </w:rPr>
        <w:t xml:space="preserve"> for </w:t>
      </w:r>
      <w:r w:rsidR="009D6AF9">
        <w:rPr>
          <w:rFonts w:eastAsiaTheme="minorHAnsi" w:cs="Calibri"/>
          <w:sz w:val="22"/>
          <w:szCs w:val="22"/>
        </w:rPr>
        <w:t xml:space="preserve">a </w:t>
      </w:r>
      <w:r w:rsidRPr="00602D54">
        <w:rPr>
          <w:rFonts w:eastAsiaTheme="minorHAnsi" w:cs="Calibri"/>
          <w:sz w:val="22"/>
          <w:szCs w:val="22"/>
        </w:rPr>
        <w:t>full list of side effects – see references.</w:t>
      </w:r>
    </w:p>
    <w:p w14:paraId="481148CF" w14:textId="77777777" w:rsidR="00063372" w:rsidRPr="00602D54" w:rsidRDefault="00063372" w:rsidP="00602D54">
      <w:pPr>
        <w:rPr>
          <w:rFonts w:eastAsiaTheme="minorHAnsi" w:cs="Calibri"/>
          <w:sz w:val="22"/>
          <w:szCs w:val="22"/>
        </w:rPr>
      </w:pPr>
    </w:p>
    <w:p w14:paraId="05DCC4AC" w14:textId="77777777" w:rsidR="00745429" w:rsidRDefault="00F11531" w:rsidP="00F11531">
      <w:pPr>
        <w:pStyle w:val="NCLHeading1"/>
        <w:numPr>
          <w:ilvl w:val="0"/>
          <w:numId w:val="32"/>
        </w:numPr>
      </w:pPr>
      <w:bookmarkStart w:id="30" w:name="_Toc535932384"/>
      <w:r>
        <w:t xml:space="preserve"> </w:t>
      </w:r>
      <w:bookmarkStart w:id="31" w:name="_Toc121760576"/>
      <w:bookmarkStart w:id="32" w:name="_Toc128414127"/>
      <w:r w:rsidR="00CC34C1" w:rsidRPr="00CC34C1">
        <w:t>Cautions</w:t>
      </w:r>
      <w:bookmarkEnd w:id="30"/>
      <w:bookmarkEnd w:id="31"/>
      <w:bookmarkEnd w:id="32"/>
    </w:p>
    <w:p w14:paraId="0171A9D8" w14:textId="77777777" w:rsidR="004B1265" w:rsidRDefault="00745429" w:rsidP="004B1265">
      <w:pPr>
        <w:pStyle w:val="ListBullet"/>
        <w:numPr>
          <w:ilvl w:val="0"/>
          <w:numId w:val="0"/>
        </w:numPr>
      </w:pPr>
      <w:r>
        <w:t>Cautions in the prescribing of methadone include the following: -</w:t>
      </w:r>
    </w:p>
    <w:p w14:paraId="008D6F28" w14:textId="77777777" w:rsidR="00745429" w:rsidRDefault="00745429" w:rsidP="00745429">
      <w:pPr>
        <w:pStyle w:val="ListBullet"/>
      </w:pPr>
      <w:r>
        <w:t>Significant sleep apnoea</w:t>
      </w:r>
    </w:p>
    <w:p w14:paraId="4CEE0109" w14:textId="77777777" w:rsidR="004B1265" w:rsidRDefault="004B1265" w:rsidP="004B1265">
      <w:pPr>
        <w:pStyle w:val="ListBullet"/>
      </w:pPr>
      <w:r w:rsidRPr="004B1265">
        <w:t xml:space="preserve">Raised intracranial </w:t>
      </w:r>
      <w:proofErr w:type="gramStart"/>
      <w:r w:rsidRPr="004B1265">
        <w:t>pressure</w:t>
      </w:r>
      <w:proofErr w:type="gramEnd"/>
      <w:r w:rsidRPr="004B1265">
        <w:t xml:space="preserve"> </w:t>
      </w:r>
    </w:p>
    <w:p w14:paraId="61AAA1C0" w14:textId="77777777" w:rsidR="00745429" w:rsidRDefault="00745429" w:rsidP="00745429">
      <w:pPr>
        <w:pStyle w:val="ListBullet"/>
      </w:pPr>
      <w:r>
        <w:t xml:space="preserve">Prolonged QTc interval: &gt;450 </w:t>
      </w:r>
      <w:proofErr w:type="spellStart"/>
      <w:r>
        <w:t>ms</w:t>
      </w:r>
      <w:proofErr w:type="spellEnd"/>
    </w:p>
    <w:p w14:paraId="6A0C2E6B" w14:textId="77777777" w:rsidR="00745429" w:rsidRDefault="00745429" w:rsidP="00745429">
      <w:pPr>
        <w:pStyle w:val="ListBullet"/>
      </w:pPr>
      <w:r>
        <w:t xml:space="preserve">Concurrent administration of some drugs that might result in significant drug interactions or known to impact the clearance and/or protein </w:t>
      </w:r>
      <w:proofErr w:type="gramStart"/>
      <w:r>
        <w:t>binding</w:t>
      </w:r>
      <w:proofErr w:type="gramEnd"/>
    </w:p>
    <w:p w14:paraId="705DBFBF" w14:textId="77777777" w:rsidR="00745429" w:rsidRDefault="00745429" w:rsidP="00745429">
      <w:pPr>
        <w:pStyle w:val="ListBullet"/>
      </w:pPr>
      <w:r>
        <w:t>Drinking alcohol (may result in increased plasma levels and fatal overdose) and benzodiazepines.</w:t>
      </w:r>
    </w:p>
    <w:p w14:paraId="5791EC69" w14:textId="77777777" w:rsidR="004B1265" w:rsidRDefault="00745429" w:rsidP="004B1265">
      <w:pPr>
        <w:pStyle w:val="ListBullet"/>
      </w:pPr>
      <w:r>
        <w:t xml:space="preserve">Pain </w:t>
      </w:r>
      <w:r w:rsidR="009D6AF9">
        <w:t xml:space="preserve">is </w:t>
      </w:r>
      <w:r>
        <w:t xml:space="preserve">suspected to have a strong psychological component as repeated demands for </w:t>
      </w:r>
      <w:r w:rsidR="009D6AF9">
        <w:t>as-needed</w:t>
      </w:r>
      <w:r>
        <w:t xml:space="preserve"> doses of methadone may lead to opioid toxicity. </w:t>
      </w:r>
    </w:p>
    <w:p w14:paraId="142752E3" w14:textId="77777777" w:rsidR="00745429" w:rsidRDefault="00745429" w:rsidP="004B1265">
      <w:pPr>
        <w:pStyle w:val="ListBullet"/>
      </w:pPr>
      <w:r>
        <w:t xml:space="preserve">Methadone should also be used </w:t>
      </w:r>
      <w:r w:rsidR="009D6AF9">
        <w:t>with</w:t>
      </w:r>
      <w:r>
        <w:t xml:space="preserve"> caution in patients with a history of asthma, convulsive disorders, depressed respiratory reserve, hypotension, shock, prostatic hyperplasia, adrenocortical insufficiency, inflammatory or obstructive bowel disorders, myasthenia gravis or hypothyroidism.</w:t>
      </w:r>
    </w:p>
    <w:p w14:paraId="43A380AB" w14:textId="77777777" w:rsidR="0063168A" w:rsidRDefault="0063168A" w:rsidP="002C2CFB">
      <w:pPr>
        <w:pStyle w:val="ListBullet"/>
        <w:numPr>
          <w:ilvl w:val="0"/>
          <w:numId w:val="0"/>
        </w:numPr>
      </w:pPr>
    </w:p>
    <w:p w14:paraId="728BEE6B" w14:textId="77777777" w:rsidR="00CC34C1" w:rsidRDefault="00CC34C1" w:rsidP="00CC34C1">
      <w:pPr>
        <w:pStyle w:val="NCLBodyText"/>
      </w:pPr>
      <w:r w:rsidRPr="00CC34C1">
        <w:t xml:space="preserve">For a full list of cautions, refer to the </w:t>
      </w:r>
      <w:hyperlink r:id="rId14" w:history="1">
        <w:r w:rsidRPr="002C2CFB">
          <w:rPr>
            <w:rStyle w:val="Hyperlink"/>
          </w:rPr>
          <w:t>Summary of Product Characteristics</w:t>
        </w:r>
      </w:hyperlink>
      <w:r w:rsidRPr="00CC34C1">
        <w:t>.</w:t>
      </w:r>
      <w:r w:rsidR="00460FAD">
        <w:rPr>
          <w:vertAlign w:val="superscript"/>
        </w:rPr>
        <w:t>3</w:t>
      </w:r>
    </w:p>
    <w:p w14:paraId="7D4677F4" w14:textId="77777777" w:rsidR="00CC34C1" w:rsidRDefault="00F11531" w:rsidP="00F11531">
      <w:pPr>
        <w:pStyle w:val="NCLHeading1"/>
        <w:numPr>
          <w:ilvl w:val="0"/>
          <w:numId w:val="32"/>
        </w:numPr>
      </w:pPr>
      <w:bookmarkStart w:id="33" w:name="_Toc535932385"/>
      <w:r>
        <w:t xml:space="preserve"> </w:t>
      </w:r>
      <w:bookmarkStart w:id="34" w:name="_Toc121760577"/>
      <w:bookmarkStart w:id="35" w:name="_Toc128414128"/>
      <w:r w:rsidR="00CC34C1" w:rsidRPr="00CC34C1">
        <w:t>Clinical Monitoring</w:t>
      </w:r>
      <w:bookmarkEnd w:id="33"/>
      <w:bookmarkEnd w:id="34"/>
      <w:bookmarkEnd w:id="35"/>
    </w:p>
    <w:p w14:paraId="2E923070" w14:textId="4560A1B9" w:rsidR="003F787D" w:rsidRDefault="00C93F78" w:rsidP="003F787D">
      <w:pPr>
        <w:pStyle w:val="NCLBodyText"/>
        <w:rPr>
          <w:b/>
          <w:bCs/>
        </w:rPr>
      </w:pPr>
      <w:r w:rsidRPr="00C93F78">
        <w:rPr>
          <w:bCs/>
        </w:rPr>
        <w:t xml:space="preserve">No specific </w:t>
      </w:r>
      <w:r w:rsidR="00995E63">
        <w:rPr>
          <w:bCs/>
        </w:rPr>
        <w:t xml:space="preserve">routine </w:t>
      </w:r>
      <w:r w:rsidRPr="00C93F78">
        <w:rPr>
          <w:bCs/>
        </w:rPr>
        <w:t xml:space="preserve">monitoring is required for </w:t>
      </w:r>
      <w:r w:rsidRPr="00C93F78">
        <w:rPr>
          <w:bCs/>
          <w:iCs/>
        </w:rPr>
        <w:t xml:space="preserve">methadone by the GP other than </w:t>
      </w:r>
      <w:r w:rsidR="00320417">
        <w:rPr>
          <w:bCs/>
          <w:iCs/>
        </w:rPr>
        <w:t xml:space="preserve">general </w:t>
      </w:r>
      <w:r w:rsidR="00676F94">
        <w:rPr>
          <w:bCs/>
          <w:iCs/>
        </w:rPr>
        <w:t xml:space="preserve">monitoring for </w:t>
      </w:r>
      <w:r w:rsidRPr="00C93F78">
        <w:rPr>
          <w:bCs/>
          <w:iCs/>
        </w:rPr>
        <w:t>side effect</w:t>
      </w:r>
      <w:r w:rsidR="00676F94">
        <w:rPr>
          <w:bCs/>
          <w:iCs/>
        </w:rPr>
        <w:t>s</w:t>
      </w:r>
      <w:r w:rsidR="00590FDB">
        <w:rPr>
          <w:bCs/>
          <w:iCs/>
        </w:rPr>
        <w:t xml:space="preserve"> (see Table </w:t>
      </w:r>
      <w:r w:rsidR="0091641C">
        <w:rPr>
          <w:bCs/>
          <w:iCs/>
        </w:rPr>
        <w:t>2</w:t>
      </w:r>
      <w:r w:rsidR="00590FDB">
        <w:rPr>
          <w:bCs/>
          <w:iCs/>
        </w:rPr>
        <w:t xml:space="preserve"> </w:t>
      </w:r>
      <w:r w:rsidR="00995E63">
        <w:rPr>
          <w:bCs/>
          <w:iCs/>
        </w:rPr>
        <w:t>in Section 6.0</w:t>
      </w:r>
      <w:r w:rsidR="00590FDB">
        <w:rPr>
          <w:bCs/>
          <w:iCs/>
        </w:rPr>
        <w:t>)</w:t>
      </w:r>
      <w:r w:rsidR="003F787D">
        <w:rPr>
          <w:bCs/>
          <w:iCs/>
        </w:rPr>
        <w:t xml:space="preserve">; </w:t>
      </w:r>
      <w:r w:rsidR="003F787D" w:rsidRPr="00C93F78">
        <w:rPr>
          <w:bCs/>
        </w:rPr>
        <w:t>Any suspected adverse reactions should be reported using the Yellow Card Scheme</w:t>
      </w:r>
      <w:r w:rsidR="003F787D" w:rsidRPr="00C93F78">
        <w:rPr>
          <w:b/>
          <w:bCs/>
        </w:rPr>
        <w:t>.</w:t>
      </w:r>
    </w:p>
    <w:p w14:paraId="13A56981" w14:textId="47FB3375" w:rsidR="003F787D" w:rsidRPr="00676F94" w:rsidRDefault="00856EAF" w:rsidP="003F787D">
      <w:pPr>
        <w:pStyle w:val="NCLBodyText"/>
      </w:pPr>
      <w:r>
        <w:rPr>
          <w:bCs/>
        </w:rPr>
        <w:t>T</w:t>
      </w:r>
      <w:r w:rsidR="00C93F78" w:rsidRPr="00C93F78">
        <w:rPr>
          <w:bCs/>
        </w:rPr>
        <w:t>he clinical picture may require basic tests such as BP &amp; pulse if the need arises. Certain patients may require additional tests</w:t>
      </w:r>
      <w:r w:rsidR="00063372">
        <w:rPr>
          <w:bCs/>
        </w:rPr>
        <w:t xml:space="preserve"> for urea and electrolytes</w:t>
      </w:r>
      <w:r w:rsidR="00C93F78" w:rsidRPr="00C93F78">
        <w:rPr>
          <w:bCs/>
        </w:rPr>
        <w:t xml:space="preserve">. </w:t>
      </w:r>
      <w:r w:rsidR="002C2CFB">
        <w:rPr>
          <w:bCs/>
        </w:rPr>
        <w:t>GPs</w:t>
      </w:r>
      <w:r w:rsidR="00C93F78" w:rsidRPr="00C93F78">
        <w:rPr>
          <w:bCs/>
        </w:rPr>
        <w:t xml:space="preserve"> should review their patients as per their normal practice. </w:t>
      </w:r>
      <w:r w:rsidR="003F787D">
        <w:t>The specialist may suggest additional investigations as required. The results should be discussed with the specialist if they are undertaken by the GP and are found to be abnormal.</w:t>
      </w:r>
    </w:p>
    <w:p w14:paraId="432EAB94" w14:textId="5EA070B5" w:rsidR="00C93F78" w:rsidRDefault="00C93F78" w:rsidP="00CC34C1">
      <w:pPr>
        <w:pStyle w:val="NCLBodyText"/>
        <w:rPr>
          <w:bCs/>
        </w:rPr>
      </w:pPr>
      <w:r w:rsidRPr="00C93F78">
        <w:rPr>
          <w:b/>
          <w:bCs/>
        </w:rPr>
        <w:t xml:space="preserve">Additional ECGs should only be required to be undertaken by the GP if the specialist team </w:t>
      </w:r>
      <w:r w:rsidR="00676F94">
        <w:rPr>
          <w:b/>
          <w:bCs/>
        </w:rPr>
        <w:t>has</w:t>
      </w:r>
      <w:r w:rsidR="00320417">
        <w:rPr>
          <w:b/>
          <w:bCs/>
        </w:rPr>
        <w:t xml:space="preserve"> produced an additional </w:t>
      </w:r>
      <w:r w:rsidRPr="00C93F78">
        <w:rPr>
          <w:b/>
          <w:bCs/>
        </w:rPr>
        <w:t>monitoring plan</w:t>
      </w:r>
      <w:r w:rsidR="00320417">
        <w:rPr>
          <w:b/>
          <w:bCs/>
        </w:rPr>
        <w:t>.</w:t>
      </w:r>
      <w:r w:rsidRPr="00C93F78">
        <w:rPr>
          <w:bCs/>
        </w:rPr>
        <w:t xml:space="preserve"> However</w:t>
      </w:r>
      <w:r w:rsidRPr="00C93F78">
        <w:rPr>
          <w:b/>
          <w:bCs/>
        </w:rPr>
        <w:t xml:space="preserve">, </w:t>
      </w:r>
      <w:r w:rsidRPr="00C93F78">
        <w:rPr>
          <w:bCs/>
        </w:rPr>
        <w:t xml:space="preserve">on some occasions it can be desirable, </w:t>
      </w:r>
      <w:proofErr w:type="gramStart"/>
      <w:r w:rsidRPr="00C93F78">
        <w:rPr>
          <w:bCs/>
        </w:rPr>
        <w:t>e.g.</w:t>
      </w:r>
      <w:proofErr w:type="gramEnd"/>
      <w:r w:rsidRPr="00C93F78">
        <w:rPr>
          <w:bCs/>
        </w:rPr>
        <w:t xml:space="preserve"> when prescribing daily doses of methadone above 100mg or </w:t>
      </w:r>
      <w:r w:rsidR="00320417">
        <w:rPr>
          <w:bCs/>
        </w:rPr>
        <w:t xml:space="preserve">a </w:t>
      </w:r>
      <w:r w:rsidRPr="00C93F78">
        <w:rPr>
          <w:bCs/>
        </w:rPr>
        <w:t>new clinical situation arise</w:t>
      </w:r>
      <w:r w:rsidR="00320417">
        <w:rPr>
          <w:bCs/>
        </w:rPr>
        <w:t>s</w:t>
      </w:r>
      <w:r w:rsidRPr="00C93F78">
        <w:rPr>
          <w:bCs/>
        </w:rPr>
        <w:t xml:space="preserve"> such as </w:t>
      </w:r>
      <w:r w:rsidR="00676F94">
        <w:rPr>
          <w:bCs/>
        </w:rPr>
        <w:t xml:space="preserve">a new </w:t>
      </w:r>
      <w:r w:rsidRPr="00C93F78">
        <w:rPr>
          <w:bCs/>
        </w:rPr>
        <w:t>major drug interaction due to medication changes. The specialist team may either request these to be undertaken directly via the GP or when the clinical issue is identified by the primary care team</w:t>
      </w:r>
      <w:r w:rsidR="00A6606C">
        <w:rPr>
          <w:bCs/>
        </w:rPr>
        <w:t>;</w:t>
      </w:r>
      <w:r w:rsidRPr="00C93F78">
        <w:rPr>
          <w:bCs/>
        </w:rPr>
        <w:t xml:space="preserve"> the specialist team should be willing to provide the clinical advice </w:t>
      </w:r>
      <w:r w:rsidR="002C2CFB">
        <w:rPr>
          <w:bCs/>
        </w:rPr>
        <w:t xml:space="preserve">on </w:t>
      </w:r>
      <w:r w:rsidRPr="00C93F78">
        <w:rPr>
          <w:bCs/>
        </w:rPr>
        <w:t xml:space="preserve">whether further ECG/s are required. </w:t>
      </w:r>
    </w:p>
    <w:p w14:paraId="15213857" w14:textId="77777777" w:rsidR="00590FDB" w:rsidRDefault="00590FDB" w:rsidP="00CC34C1">
      <w:pPr>
        <w:pStyle w:val="NCLBodyText"/>
        <w:rPr>
          <w:bCs/>
        </w:rPr>
      </w:pPr>
    </w:p>
    <w:p w14:paraId="7079300B" w14:textId="77777777" w:rsidR="00745429" w:rsidRDefault="0074188E" w:rsidP="0074188E">
      <w:pPr>
        <w:pStyle w:val="NCLHeading1"/>
        <w:numPr>
          <w:ilvl w:val="0"/>
          <w:numId w:val="29"/>
        </w:numPr>
      </w:pPr>
      <w:bookmarkStart w:id="36" w:name="_Toc535932386"/>
      <w:r>
        <w:t xml:space="preserve"> </w:t>
      </w:r>
      <w:bookmarkStart w:id="37" w:name="_Toc121760578"/>
      <w:bookmarkStart w:id="38" w:name="_Toc128414129"/>
      <w:r w:rsidR="00CC34C1">
        <w:t>Contraindications</w:t>
      </w:r>
      <w:bookmarkEnd w:id="36"/>
      <w:bookmarkEnd w:id="37"/>
      <w:bookmarkEnd w:id="38"/>
    </w:p>
    <w:p w14:paraId="74351752" w14:textId="77777777" w:rsidR="00745429" w:rsidRDefault="00745429" w:rsidP="00BF3655">
      <w:pPr>
        <w:pStyle w:val="NCLBodyText"/>
        <w:numPr>
          <w:ilvl w:val="0"/>
          <w:numId w:val="41"/>
        </w:numPr>
        <w:ind w:left="567" w:hanging="425"/>
      </w:pPr>
      <w:r>
        <w:t xml:space="preserve">Concurrent pentazocine, nalbuphine, </w:t>
      </w:r>
      <w:r w:rsidR="00320417">
        <w:t xml:space="preserve">and </w:t>
      </w:r>
      <w:r>
        <w:t xml:space="preserve">butorphanol administration </w:t>
      </w:r>
      <w:r>
        <w:rPr>
          <w:rFonts w:ascii="Cambria Math" w:hAnsi="Cambria Math" w:cs="Cambria Math"/>
        </w:rPr>
        <w:t>‑</w:t>
      </w:r>
      <w:r>
        <w:t xml:space="preserve"> may precipitate withdrawal </w:t>
      </w:r>
      <w:proofErr w:type="gramStart"/>
      <w:r>
        <w:t>symptoms</w:t>
      </w:r>
      <w:proofErr w:type="gramEnd"/>
    </w:p>
    <w:p w14:paraId="33CC9269" w14:textId="77777777" w:rsidR="00745429" w:rsidRDefault="00745429" w:rsidP="00BF3655">
      <w:pPr>
        <w:pStyle w:val="NCLBodyText"/>
        <w:numPr>
          <w:ilvl w:val="0"/>
          <w:numId w:val="41"/>
        </w:numPr>
        <w:ind w:left="567" w:hanging="425"/>
      </w:pPr>
      <w:r>
        <w:t xml:space="preserve">Patients with mild, intermittent, or </w:t>
      </w:r>
      <w:r w:rsidR="00320417">
        <w:t>short-duration</w:t>
      </w:r>
      <w:r>
        <w:t xml:space="preserve"> pain that can be managed with other pain medications, acute unstable </w:t>
      </w:r>
      <w:proofErr w:type="gramStart"/>
      <w:r>
        <w:t>pain</w:t>
      </w:r>
      <w:proofErr w:type="gramEnd"/>
    </w:p>
    <w:p w14:paraId="4A199618" w14:textId="77777777" w:rsidR="00745429" w:rsidRDefault="00745429" w:rsidP="00BF3655">
      <w:pPr>
        <w:pStyle w:val="NCLBodyText"/>
        <w:numPr>
          <w:ilvl w:val="0"/>
          <w:numId w:val="41"/>
        </w:numPr>
        <w:ind w:left="567" w:hanging="425"/>
      </w:pPr>
      <w:r>
        <w:t xml:space="preserve">Relative contraindication: Prolonged QTc defined as &gt;500 </w:t>
      </w:r>
      <w:proofErr w:type="spellStart"/>
      <w:r>
        <w:t>ms</w:t>
      </w:r>
      <w:proofErr w:type="spellEnd"/>
      <w:r>
        <w:t xml:space="preserve"> for males and &gt;470 </w:t>
      </w:r>
      <w:proofErr w:type="spellStart"/>
      <w:r>
        <w:t>ms</w:t>
      </w:r>
      <w:proofErr w:type="spellEnd"/>
      <w:r>
        <w:t xml:space="preserve"> for </w:t>
      </w:r>
      <w:proofErr w:type="gramStart"/>
      <w:r>
        <w:t>females</w:t>
      </w:r>
      <w:proofErr w:type="gramEnd"/>
    </w:p>
    <w:p w14:paraId="529FE94A" w14:textId="77777777" w:rsidR="00745429" w:rsidRDefault="00745429" w:rsidP="00BF3655">
      <w:pPr>
        <w:pStyle w:val="NCLBodyText"/>
        <w:numPr>
          <w:ilvl w:val="0"/>
          <w:numId w:val="41"/>
        </w:numPr>
        <w:ind w:left="567" w:hanging="425"/>
      </w:pPr>
      <w:r>
        <w:t xml:space="preserve">Conversion from other opioids to methadone is contraindicated if the patient is moribund or confused because initial titration requires significant patient involvement. </w:t>
      </w:r>
    </w:p>
    <w:p w14:paraId="5BC59C2A" w14:textId="77777777" w:rsidR="00745429" w:rsidRDefault="00745429" w:rsidP="00BF3655">
      <w:pPr>
        <w:pStyle w:val="NCLBodyText"/>
        <w:numPr>
          <w:ilvl w:val="0"/>
          <w:numId w:val="41"/>
        </w:numPr>
        <w:ind w:left="567" w:hanging="425"/>
      </w:pPr>
      <w:r>
        <w:t>Hypersensitivity to the active ingredient or any excipients</w:t>
      </w:r>
    </w:p>
    <w:p w14:paraId="4704E0C2" w14:textId="77777777" w:rsidR="00745429" w:rsidRDefault="002A05AD" w:rsidP="00BF3655">
      <w:pPr>
        <w:pStyle w:val="NCLBodyText"/>
        <w:numPr>
          <w:ilvl w:val="0"/>
          <w:numId w:val="41"/>
        </w:numPr>
        <w:ind w:left="567" w:hanging="425"/>
      </w:pPr>
      <w:proofErr w:type="gramStart"/>
      <w:r>
        <w:t>Pheochromocytoma</w:t>
      </w:r>
      <w:r w:rsidR="00745429">
        <w:t>;</w:t>
      </w:r>
      <w:proofErr w:type="gramEnd"/>
    </w:p>
    <w:p w14:paraId="212F42BA" w14:textId="77777777" w:rsidR="00745429" w:rsidRDefault="00745429" w:rsidP="00BF3655">
      <w:pPr>
        <w:pStyle w:val="NCLBodyText"/>
        <w:numPr>
          <w:ilvl w:val="0"/>
          <w:numId w:val="41"/>
        </w:numPr>
        <w:ind w:left="567" w:hanging="425"/>
      </w:pPr>
      <w:r>
        <w:lastRenderedPageBreak/>
        <w:t xml:space="preserve">Respiratory depression, obstructive airways disease and during an acute asthma </w:t>
      </w:r>
      <w:proofErr w:type="gramStart"/>
      <w:r>
        <w:t>attack;</w:t>
      </w:r>
      <w:proofErr w:type="gramEnd"/>
    </w:p>
    <w:p w14:paraId="2D1FA1A7" w14:textId="77777777" w:rsidR="00745429" w:rsidRDefault="00745429" w:rsidP="00BF3655">
      <w:pPr>
        <w:pStyle w:val="NCLBodyText"/>
        <w:numPr>
          <w:ilvl w:val="0"/>
          <w:numId w:val="41"/>
        </w:numPr>
        <w:ind w:left="567" w:hanging="425"/>
      </w:pPr>
      <w:r>
        <w:t xml:space="preserve">Acute </w:t>
      </w:r>
      <w:proofErr w:type="gramStart"/>
      <w:r>
        <w:t>alcoholism;</w:t>
      </w:r>
      <w:proofErr w:type="gramEnd"/>
    </w:p>
    <w:p w14:paraId="31895378" w14:textId="77777777" w:rsidR="00745429" w:rsidRDefault="00745429" w:rsidP="00BF3655">
      <w:pPr>
        <w:pStyle w:val="NCLBodyText"/>
        <w:numPr>
          <w:ilvl w:val="0"/>
          <w:numId w:val="41"/>
        </w:numPr>
        <w:ind w:left="567" w:hanging="425"/>
      </w:pPr>
      <w:r>
        <w:t xml:space="preserve">Head injury and raised intracranial </w:t>
      </w:r>
      <w:proofErr w:type="gramStart"/>
      <w:r>
        <w:t>pressure;</w:t>
      </w:r>
      <w:proofErr w:type="gramEnd"/>
    </w:p>
    <w:p w14:paraId="7C53E73A" w14:textId="77777777" w:rsidR="00745429" w:rsidRDefault="00745429" w:rsidP="00BF3655">
      <w:pPr>
        <w:pStyle w:val="NCLBodyText"/>
        <w:numPr>
          <w:ilvl w:val="0"/>
          <w:numId w:val="41"/>
        </w:numPr>
        <w:ind w:left="567" w:hanging="425"/>
      </w:pPr>
      <w:r>
        <w:t xml:space="preserve">Concurrent administration with monoamine oxidase inhibitors or for two weeks after </w:t>
      </w:r>
      <w:proofErr w:type="gramStart"/>
      <w:r>
        <w:t>stopping;</w:t>
      </w:r>
      <w:proofErr w:type="gramEnd"/>
    </w:p>
    <w:p w14:paraId="39DA8499" w14:textId="77777777" w:rsidR="00745429" w:rsidRDefault="00745429" w:rsidP="00BF3655">
      <w:pPr>
        <w:pStyle w:val="NCLBodyText"/>
        <w:numPr>
          <w:ilvl w:val="0"/>
          <w:numId w:val="41"/>
        </w:numPr>
        <w:ind w:left="567" w:hanging="425"/>
      </w:pPr>
      <w:r>
        <w:t>Use during labour (increased risk of neonatal depression</w:t>
      </w:r>
      <w:proofErr w:type="gramStart"/>
      <w:r>
        <w:t>);</w:t>
      </w:r>
      <w:proofErr w:type="gramEnd"/>
    </w:p>
    <w:p w14:paraId="0F1DA40C" w14:textId="77777777" w:rsidR="00745429" w:rsidRDefault="00745429" w:rsidP="00BF3655">
      <w:pPr>
        <w:pStyle w:val="NCLBodyText"/>
        <w:numPr>
          <w:ilvl w:val="0"/>
          <w:numId w:val="41"/>
        </w:numPr>
        <w:ind w:left="567" w:hanging="425"/>
      </w:pPr>
      <w:r>
        <w:t>Children (serious risk of toxicity)</w:t>
      </w:r>
    </w:p>
    <w:p w14:paraId="7F2B1841" w14:textId="77777777" w:rsidR="00745429" w:rsidRDefault="00745429" w:rsidP="00BF3655">
      <w:pPr>
        <w:pStyle w:val="NCLBodyText"/>
        <w:numPr>
          <w:ilvl w:val="0"/>
          <w:numId w:val="41"/>
        </w:numPr>
        <w:ind w:left="567" w:hanging="425"/>
      </w:pPr>
      <w:r>
        <w:t>Patients with ulcerative colitis (as methadone may precipitate toxic dilatation or spasm of the colon</w:t>
      </w:r>
      <w:proofErr w:type="gramStart"/>
      <w:r>
        <w:t>);</w:t>
      </w:r>
      <w:proofErr w:type="gramEnd"/>
    </w:p>
    <w:p w14:paraId="334E62C9" w14:textId="77777777" w:rsidR="00745429" w:rsidRDefault="00745429" w:rsidP="00BF3655">
      <w:pPr>
        <w:pStyle w:val="NCLBodyText"/>
        <w:numPr>
          <w:ilvl w:val="0"/>
          <w:numId w:val="41"/>
        </w:numPr>
        <w:ind w:left="567" w:hanging="425"/>
      </w:pPr>
      <w:r>
        <w:t xml:space="preserve">Patients at risk of paralytic </w:t>
      </w:r>
      <w:proofErr w:type="gramStart"/>
      <w:r>
        <w:t>ileus;</w:t>
      </w:r>
      <w:proofErr w:type="gramEnd"/>
    </w:p>
    <w:p w14:paraId="61308585" w14:textId="77777777" w:rsidR="00745429" w:rsidRDefault="00745429" w:rsidP="00BF3655">
      <w:pPr>
        <w:pStyle w:val="NCLBodyText"/>
        <w:numPr>
          <w:ilvl w:val="0"/>
          <w:numId w:val="41"/>
        </w:numPr>
        <w:ind w:left="567" w:hanging="425"/>
      </w:pPr>
      <w:r>
        <w:t xml:space="preserve">Patients dependent on non-opioid </w:t>
      </w:r>
      <w:proofErr w:type="gramStart"/>
      <w:r>
        <w:t>drugs;</w:t>
      </w:r>
      <w:proofErr w:type="gramEnd"/>
    </w:p>
    <w:p w14:paraId="1D7F2A9E" w14:textId="77777777" w:rsidR="00745429" w:rsidRDefault="00745429" w:rsidP="00BF3655">
      <w:pPr>
        <w:pStyle w:val="NCLBodyText"/>
        <w:numPr>
          <w:ilvl w:val="0"/>
          <w:numId w:val="41"/>
        </w:numPr>
        <w:ind w:left="567" w:hanging="425"/>
      </w:pPr>
      <w:r>
        <w:t>Patients with severe hepatic impairment (as it may precipitate encephalopathy</w:t>
      </w:r>
      <w:proofErr w:type="gramStart"/>
      <w:r>
        <w:t>);</w:t>
      </w:r>
      <w:proofErr w:type="gramEnd"/>
    </w:p>
    <w:p w14:paraId="3292A712" w14:textId="77777777" w:rsidR="00745429" w:rsidRDefault="00745429" w:rsidP="00BF3655">
      <w:pPr>
        <w:pStyle w:val="NCLBodyText"/>
        <w:numPr>
          <w:ilvl w:val="0"/>
          <w:numId w:val="41"/>
        </w:numPr>
        <w:ind w:left="567" w:hanging="425"/>
      </w:pPr>
      <w:r>
        <w:t xml:space="preserve">Patients with biliary and renal tract spasm. </w:t>
      </w:r>
    </w:p>
    <w:p w14:paraId="3F2035CE" w14:textId="77777777" w:rsidR="00745429" w:rsidRDefault="00745429" w:rsidP="00BF3655">
      <w:pPr>
        <w:pStyle w:val="NCLBodyText"/>
        <w:numPr>
          <w:ilvl w:val="0"/>
          <w:numId w:val="41"/>
        </w:numPr>
        <w:ind w:left="567" w:hanging="425"/>
      </w:pPr>
      <w:r>
        <w:t xml:space="preserve">Outside of specialist palliative care units – Patients unable to engage with and participate in a tight and carefully monitored patient management </w:t>
      </w:r>
      <w:proofErr w:type="gramStart"/>
      <w:r>
        <w:t>plan</w:t>
      </w:r>
      <w:proofErr w:type="gramEnd"/>
    </w:p>
    <w:p w14:paraId="51BCF8A0" w14:textId="77777777" w:rsidR="00CC34C1" w:rsidRDefault="00CC34C1" w:rsidP="00CC34C1">
      <w:pPr>
        <w:pStyle w:val="NCLBodyText"/>
      </w:pPr>
      <w:r>
        <w:t>For a full list of contraindications, refer to the Summary of Product Characteristics.</w:t>
      </w:r>
      <w:r w:rsidR="00320417">
        <w:t xml:space="preserve"> </w:t>
      </w:r>
      <w:r w:rsidR="00320417" w:rsidRPr="00320417">
        <w:rPr>
          <w:vertAlign w:val="superscript"/>
        </w:rPr>
        <w:t>2</w:t>
      </w:r>
    </w:p>
    <w:p w14:paraId="599AF554" w14:textId="77777777" w:rsidR="00CC34C1" w:rsidRDefault="00CC34C1" w:rsidP="00F11531">
      <w:pPr>
        <w:pStyle w:val="NCLHeading1"/>
        <w:numPr>
          <w:ilvl w:val="0"/>
          <w:numId w:val="29"/>
        </w:numPr>
        <w:ind w:left="567" w:hanging="567"/>
      </w:pPr>
      <w:bookmarkStart w:id="39" w:name="_Toc535932387"/>
      <w:bookmarkStart w:id="40" w:name="_Toc121760579"/>
      <w:bookmarkStart w:id="41" w:name="_Toc128414130"/>
      <w:r>
        <w:t>Drug Interactions</w:t>
      </w:r>
      <w:bookmarkEnd w:id="39"/>
      <w:bookmarkEnd w:id="40"/>
      <w:bookmarkEnd w:id="41"/>
    </w:p>
    <w:p w14:paraId="28C2843D" w14:textId="77777777" w:rsidR="0063168A" w:rsidRDefault="0063168A" w:rsidP="00441E7C">
      <w:pPr>
        <w:pStyle w:val="NCLBodyText"/>
        <w:numPr>
          <w:ilvl w:val="0"/>
          <w:numId w:val="50"/>
        </w:numPr>
      </w:pPr>
      <w:r>
        <w:t xml:space="preserve">Avoid concurrent administration of MAOIs or within 2 weeks of discontinuation of their </w:t>
      </w:r>
      <w:proofErr w:type="gramStart"/>
      <w:r>
        <w:t>use</w:t>
      </w:r>
      <w:proofErr w:type="gramEnd"/>
    </w:p>
    <w:p w14:paraId="4957E124" w14:textId="77777777" w:rsidR="0063168A" w:rsidRDefault="0063168A" w:rsidP="00441E7C">
      <w:pPr>
        <w:pStyle w:val="NCLBodyText"/>
        <w:numPr>
          <w:ilvl w:val="0"/>
          <w:numId w:val="50"/>
        </w:numPr>
      </w:pPr>
      <w:r>
        <w:t>Methadone is metabolised by hepatic CYP3A4 &amp; CYP2B6 enzymes. Co-administration with drugs that are metabolised by or affect the activity of these pathways may lead to clinically relevant drug interactions including:</w:t>
      </w:r>
    </w:p>
    <w:p w14:paraId="4B64F8C5" w14:textId="77777777" w:rsidR="0063168A" w:rsidRDefault="0063168A" w:rsidP="00441E7C">
      <w:pPr>
        <w:pStyle w:val="ListBullet"/>
        <w:numPr>
          <w:ilvl w:val="1"/>
          <w:numId w:val="50"/>
        </w:numPr>
      </w:pPr>
      <w:r>
        <w:t xml:space="preserve">Drugs </w:t>
      </w:r>
      <w:r w:rsidR="002B6F96">
        <w:t>that</w:t>
      </w:r>
      <w:r>
        <w:t xml:space="preserve"> may ↑ plasma concentration of Methadone: azole antifungals, amiodarone, ciprofloxacin, cimetidine, Erythromycin, SSRIs, quinidine</w:t>
      </w:r>
      <w:r w:rsidR="002B6F96">
        <w:t>,</w:t>
      </w:r>
      <w:r>
        <w:t xml:space="preserve"> and grapefruit juice</w:t>
      </w:r>
    </w:p>
    <w:p w14:paraId="56964D77" w14:textId="77777777" w:rsidR="00441E7C" w:rsidRDefault="0063168A" w:rsidP="00CC34C1">
      <w:pPr>
        <w:pStyle w:val="ListBullet"/>
        <w:numPr>
          <w:ilvl w:val="1"/>
          <w:numId w:val="50"/>
        </w:numPr>
      </w:pPr>
      <w:r>
        <w:t xml:space="preserve">Drugs which may ↓ plasma concentration of Methadone: carbamazepine, phenytoin, phenobarbital, rifampicin, St John’s wort, some </w:t>
      </w:r>
      <w:r w:rsidR="002B6F96">
        <w:t>antiretrovirals</w:t>
      </w:r>
    </w:p>
    <w:p w14:paraId="695828B8" w14:textId="77777777" w:rsidR="00441E7C" w:rsidRDefault="002B6F96" w:rsidP="00441E7C">
      <w:pPr>
        <w:pStyle w:val="ListBullet"/>
        <w:numPr>
          <w:ilvl w:val="0"/>
          <w:numId w:val="50"/>
        </w:numPr>
      </w:pPr>
      <w:r>
        <w:t>An additive</w:t>
      </w:r>
      <w:r w:rsidR="0063168A">
        <w:t xml:space="preserve"> risk of QT prolongation with other drugs which can prolong QT interval (see appendix 1 of the BNF for a full list of drugs </w:t>
      </w:r>
      <w:r>
        <w:t>that</w:t>
      </w:r>
      <w:r w:rsidR="0063168A">
        <w:t xml:space="preserve"> can prolong QT interval</w:t>
      </w:r>
      <w:r w:rsidR="0074188E">
        <w:t xml:space="preserve">). </w:t>
      </w:r>
    </w:p>
    <w:p w14:paraId="502196C0" w14:textId="6A0499E6" w:rsidR="00CC34C1" w:rsidRDefault="00CC34C1" w:rsidP="00441E7C">
      <w:pPr>
        <w:pStyle w:val="ListBullet"/>
        <w:numPr>
          <w:ilvl w:val="0"/>
          <w:numId w:val="50"/>
        </w:numPr>
      </w:pPr>
      <w:r>
        <w:t xml:space="preserve">For a full list of drug interactions, refer to the </w:t>
      </w:r>
      <w:hyperlink r:id="rId15" w:history="1">
        <w:r w:rsidR="00441E7C" w:rsidRPr="00441E7C">
          <w:rPr>
            <w:rStyle w:val="Hyperlink"/>
          </w:rPr>
          <w:t>CNWL guidance</w:t>
        </w:r>
      </w:hyperlink>
      <w:r w:rsidR="00441E7C">
        <w:t xml:space="preserve"> (Appendix 1: Drug Interactions with Methadone); alternatively, please refer to the </w:t>
      </w:r>
      <w:r w:rsidR="00A6606C">
        <w:t xml:space="preserve">relevant </w:t>
      </w:r>
      <w:r>
        <w:t>Summary of Product Characteristics</w:t>
      </w:r>
      <w:r w:rsidR="00A6606C">
        <w:t xml:space="preserve"> (via </w:t>
      </w:r>
      <w:hyperlink r:id="rId16" w:history="1">
        <w:r w:rsidR="001E14A9" w:rsidRPr="004B74D7">
          <w:rPr>
            <w:rStyle w:val="Hyperlink"/>
          </w:rPr>
          <w:t>https://www.medicines.org.uk/emc/</w:t>
        </w:r>
      </w:hyperlink>
      <w:r w:rsidR="001E14A9">
        <w:t xml:space="preserve">) </w:t>
      </w:r>
      <w:r w:rsidR="00A6606C">
        <w:t xml:space="preserve">or </w:t>
      </w:r>
      <w:hyperlink r:id="rId17" w:history="1">
        <w:r w:rsidR="007272FF" w:rsidRPr="001E14A9">
          <w:rPr>
            <w:rStyle w:val="Hyperlink"/>
          </w:rPr>
          <w:t>BNF</w:t>
        </w:r>
      </w:hyperlink>
      <w:r>
        <w:t>.</w:t>
      </w:r>
    </w:p>
    <w:p w14:paraId="33A110ED" w14:textId="77777777" w:rsidR="00CC34C1" w:rsidRDefault="00CC34C1" w:rsidP="00CC34C1">
      <w:pPr>
        <w:pStyle w:val="NCLBodyText"/>
      </w:pPr>
    </w:p>
    <w:p w14:paraId="45133162" w14:textId="77777777" w:rsidR="00592DE9" w:rsidRDefault="008962F6" w:rsidP="00F11531">
      <w:pPr>
        <w:pStyle w:val="NCLHeading1"/>
        <w:numPr>
          <w:ilvl w:val="0"/>
          <w:numId w:val="29"/>
        </w:numPr>
        <w:ind w:left="567" w:hanging="567"/>
      </w:pPr>
      <w:bookmarkStart w:id="42" w:name="_Toc535932388"/>
      <w:bookmarkStart w:id="43" w:name="_Toc121760580"/>
      <w:bookmarkStart w:id="44" w:name="_Toc128414131"/>
      <w:r>
        <w:t>References</w:t>
      </w:r>
      <w:bookmarkEnd w:id="42"/>
      <w:bookmarkEnd w:id="43"/>
      <w:bookmarkEnd w:id="44"/>
    </w:p>
    <w:p w14:paraId="0C5A5BEA" w14:textId="77777777" w:rsidR="0025110A" w:rsidRDefault="0025110A" w:rsidP="00460FAD">
      <w:pPr>
        <w:pStyle w:val="NCLBodyText"/>
        <w:numPr>
          <w:ilvl w:val="0"/>
          <w:numId w:val="44"/>
        </w:numPr>
      </w:pPr>
      <w:r w:rsidRPr="0025110A">
        <w:t>Howard, R. and Howard, P. (2012), What GPs need to know about palliative-care drugs: methadone. Prescriber, 23: 34-38. </w:t>
      </w:r>
      <w:hyperlink r:id="rId18" w:history="1">
        <w:r w:rsidRPr="0025110A">
          <w:rPr>
            <w:rStyle w:val="Hyperlink"/>
          </w:rPr>
          <w:t>https://doi.org/10.1002/psb.959</w:t>
        </w:r>
      </w:hyperlink>
    </w:p>
    <w:p w14:paraId="0184D549" w14:textId="77777777" w:rsidR="0025110A" w:rsidRDefault="0025110A" w:rsidP="00460FAD">
      <w:pPr>
        <w:pStyle w:val="NCLBodyText"/>
        <w:numPr>
          <w:ilvl w:val="0"/>
          <w:numId w:val="44"/>
        </w:numPr>
      </w:pPr>
      <w:proofErr w:type="spellStart"/>
      <w:r w:rsidRPr="0025110A">
        <w:t>Sunilkumar</w:t>
      </w:r>
      <w:proofErr w:type="spellEnd"/>
      <w:r w:rsidRPr="0025110A">
        <w:t xml:space="preserve"> MM, Lockman K</w:t>
      </w:r>
      <w:hyperlink r:id="rId19" w:history="1">
        <w:r w:rsidRPr="00830E7D">
          <w:rPr>
            <w:rStyle w:val="Hyperlink"/>
          </w:rPr>
          <w:t>. Practical Pharmacology of Methadone: A Long-acting Opioid</w:t>
        </w:r>
      </w:hyperlink>
      <w:r w:rsidRPr="0025110A">
        <w:t xml:space="preserve">. Indian J </w:t>
      </w:r>
      <w:proofErr w:type="spellStart"/>
      <w:r w:rsidRPr="0025110A">
        <w:t>Palliat</w:t>
      </w:r>
      <w:proofErr w:type="spellEnd"/>
      <w:r w:rsidRPr="0025110A">
        <w:t xml:space="preserve"> Care. 2018 Jan;24(</w:t>
      </w:r>
      <w:proofErr w:type="spellStart"/>
      <w:r w:rsidRPr="0025110A">
        <w:t>Suppl</w:t>
      </w:r>
      <w:proofErr w:type="spellEnd"/>
      <w:r w:rsidRPr="0025110A">
        <w:t xml:space="preserve"> 1</w:t>
      </w:r>
      <w:proofErr w:type="gramStart"/>
      <w:r w:rsidRPr="0025110A">
        <w:t>):S</w:t>
      </w:r>
      <w:proofErr w:type="gramEnd"/>
      <w:r w:rsidRPr="0025110A">
        <w:t xml:space="preserve">10-S14. </w:t>
      </w:r>
      <w:proofErr w:type="spellStart"/>
      <w:r w:rsidRPr="0025110A">
        <w:t>doi</w:t>
      </w:r>
      <w:proofErr w:type="spellEnd"/>
      <w:r w:rsidRPr="0025110A">
        <w:t>: 10.4103/IJPC.IJPC_180_17 PMID: 29497249; PMCID: PMC5806300.</w:t>
      </w:r>
    </w:p>
    <w:p w14:paraId="5FF70A9D" w14:textId="77777777" w:rsidR="00460FAD" w:rsidRDefault="00460FAD" w:rsidP="00460FAD">
      <w:pPr>
        <w:pStyle w:val="NCLBodyText"/>
        <w:numPr>
          <w:ilvl w:val="0"/>
          <w:numId w:val="44"/>
        </w:numPr>
      </w:pPr>
      <w:r>
        <w:t xml:space="preserve">SPCs. Accessed at </w:t>
      </w:r>
      <w:proofErr w:type="gramStart"/>
      <w:r w:rsidRPr="00460FAD">
        <w:t>https://www.medicines.org.uk/emc/</w:t>
      </w:r>
      <w:proofErr w:type="gramEnd"/>
    </w:p>
    <w:p w14:paraId="235F129D" w14:textId="77777777" w:rsidR="00127F0E" w:rsidRDefault="00127F0E" w:rsidP="00F11531">
      <w:pPr>
        <w:pStyle w:val="NCLHeading1"/>
        <w:numPr>
          <w:ilvl w:val="0"/>
          <w:numId w:val="29"/>
        </w:numPr>
        <w:ind w:left="567" w:hanging="567"/>
      </w:pPr>
      <w:bookmarkStart w:id="45" w:name="_Toc535932389"/>
      <w:bookmarkStart w:id="46" w:name="_Toc121760581"/>
      <w:bookmarkStart w:id="47" w:name="_Toc128414132"/>
      <w:r>
        <w:t xml:space="preserve">Associated </w:t>
      </w:r>
      <w:proofErr w:type="gramStart"/>
      <w:r>
        <w:t>documents</w:t>
      </w:r>
      <w:bookmarkStart w:id="48" w:name="_Hlk121136759"/>
      <w:bookmarkEnd w:id="45"/>
      <w:bookmarkEnd w:id="46"/>
      <w:bookmarkEnd w:id="47"/>
      <w:proofErr w:type="gramEnd"/>
    </w:p>
    <w:p w14:paraId="1159CD5B" w14:textId="77777777" w:rsidR="00D46B50" w:rsidRPr="00460FAD" w:rsidRDefault="00000000">
      <w:pPr>
        <w:spacing w:after="200" w:line="276" w:lineRule="auto"/>
        <w:rPr>
          <w:sz w:val="22"/>
          <w:szCs w:val="22"/>
        </w:rPr>
      </w:pPr>
      <w:hyperlink r:id="rId20" w:history="1">
        <w:r w:rsidR="00745429" w:rsidRPr="00460FAD">
          <w:rPr>
            <w:rStyle w:val="Hyperlink"/>
            <w:sz w:val="22"/>
            <w:szCs w:val="22"/>
          </w:rPr>
          <w:t>Guidelines on the use of Methadone for Pain Control within CNWL Palliative Care Services</w:t>
        </w:r>
      </w:hyperlink>
    </w:p>
    <w:p w14:paraId="3D27D800" w14:textId="77777777" w:rsidR="00CC34C1" w:rsidRPr="00CC34C1" w:rsidRDefault="00CC34C1" w:rsidP="00F11531">
      <w:pPr>
        <w:pStyle w:val="NCLHeading1"/>
        <w:numPr>
          <w:ilvl w:val="0"/>
          <w:numId w:val="29"/>
        </w:numPr>
        <w:ind w:left="567" w:hanging="567"/>
      </w:pPr>
      <w:bookmarkStart w:id="49" w:name="_Toc535932390"/>
      <w:bookmarkStart w:id="50" w:name="_Toc121760582"/>
      <w:bookmarkStart w:id="51" w:name="_Toc128414133"/>
      <w:r w:rsidRPr="00CC34C1">
        <w:t xml:space="preserve">Contact </w:t>
      </w:r>
      <w:bookmarkEnd w:id="48"/>
      <w:r w:rsidRPr="00CC34C1">
        <w:t>Details</w:t>
      </w:r>
      <w:bookmarkEnd w:id="49"/>
      <w:bookmarkEnd w:id="50"/>
      <w:bookmarkEnd w:id="51"/>
    </w:p>
    <w:tbl>
      <w:tblPr>
        <w:tblStyle w:val="TableGrid"/>
        <w:tblW w:w="0" w:type="auto"/>
        <w:tblLook w:val="04A0" w:firstRow="1" w:lastRow="0" w:firstColumn="1" w:lastColumn="0" w:noHBand="0" w:noVBand="1"/>
      </w:tblPr>
      <w:tblGrid>
        <w:gridCol w:w="4655"/>
        <w:gridCol w:w="4667"/>
      </w:tblGrid>
      <w:tr w:rsidR="00CC34C1" w14:paraId="7D3B7DC0" w14:textId="77777777" w:rsidTr="00FA3D64">
        <w:tc>
          <w:tcPr>
            <w:tcW w:w="4655" w:type="dxa"/>
          </w:tcPr>
          <w:p w14:paraId="3C965DD4" w14:textId="77777777" w:rsidR="00BF7BD6" w:rsidRDefault="00CA4005" w:rsidP="00BF7BD6">
            <w:pPr>
              <w:spacing w:after="0"/>
            </w:pPr>
            <w:r>
              <w:t>Address</w:t>
            </w:r>
            <w:r w:rsidR="00CC34C1" w:rsidRPr="001F5895">
              <w:t>:</w:t>
            </w:r>
          </w:p>
          <w:p w14:paraId="6F9A6215" w14:textId="77777777" w:rsidR="00EF29F0" w:rsidRDefault="00EF29F0" w:rsidP="00BF7BD6">
            <w:pPr>
              <w:spacing w:after="0"/>
            </w:pPr>
            <w:r w:rsidRPr="00EF29F0">
              <w:lastRenderedPageBreak/>
              <w:t>Camden and Islington Community Palliative Care Team Service office:</w:t>
            </w:r>
            <w:r w:rsidRPr="00EF29F0">
              <w:br/>
              <w:t>5th Floor</w:t>
            </w:r>
            <w:r w:rsidRPr="00EF29F0">
              <w:br/>
              <w:t>South Wing</w:t>
            </w:r>
            <w:r w:rsidRPr="00EF29F0">
              <w:br/>
              <w:t>St Pancras Hospital</w:t>
            </w:r>
            <w:r w:rsidRPr="00EF29F0">
              <w:br/>
              <w:t>4 St Pancras Way</w:t>
            </w:r>
            <w:r w:rsidRPr="00EF29F0">
              <w:br/>
              <w:t>London</w:t>
            </w:r>
            <w:r w:rsidRPr="00EF29F0">
              <w:br/>
              <w:t xml:space="preserve">NW1 0PE </w:t>
            </w:r>
          </w:p>
          <w:p w14:paraId="10B1B831" w14:textId="77777777" w:rsidR="00BF7BD6" w:rsidRDefault="00BF7BD6" w:rsidP="00BF7BD6">
            <w:pPr>
              <w:spacing w:after="0"/>
            </w:pPr>
          </w:p>
          <w:p w14:paraId="0CF3ED52" w14:textId="77777777" w:rsidR="00EF29F0" w:rsidRDefault="00EF29F0" w:rsidP="00BF7BD6">
            <w:pPr>
              <w:spacing w:after="0"/>
            </w:pPr>
            <w:r w:rsidRPr="00EF29F0">
              <w:t xml:space="preserve">Please note, the Camden office’s postal address is different. Please send any post or deliveries </w:t>
            </w:r>
            <w:r w:rsidR="00CD04A7" w:rsidRPr="00EF29F0">
              <w:t>to:</w:t>
            </w:r>
            <w:r w:rsidR="00CD04A7">
              <w:t xml:space="preserve"> -</w:t>
            </w:r>
          </w:p>
          <w:p w14:paraId="04E41B24" w14:textId="77777777" w:rsidR="00BF7BD6" w:rsidRPr="00EF29F0" w:rsidRDefault="00BF7BD6" w:rsidP="00BF7BD6">
            <w:pPr>
              <w:spacing w:after="0"/>
            </w:pPr>
          </w:p>
          <w:p w14:paraId="3DF1D7F8" w14:textId="77777777" w:rsidR="00EF29F0" w:rsidRPr="001F5895" w:rsidRDefault="00EF29F0" w:rsidP="00BF7BD6">
            <w:pPr>
              <w:spacing w:after="0"/>
            </w:pPr>
            <w:r w:rsidRPr="00EF29F0">
              <w:t xml:space="preserve">Camden, Islington </w:t>
            </w:r>
            <w:proofErr w:type="spellStart"/>
            <w:r w:rsidRPr="00EF29F0">
              <w:t>ELiPSe</w:t>
            </w:r>
            <w:proofErr w:type="spellEnd"/>
            <w:r w:rsidRPr="00EF29F0">
              <w:t xml:space="preserve"> and UCLH &amp; HCA Palliative Care Service</w:t>
            </w:r>
            <w:r w:rsidRPr="00EF29F0">
              <w:br/>
              <w:t>University College Hospital</w:t>
            </w:r>
            <w:r w:rsidRPr="00EF29F0">
              <w:br/>
              <w:t>235 Euston Road, London</w:t>
            </w:r>
            <w:r w:rsidRPr="00EF29F0">
              <w:br/>
              <w:t>NW1 2BU</w:t>
            </w:r>
          </w:p>
        </w:tc>
        <w:tc>
          <w:tcPr>
            <w:tcW w:w="4667" w:type="dxa"/>
          </w:tcPr>
          <w:p w14:paraId="01F71F29" w14:textId="77777777" w:rsidR="00CA4005" w:rsidRPr="00CA4005" w:rsidRDefault="00CA4005" w:rsidP="00CA4005">
            <w:pPr>
              <w:spacing w:after="200" w:line="276" w:lineRule="auto"/>
            </w:pPr>
            <w:r w:rsidRPr="00CA4005">
              <w:lastRenderedPageBreak/>
              <w:t>Address:</w:t>
            </w:r>
            <w:r w:rsidRPr="00CA4005">
              <w:br/>
              <w:t>UCLH &amp; HCA Services office:</w:t>
            </w:r>
            <w:r w:rsidRPr="00CA4005">
              <w:br/>
            </w:r>
            <w:r w:rsidRPr="00CA4005">
              <w:lastRenderedPageBreak/>
              <w:t>2nd Floor Wing B</w:t>
            </w:r>
            <w:r w:rsidRPr="00CA4005">
              <w:br/>
              <w:t>Maple House</w:t>
            </w:r>
            <w:r w:rsidRPr="00CA4005">
              <w:br/>
              <w:t>149 Tottenham Court Road</w:t>
            </w:r>
            <w:r w:rsidRPr="00CA4005">
              <w:br/>
              <w:t>London</w:t>
            </w:r>
            <w:r w:rsidRPr="00CA4005">
              <w:br/>
              <w:t>W1T 7NF</w:t>
            </w:r>
            <w:r w:rsidRPr="00CA4005">
              <w:br/>
            </w:r>
            <w:r w:rsidRPr="00CA4005">
              <w:br/>
            </w:r>
          </w:p>
          <w:p w14:paraId="0073281D" w14:textId="77777777" w:rsidR="00CA4005" w:rsidRPr="00CA4005" w:rsidRDefault="00CA4005" w:rsidP="00CA4005">
            <w:pPr>
              <w:spacing w:after="200" w:line="276" w:lineRule="auto"/>
            </w:pPr>
          </w:p>
          <w:p w14:paraId="5CD68733" w14:textId="77777777" w:rsidR="00CA4005" w:rsidRPr="00CA4005" w:rsidRDefault="00CA4005" w:rsidP="00CA4005">
            <w:pPr>
              <w:spacing w:after="200" w:line="276" w:lineRule="auto"/>
            </w:pPr>
          </w:p>
          <w:p w14:paraId="2D0D95E0" w14:textId="77777777" w:rsidR="00CC34C1" w:rsidRDefault="00CC34C1" w:rsidP="00EF29F0">
            <w:pPr>
              <w:spacing w:after="200" w:line="276" w:lineRule="auto"/>
            </w:pPr>
          </w:p>
        </w:tc>
      </w:tr>
      <w:tr w:rsidR="00CC34C1" w14:paraId="3C5D1F18" w14:textId="77777777" w:rsidTr="00FA3D64">
        <w:tc>
          <w:tcPr>
            <w:tcW w:w="4655" w:type="dxa"/>
          </w:tcPr>
          <w:p w14:paraId="6E54249C" w14:textId="77777777" w:rsidR="00CC34C1" w:rsidRDefault="00EF29F0" w:rsidP="008424FD">
            <w:r>
              <w:lastRenderedPageBreak/>
              <w:t>Telephone:</w:t>
            </w:r>
          </w:p>
          <w:p w14:paraId="2D0D6A3C" w14:textId="77777777" w:rsidR="00EF29F0" w:rsidRPr="00EF29F0" w:rsidRDefault="00EF29F0" w:rsidP="00EF29F0">
            <w:r w:rsidRPr="00EF29F0">
              <w:t xml:space="preserve">The service is open </w:t>
            </w:r>
            <w:r w:rsidR="00944AD9">
              <w:t>seven days a week</w:t>
            </w:r>
            <w:r w:rsidR="004B1265">
              <w:t>-</w:t>
            </w:r>
            <w:r w:rsidR="002B6F96">
              <w:t>9 am</w:t>
            </w:r>
            <w:r w:rsidRPr="00EF29F0">
              <w:t xml:space="preserve"> to </w:t>
            </w:r>
            <w:r w:rsidR="002B6F96">
              <w:t>8 pm</w:t>
            </w:r>
            <w:r w:rsidR="004B1265">
              <w:t>.</w:t>
            </w:r>
          </w:p>
          <w:p w14:paraId="76B1597C" w14:textId="77777777" w:rsidR="00EF29F0" w:rsidRPr="001F5895" w:rsidRDefault="00EF29F0" w:rsidP="008424FD"/>
        </w:tc>
        <w:tc>
          <w:tcPr>
            <w:tcW w:w="4667" w:type="dxa"/>
          </w:tcPr>
          <w:p w14:paraId="0CC2D426" w14:textId="77777777" w:rsidR="00BF7BD6" w:rsidRDefault="00EF29F0" w:rsidP="00EF29F0">
            <w:pPr>
              <w:spacing w:after="200" w:line="276" w:lineRule="auto"/>
            </w:pPr>
            <w:r w:rsidRPr="00EF29F0">
              <w:t xml:space="preserve">If you need to speak to the </w:t>
            </w:r>
            <w:r w:rsidR="002A05AD" w:rsidRPr="00EF29F0">
              <w:t>team</w:t>
            </w:r>
            <w:r w:rsidR="002A05AD">
              <w:t>: -</w:t>
            </w:r>
            <w:r>
              <w:t xml:space="preserve"> </w:t>
            </w:r>
          </w:p>
          <w:p w14:paraId="29517113" w14:textId="77777777" w:rsidR="00EF29F0" w:rsidRPr="00EF29F0" w:rsidRDefault="00EF29F0" w:rsidP="00EF29F0">
            <w:pPr>
              <w:spacing w:after="200" w:line="276" w:lineRule="auto"/>
            </w:pPr>
            <w:r>
              <w:t>S</w:t>
            </w:r>
            <w:r w:rsidRPr="00EF29F0">
              <w:t xml:space="preserve">outh Camden and </w:t>
            </w:r>
            <w:r>
              <w:t>N</w:t>
            </w:r>
            <w:r w:rsidRPr="00EF29F0">
              <w:t>orth-</w:t>
            </w:r>
            <w:r>
              <w:t>E</w:t>
            </w:r>
            <w:r w:rsidRPr="00EF29F0">
              <w:t>ast Westminster telephone </w:t>
            </w:r>
            <w:hyperlink r:id="rId21" w:history="1">
              <w:r w:rsidRPr="00EF29F0">
                <w:rPr>
                  <w:rStyle w:val="Hyperlink"/>
                </w:rPr>
                <w:t>020 3317 5777</w:t>
              </w:r>
            </w:hyperlink>
          </w:p>
          <w:p w14:paraId="346BB361" w14:textId="77777777" w:rsidR="00EF29F0" w:rsidRPr="00EF29F0" w:rsidRDefault="002B6F96" w:rsidP="00EF29F0">
            <w:pPr>
              <w:spacing w:after="200" w:line="276" w:lineRule="auto"/>
            </w:pPr>
            <w:r>
              <w:t>Islington’s</w:t>
            </w:r>
            <w:r w:rsidR="00EF29F0" w:rsidRPr="00EF29F0">
              <w:t xml:space="preserve"> telephone </w:t>
            </w:r>
            <w:hyperlink r:id="rId22" w:history="1">
              <w:r w:rsidR="00EF29F0" w:rsidRPr="00EF29F0">
                <w:rPr>
                  <w:rStyle w:val="Hyperlink"/>
                </w:rPr>
                <w:t>020 3317 5777</w:t>
              </w:r>
            </w:hyperlink>
            <w:r w:rsidR="00EF29F0" w:rsidRPr="00EF29F0">
              <w:t> (the team is based at Camden and Islington Community Palliative Care Team Service, St Pancras Hospital, 4 St Pancras Way, London, NW1 0PE)</w:t>
            </w:r>
          </w:p>
          <w:p w14:paraId="22CD6309" w14:textId="77777777" w:rsidR="00CC34C1" w:rsidRDefault="00EF29F0">
            <w:pPr>
              <w:spacing w:after="200" w:line="276" w:lineRule="auto"/>
            </w:pPr>
            <w:r w:rsidRPr="00EF29F0">
              <w:t>UCLH and HCA telephone </w:t>
            </w:r>
            <w:hyperlink r:id="rId23" w:history="1">
              <w:r w:rsidRPr="00EF29F0">
                <w:rPr>
                  <w:rStyle w:val="Hyperlink"/>
                </w:rPr>
                <w:t>020 3447 7140</w:t>
              </w:r>
            </w:hyperlink>
          </w:p>
        </w:tc>
      </w:tr>
      <w:tr w:rsidR="00CC34C1" w14:paraId="6D26E057" w14:textId="77777777" w:rsidTr="00FA3D64">
        <w:tc>
          <w:tcPr>
            <w:tcW w:w="4655" w:type="dxa"/>
          </w:tcPr>
          <w:p w14:paraId="5B7EB8DA" w14:textId="77777777" w:rsidR="00CC34C1" w:rsidRPr="001F5895" w:rsidRDefault="00EF29F0" w:rsidP="008424FD">
            <w:r>
              <w:t xml:space="preserve">Out of hours: </w:t>
            </w:r>
          </w:p>
        </w:tc>
        <w:tc>
          <w:tcPr>
            <w:tcW w:w="4667" w:type="dxa"/>
          </w:tcPr>
          <w:p w14:paraId="27867AEF" w14:textId="77777777" w:rsidR="00CC34C1" w:rsidRDefault="004B1265">
            <w:pPr>
              <w:spacing w:after="200" w:line="276" w:lineRule="auto"/>
            </w:pPr>
            <w:r>
              <w:t xml:space="preserve">Currently unavailable except </w:t>
            </w:r>
            <w:r w:rsidR="002B6F96">
              <w:t xml:space="preserve">for </w:t>
            </w:r>
            <w:r>
              <w:t xml:space="preserve">the hours specified above. </w:t>
            </w:r>
          </w:p>
        </w:tc>
      </w:tr>
    </w:tbl>
    <w:p w14:paraId="07794852" w14:textId="77777777" w:rsidR="00BF7BD6" w:rsidRDefault="00BF7BD6" w:rsidP="00BF7BD6">
      <w:pPr>
        <w:spacing w:after="200" w:line="276" w:lineRule="auto"/>
        <w:rPr>
          <w:b/>
        </w:rPr>
      </w:pPr>
    </w:p>
    <w:p w14:paraId="52D815AE" w14:textId="77777777" w:rsidR="00D46B50" w:rsidRPr="00BF7BD6" w:rsidRDefault="00D46B50" w:rsidP="00BF7BD6">
      <w:pPr>
        <w:spacing w:after="200" w:line="276" w:lineRule="auto"/>
      </w:pPr>
      <w:r w:rsidRPr="009D2F4A">
        <w:rPr>
          <w:b/>
          <w:sz w:val="28"/>
        </w:rPr>
        <w:t>Document control</w:t>
      </w:r>
    </w:p>
    <w:tbl>
      <w:tblPr>
        <w:tblStyle w:val="ReportTable"/>
        <w:tblW w:w="9322" w:type="dxa"/>
        <w:tblLook w:val="04A0" w:firstRow="1" w:lastRow="0" w:firstColumn="1" w:lastColumn="0" w:noHBand="0" w:noVBand="1"/>
      </w:tblPr>
      <w:tblGrid>
        <w:gridCol w:w="1240"/>
        <w:gridCol w:w="945"/>
        <w:gridCol w:w="7137"/>
      </w:tblGrid>
      <w:tr w:rsidR="00D46B50" w14:paraId="019A1A77" w14:textId="77777777" w:rsidTr="12FC98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0" w:type="dxa"/>
          </w:tcPr>
          <w:p w14:paraId="46C48E46" w14:textId="77777777" w:rsidR="00D46B50" w:rsidRDefault="00D46B50" w:rsidP="008424FD">
            <w:pPr>
              <w:pStyle w:val="NCLTableText"/>
            </w:pPr>
            <w:r>
              <w:t>Date</w:t>
            </w:r>
          </w:p>
        </w:tc>
        <w:tc>
          <w:tcPr>
            <w:tcW w:w="945" w:type="dxa"/>
          </w:tcPr>
          <w:p w14:paraId="7D92FA01" w14:textId="77777777" w:rsidR="00D46B50" w:rsidRDefault="00D46B50" w:rsidP="008424FD">
            <w:pPr>
              <w:pStyle w:val="NCLTableText"/>
              <w:cnfStyle w:val="100000000000" w:firstRow="1" w:lastRow="0" w:firstColumn="0" w:lastColumn="0" w:oddVBand="0" w:evenVBand="0" w:oddHBand="0" w:evenHBand="0" w:firstRowFirstColumn="0" w:firstRowLastColumn="0" w:lastRowFirstColumn="0" w:lastRowLastColumn="0"/>
            </w:pPr>
            <w:r>
              <w:t>Version</w:t>
            </w:r>
          </w:p>
        </w:tc>
        <w:tc>
          <w:tcPr>
            <w:tcW w:w="7137" w:type="dxa"/>
          </w:tcPr>
          <w:p w14:paraId="0A8DEBC2" w14:textId="77777777" w:rsidR="00D46B50" w:rsidRDefault="00D46B50" w:rsidP="008424FD">
            <w:pPr>
              <w:pStyle w:val="NCLTableText"/>
              <w:cnfStyle w:val="100000000000" w:firstRow="1" w:lastRow="0" w:firstColumn="0" w:lastColumn="0" w:oddVBand="0" w:evenVBand="0" w:oddHBand="0" w:evenHBand="0" w:firstRowFirstColumn="0" w:firstRowLastColumn="0" w:lastRowFirstColumn="0" w:lastRowLastColumn="0"/>
            </w:pPr>
            <w:r>
              <w:t>Amendments</w:t>
            </w:r>
          </w:p>
        </w:tc>
      </w:tr>
      <w:tr w:rsidR="00D46B50" w14:paraId="4E4E1A6D" w14:textId="77777777" w:rsidTr="12FC9855">
        <w:tc>
          <w:tcPr>
            <w:cnfStyle w:val="001000000000" w:firstRow="0" w:lastRow="0" w:firstColumn="1" w:lastColumn="0" w:oddVBand="0" w:evenVBand="0" w:oddHBand="0" w:evenHBand="0" w:firstRowFirstColumn="0" w:firstRowLastColumn="0" w:lastRowFirstColumn="0" w:lastRowLastColumn="0"/>
            <w:tcW w:w="1240" w:type="dxa"/>
          </w:tcPr>
          <w:p w14:paraId="0FF6086C" w14:textId="15EAB904" w:rsidR="00D46B50" w:rsidRDefault="43B0B137" w:rsidP="008424FD">
            <w:pPr>
              <w:pStyle w:val="NCLTableText"/>
            </w:pPr>
            <w:r>
              <w:t>November 2023</w:t>
            </w:r>
          </w:p>
        </w:tc>
        <w:tc>
          <w:tcPr>
            <w:tcW w:w="945" w:type="dxa"/>
          </w:tcPr>
          <w:p w14:paraId="6CADCBC2" w14:textId="6B648674" w:rsidR="00D46B50" w:rsidRDefault="00E60D27" w:rsidP="008424FD">
            <w:pPr>
              <w:pStyle w:val="NCLTableText"/>
              <w:cnfStyle w:val="000000000000" w:firstRow="0" w:lastRow="0" w:firstColumn="0" w:lastColumn="0" w:oddVBand="0" w:evenVBand="0" w:oddHBand="0" w:evenHBand="0" w:firstRowFirstColumn="0" w:firstRowLastColumn="0" w:lastRowFirstColumn="0" w:lastRowLastColumn="0"/>
            </w:pPr>
            <w:r>
              <w:t>1.0</w:t>
            </w:r>
          </w:p>
        </w:tc>
        <w:tc>
          <w:tcPr>
            <w:tcW w:w="7137" w:type="dxa"/>
          </w:tcPr>
          <w:p w14:paraId="626EC37A" w14:textId="2AA44923" w:rsidR="00D46B50" w:rsidRDefault="0ADFF72E" w:rsidP="12FC9855">
            <w:pPr>
              <w:pStyle w:val="NCLTableTex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szCs w:val="20"/>
              </w:rPr>
            </w:pPr>
            <w:r w:rsidRPr="12FC9855">
              <w:rPr>
                <w:rFonts w:asciiTheme="minorHAnsi" w:eastAsiaTheme="minorEastAsia" w:hAnsiTheme="minorHAnsi" w:cstheme="minorBidi"/>
                <w:color w:val="000000" w:themeColor="text1"/>
                <w:szCs w:val="20"/>
              </w:rPr>
              <w:t xml:space="preserve">Share Care produced by </w:t>
            </w:r>
            <w:r w:rsidR="35226878" w:rsidRPr="12FC9855">
              <w:rPr>
                <w:rFonts w:asciiTheme="minorHAnsi" w:eastAsiaTheme="minorEastAsia" w:hAnsiTheme="minorHAnsi" w:cstheme="minorBidi"/>
                <w:color w:val="000000" w:themeColor="text1"/>
                <w:szCs w:val="20"/>
              </w:rPr>
              <w:t>CNWL specialists</w:t>
            </w:r>
            <w:r w:rsidRPr="12FC9855">
              <w:rPr>
                <w:rFonts w:asciiTheme="minorHAnsi" w:eastAsiaTheme="minorEastAsia" w:hAnsiTheme="minorHAnsi" w:cstheme="minorBidi"/>
                <w:color w:val="000000" w:themeColor="text1"/>
                <w:szCs w:val="20"/>
              </w:rPr>
              <w:t xml:space="preserve"> and NCL ICB Barnet borough Medicines Management Team Agreed by NCL Shared Care Group: 14th November 2023</w:t>
            </w:r>
          </w:p>
        </w:tc>
      </w:tr>
    </w:tbl>
    <w:p w14:paraId="2B153165" w14:textId="77777777" w:rsidR="00D46B50" w:rsidRDefault="00D46B50" w:rsidP="00D46B50">
      <w:pPr>
        <w:pStyle w:val="NCLBodyText"/>
      </w:pPr>
    </w:p>
    <w:p w14:paraId="606F81BF" w14:textId="77777777" w:rsidR="00D46B50" w:rsidRDefault="00D46B50" w:rsidP="00D46B50">
      <w:pPr>
        <w:pStyle w:val="NCLBodyText"/>
      </w:pPr>
      <w:r>
        <w:br w:type="page"/>
      </w:r>
    </w:p>
    <w:p w14:paraId="30D17061" w14:textId="6D9B4374" w:rsidR="00DF3C38" w:rsidRPr="00DF3C38" w:rsidRDefault="00DF3C38" w:rsidP="00BF3655">
      <w:pPr>
        <w:pStyle w:val="NCLAppendix"/>
        <w:spacing w:before="0"/>
        <w:ind w:left="-284" w:right="-307" w:firstLine="0"/>
      </w:pPr>
      <w:bookmarkStart w:id="52" w:name="_Toc535932391"/>
      <w:bookmarkStart w:id="53" w:name="_Toc121760583"/>
      <w:bookmarkStart w:id="54" w:name="_Toc128414134"/>
      <w:bookmarkStart w:id="55" w:name="_Hlk121132489"/>
      <w:r>
        <w:lastRenderedPageBreak/>
        <w:t xml:space="preserve">Appendix </w:t>
      </w:r>
      <w:r>
        <w:fldChar w:fldCharType="begin"/>
      </w:r>
      <w:r>
        <w:instrText>SEQ Appendix \* ARABIC</w:instrText>
      </w:r>
      <w:r>
        <w:fldChar w:fldCharType="separate"/>
      </w:r>
      <w:r w:rsidR="00707532">
        <w:rPr>
          <w:noProof/>
        </w:rPr>
        <w:t>1</w:t>
      </w:r>
      <w:r>
        <w:fldChar w:fldCharType="end"/>
      </w:r>
      <w:r>
        <w:t xml:space="preserve">: </w:t>
      </w:r>
      <w:bookmarkStart w:id="56" w:name="_Toc121760239"/>
      <w:r w:rsidR="00441E7C">
        <w:t>Methadone</w:t>
      </w:r>
      <w:r w:rsidR="00FA3D64">
        <w:t xml:space="preserve"> </w:t>
      </w:r>
      <w:r>
        <w:t>transfer form</w:t>
      </w:r>
      <w:r w:rsidR="00441E7C">
        <w:t>: from [Trust]</w:t>
      </w:r>
      <w:r w:rsidR="00FA3D64">
        <w:t xml:space="preserve"> </w:t>
      </w:r>
      <w:r>
        <w:t>to GP</w:t>
      </w:r>
      <w:r w:rsidR="0068611C">
        <w:t xml:space="preserve"> </w:t>
      </w:r>
      <w:r>
        <w:t>practice</w:t>
      </w:r>
      <w:bookmarkEnd w:id="52"/>
      <w:bookmarkEnd w:id="53"/>
      <w:bookmarkEnd w:id="54"/>
      <w:bookmarkEnd w:id="56"/>
    </w:p>
    <w:bookmarkEnd w:id="55"/>
    <w:tbl>
      <w:tblPr>
        <w:tblW w:w="99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4"/>
        <w:gridCol w:w="1600"/>
        <w:gridCol w:w="380"/>
        <w:gridCol w:w="639"/>
        <w:gridCol w:w="257"/>
        <w:gridCol w:w="242"/>
        <w:gridCol w:w="842"/>
        <w:gridCol w:w="1134"/>
        <w:gridCol w:w="875"/>
        <w:gridCol w:w="1514"/>
      </w:tblGrid>
      <w:tr w:rsidR="00DF3C38" w14:paraId="12786593" w14:textId="77777777" w:rsidTr="00BF3655">
        <w:trPr>
          <w:cantSplit/>
          <w:trHeight w:val="482"/>
        </w:trPr>
        <w:tc>
          <w:tcPr>
            <w:tcW w:w="9957" w:type="dxa"/>
            <w:gridSpan w:val="10"/>
            <w:tcBorders>
              <w:top w:val="nil"/>
              <w:left w:val="nil"/>
              <w:bottom w:val="nil"/>
              <w:right w:val="nil"/>
            </w:tcBorders>
            <w:vAlign w:val="center"/>
          </w:tcPr>
          <w:p w14:paraId="6DD0F39B" w14:textId="77777777" w:rsidR="00DF3C38" w:rsidRDefault="00DF3C38" w:rsidP="0068611C">
            <w:pPr>
              <w:pStyle w:val="BodyText"/>
              <w:tabs>
                <w:tab w:val="left" w:pos="-174"/>
                <w:tab w:val="left" w:pos="4860"/>
                <w:tab w:val="left" w:pos="6660"/>
                <w:tab w:val="left" w:pos="7740"/>
                <w:tab w:val="right" w:pos="8820"/>
              </w:tabs>
              <w:spacing w:after="240"/>
              <w:ind w:right="-516"/>
              <w:rPr>
                <w:rFonts w:ascii="Arial" w:hAnsi="Arial" w:cs="Arial"/>
                <w:b/>
                <w:iCs/>
              </w:rPr>
            </w:pPr>
          </w:p>
          <w:p w14:paraId="041E6E42" w14:textId="77777777" w:rsidR="00DF3C38" w:rsidRDefault="00DF3C38" w:rsidP="00BF3655">
            <w:pPr>
              <w:pStyle w:val="BodyText"/>
              <w:tabs>
                <w:tab w:val="left" w:pos="-174"/>
                <w:tab w:val="left" w:pos="4860"/>
                <w:tab w:val="left" w:pos="6660"/>
                <w:tab w:val="left" w:pos="7740"/>
                <w:tab w:val="right" w:pos="8820"/>
              </w:tabs>
              <w:spacing w:after="240"/>
              <w:ind w:left="-174" w:firstLine="66"/>
              <w:rPr>
                <w:rFonts w:ascii="Arial" w:hAnsi="Arial" w:cs="Arial"/>
                <w:bCs/>
                <w:i/>
              </w:rPr>
            </w:pPr>
            <w:r>
              <w:rPr>
                <w:rFonts w:ascii="Arial" w:hAnsi="Arial" w:cs="Arial"/>
                <w:b/>
                <w:iCs/>
              </w:rPr>
              <w:t xml:space="preserve">Section A: to be completed by secondary care </w:t>
            </w:r>
            <w:r w:rsidR="002A05AD">
              <w:rPr>
                <w:rFonts w:ascii="Arial" w:hAnsi="Arial" w:cs="Arial"/>
                <w:bCs/>
                <w:i/>
              </w:rPr>
              <w:t>Send to</w:t>
            </w:r>
            <w:r>
              <w:rPr>
                <w:rFonts w:ascii="Arial" w:hAnsi="Arial" w:cs="Arial"/>
                <w:bCs/>
                <w:i/>
              </w:rPr>
              <w:t xml:space="preserve"> </w:t>
            </w:r>
            <w:proofErr w:type="gramStart"/>
            <w:r>
              <w:rPr>
                <w:rFonts w:ascii="Arial" w:hAnsi="Arial" w:cs="Arial"/>
                <w:bCs/>
                <w:i/>
              </w:rPr>
              <w:t>practice</w:t>
            </w:r>
            <w:proofErr w:type="gramEnd"/>
          </w:p>
          <w:p w14:paraId="1E7891A7" w14:textId="77777777" w:rsidR="00DF3C38" w:rsidRDefault="00DF3C38" w:rsidP="00BF3655">
            <w:pPr>
              <w:pStyle w:val="BodyText"/>
              <w:tabs>
                <w:tab w:val="left" w:pos="-540"/>
                <w:tab w:val="left" w:pos="4860"/>
                <w:tab w:val="left" w:pos="6660"/>
                <w:tab w:val="left" w:pos="7740"/>
                <w:tab w:val="right" w:pos="8820"/>
              </w:tabs>
              <w:spacing w:after="240"/>
              <w:ind w:left="-108"/>
              <w:rPr>
                <w:rFonts w:ascii="Arial" w:hAnsi="Arial" w:cs="Arial"/>
                <w:bCs/>
                <w:iCs/>
              </w:rPr>
            </w:pPr>
            <w:r>
              <w:rPr>
                <w:rFonts w:ascii="Arial" w:hAnsi="Arial" w:cs="Arial"/>
                <w:bCs/>
                <w:i/>
              </w:rPr>
              <w:t>This document is to request the shared care pathway of your patient and comprises an agreement between the GP and named consultant.  The patient will continue to be seen by the named consultant as regular follow up.</w:t>
            </w:r>
          </w:p>
        </w:tc>
      </w:tr>
      <w:tr w:rsidR="00DF3C38" w14:paraId="72552138" w14:textId="77777777" w:rsidTr="00BF3655">
        <w:trPr>
          <w:cantSplit/>
          <w:trHeight w:val="586"/>
        </w:trPr>
        <w:tc>
          <w:tcPr>
            <w:tcW w:w="5350" w:type="dxa"/>
            <w:gridSpan w:val="5"/>
            <w:vMerge w:val="restart"/>
            <w:tcBorders>
              <w:top w:val="single" w:sz="4" w:space="0" w:color="auto"/>
              <w:left w:val="single" w:sz="4" w:space="0" w:color="auto"/>
              <w:right w:val="single" w:sz="4" w:space="0" w:color="auto"/>
            </w:tcBorders>
          </w:tcPr>
          <w:p w14:paraId="2FDD6AD5" w14:textId="77777777" w:rsidR="00DF3C38" w:rsidRDefault="00DF3C38" w:rsidP="008424FD">
            <w:pPr>
              <w:pStyle w:val="BodyText"/>
              <w:tabs>
                <w:tab w:val="left" w:pos="-540"/>
                <w:tab w:val="left" w:pos="4860"/>
                <w:tab w:val="left" w:pos="6660"/>
                <w:tab w:val="left" w:pos="7740"/>
                <w:tab w:val="right" w:pos="8820"/>
              </w:tabs>
              <w:spacing w:before="120"/>
              <w:ind w:right="-516" w:firstLine="74"/>
              <w:rPr>
                <w:rFonts w:ascii="Arial" w:hAnsi="Arial" w:cs="Arial"/>
                <w:bCs/>
                <w:i/>
              </w:rPr>
            </w:pPr>
            <w:r>
              <w:rPr>
                <w:rFonts w:ascii="Arial" w:hAnsi="Arial" w:cs="Arial"/>
                <w:bCs/>
                <w:i/>
              </w:rPr>
              <w:t xml:space="preserve">Fix address label here (ensure NHS </w:t>
            </w:r>
            <w:proofErr w:type="spellStart"/>
            <w:proofErr w:type="gramStart"/>
            <w:r>
              <w:rPr>
                <w:rFonts w:ascii="Arial" w:hAnsi="Arial" w:cs="Arial"/>
                <w:bCs/>
                <w:i/>
              </w:rPr>
              <w:t>no.on</w:t>
            </w:r>
            <w:proofErr w:type="spellEnd"/>
            <w:proofErr w:type="gramEnd"/>
            <w:r>
              <w:rPr>
                <w:rFonts w:ascii="Arial" w:hAnsi="Arial" w:cs="Arial"/>
                <w:bCs/>
                <w:i/>
              </w:rPr>
              <w:t>)</w:t>
            </w:r>
          </w:p>
        </w:tc>
        <w:tc>
          <w:tcPr>
            <w:tcW w:w="242" w:type="dxa"/>
            <w:tcBorders>
              <w:top w:val="nil"/>
              <w:left w:val="single" w:sz="4" w:space="0" w:color="auto"/>
              <w:bottom w:val="nil"/>
              <w:right w:val="nil"/>
            </w:tcBorders>
          </w:tcPr>
          <w:p w14:paraId="5C582A38"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4365" w:type="dxa"/>
            <w:gridSpan w:val="4"/>
            <w:vMerge w:val="restart"/>
            <w:tcBorders>
              <w:top w:val="single" w:sz="4" w:space="0" w:color="auto"/>
              <w:left w:val="single" w:sz="4" w:space="0" w:color="auto"/>
              <w:right w:val="single" w:sz="4" w:space="0" w:color="auto"/>
            </w:tcBorders>
          </w:tcPr>
          <w:p w14:paraId="3D589311" w14:textId="77777777" w:rsidR="00DF3C38" w:rsidRDefault="00DF3C38" w:rsidP="008424FD">
            <w:pPr>
              <w:pStyle w:val="BodyText"/>
              <w:tabs>
                <w:tab w:val="left" w:pos="-540"/>
                <w:tab w:val="left" w:pos="4860"/>
                <w:tab w:val="left" w:pos="6660"/>
                <w:tab w:val="left" w:pos="7740"/>
                <w:tab w:val="right" w:pos="8820"/>
              </w:tabs>
              <w:spacing w:before="120"/>
              <w:ind w:right="-516" w:firstLine="51"/>
              <w:rPr>
                <w:rFonts w:ascii="Arial" w:hAnsi="Arial" w:cs="Arial"/>
                <w:bCs/>
                <w:i/>
              </w:rPr>
            </w:pPr>
            <w:r>
              <w:rPr>
                <w:rFonts w:ascii="Arial" w:hAnsi="Arial" w:cs="Arial"/>
                <w:bCs/>
                <w:iCs/>
              </w:rPr>
              <w:t xml:space="preserve">Clinic stamp </w:t>
            </w:r>
            <w:r>
              <w:rPr>
                <w:rFonts w:ascii="Arial" w:hAnsi="Arial" w:cs="Arial"/>
                <w:bCs/>
                <w:i/>
              </w:rPr>
              <w:t xml:space="preserve">or give details </w:t>
            </w:r>
            <w:proofErr w:type="gramStart"/>
            <w:r>
              <w:rPr>
                <w:rFonts w:ascii="Arial" w:hAnsi="Arial" w:cs="Arial"/>
                <w:bCs/>
                <w:i/>
              </w:rPr>
              <w:t>below</w:t>
            </w:r>
            <w:proofErr w:type="gramEnd"/>
          </w:p>
          <w:p w14:paraId="0A0EBC29" w14:textId="77777777" w:rsidR="00DF3C38" w:rsidRDefault="00DF3C38" w:rsidP="008424FD">
            <w:pPr>
              <w:pStyle w:val="BodyText"/>
              <w:tabs>
                <w:tab w:val="left" w:pos="-540"/>
                <w:tab w:val="left" w:pos="4860"/>
                <w:tab w:val="left" w:pos="6660"/>
                <w:tab w:val="left" w:pos="7740"/>
                <w:tab w:val="right" w:pos="8820"/>
              </w:tabs>
              <w:spacing w:before="120"/>
              <w:ind w:right="-516" w:firstLine="51"/>
              <w:rPr>
                <w:rFonts w:ascii="Arial" w:hAnsi="Arial" w:cs="Arial"/>
                <w:b/>
                <w:bCs/>
                <w:iCs/>
              </w:rPr>
            </w:pPr>
          </w:p>
        </w:tc>
      </w:tr>
      <w:tr w:rsidR="00DF3C38" w14:paraId="4675E3C2" w14:textId="77777777" w:rsidTr="00BF3655">
        <w:trPr>
          <w:cantSplit/>
          <w:trHeight w:val="145"/>
        </w:trPr>
        <w:tc>
          <w:tcPr>
            <w:tcW w:w="5350" w:type="dxa"/>
            <w:gridSpan w:val="5"/>
            <w:vMerge/>
            <w:tcBorders>
              <w:left w:val="single" w:sz="4" w:space="0" w:color="auto"/>
              <w:right w:val="single" w:sz="4" w:space="0" w:color="auto"/>
            </w:tcBorders>
          </w:tcPr>
          <w:p w14:paraId="46E8679D"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242" w:type="dxa"/>
            <w:tcBorders>
              <w:top w:val="nil"/>
              <w:left w:val="single" w:sz="4" w:space="0" w:color="auto"/>
              <w:bottom w:val="nil"/>
              <w:right w:val="nil"/>
            </w:tcBorders>
          </w:tcPr>
          <w:p w14:paraId="5CDBDF0E"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4365" w:type="dxa"/>
            <w:gridSpan w:val="4"/>
            <w:vMerge/>
            <w:tcBorders>
              <w:left w:val="single" w:sz="4" w:space="0" w:color="auto"/>
              <w:right w:val="single" w:sz="4" w:space="0" w:color="auto"/>
            </w:tcBorders>
          </w:tcPr>
          <w:p w14:paraId="7A0900F0"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r>
      <w:tr w:rsidR="00DF3C38" w14:paraId="565C68F0" w14:textId="77777777" w:rsidTr="00BF3655">
        <w:trPr>
          <w:cantSplit/>
          <w:trHeight w:val="113"/>
        </w:trPr>
        <w:tc>
          <w:tcPr>
            <w:tcW w:w="5350" w:type="dxa"/>
            <w:gridSpan w:val="5"/>
            <w:vMerge/>
            <w:tcBorders>
              <w:left w:val="single" w:sz="4" w:space="0" w:color="auto"/>
              <w:bottom w:val="single" w:sz="4" w:space="0" w:color="auto"/>
              <w:right w:val="single" w:sz="4" w:space="0" w:color="auto"/>
            </w:tcBorders>
          </w:tcPr>
          <w:p w14:paraId="33AF6AF6"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242" w:type="dxa"/>
            <w:tcBorders>
              <w:top w:val="nil"/>
              <w:left w:val="single" w:sz="4" w:space="0" w:color="auto"/>
              <w:bottom w:val="nil"/>
              <w:right w:val="nil"/>
            </w:tcBorders>
          </w:tcPr>
          <w:p w14:paraId="6BA71EE7"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4365" w:type="dxa"/>
            <w:gridSpan w:val="4"/>
            <w:vMerge/>
            <w:tcBorders>
              <w:left w:val="single" w:sz="4" w:space="0" w:color="auto"/>
              <w:bottom w:val="single" w:sz="4" w:space="0" w:color="auto"/>
              <w:right w:val="single" w:sz="4" w:space="0" w:color="auto"/>
            </w:tcBorders>
          </w:tcPr>
          <w:p w14:paraId="05598553"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r>
      <w:tr w:rsidR="00DF3C38" w14:paraId="5CBD7557" w14:textId="77777777" w:rsidTr="00BF3655">
        <w:trPr>
          <w:cantSplit/>
          <w:trHeight w:val="90"/>
        </w:trPr>
        <w:tc>
          <w:tcPr>
            <w:tcW w:w="9957" w:type="dxa"/>
            <w:gridSpan w:val="10"/>
            <w:tcBorders>
              <w:top w:val="nil"/>
              <w:left w:val="nil"/>
              <w:bottom w:val="nil"/>
              <w:right w:val="nil"/>
            </w:tcBorders>
          </w:tcPr>
          <w:p w14:paraId="3232AA56" w14:textId="77777777" w:rsidR="00DF3C38" w:rsidRDefault="00DF3C38" w:rsidP="008424FD">
            <w:pPr>
              <w:pStyle w:val="BodyText"/>
              <w:tabs>
                <w:tab w:val="left" w:pos="-540"/>
                <w:tab w:val="left" w:pos="4860"/>
                <w:tab w:val="left" w:pos="6660"/>
                <w:tab w:val="left" w:pos="7740"/>
                <w:tab w:val="right" w:pos="8820"/>
              </w:tabs>
              <w:ind w:right="-516" w:firstLine="51"/>
              <w:rPr>
                <w:rFonts w:ascii="Arial" w:hAnsi="Arial" w:cs="Arial"/>
                <w:bCs/>
                <w:iCs/>
                <w:sz w:val="16"/>
              </w:rPr>
            </w:pPr>
          </w:p>
        </w:tc>
      </w:tr>
      <w:tr w:rsidR="00DF3C38" w14:paraId="41BC7780" w14:textId="77777777" w:rsidTr="00BF3655">
        <w:trPr>
          <w:cantSplit/>
          <w:trHeight w:val="468"/>
        </w:trPr>
        <w:tc>
          <w:tcPr>
            <w:tcW w:w="2474" w:type="dxa"/>
            <w:tcBorders>
              <w:top w:val="nil"/>
              <w:left w:val="nil"/>
              <w:bottom w:val="nil"/>
              <w:right w:val="single" w:sz="4" w:space="0" w:color="auto"/>
            </w:tcBorders>
            <w:vAlign w:val="center"/>
          </w:tcPr>
          <w:p w14:paraId="6B4B6B1C" w14:textId="77777777" w:rsidR="00DF3C38"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 xml:space="preserve"> Department</w:t>
            </w:r>
          </w:p>
        </w:tc>
        <w:tc>
          <w:tcPr>
            <w:tcW w:w="2876" w:type="dxa"/>
            <w:gridSpan w:val="4"/>
            <w:tcBorders>
              <w:top w:val="single" w:sz="4" w:space="0" w:color="auto"/>
              <w:left w:val="single" w:sz="4" w:space="0" w:color="auto"/>
              <w:bottom w:val="single" w:sz="4" w:space="0" w:color="auto"/>
              <w:right w:val="nil"/>
            </w:tcBorders>
            <w:vAlign w:val="center"/>
          </w:tcPr>
          <w:p w14:paraId="47590F93"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
                <w:bCs/>
                <w:iCs/>
              </w:rPr>
            </w:pPr>
          </w:p>
        </w:tc>
        <w:tc>
          <w:tcPr>
            <w:tcW w:w="242" w:type="dxa"/>
            <w:tcBorders>
              <w:top w:val="nil"/>
              <w:left w:val="single" w:sz="4" w:space="0" w:color="auto"/>
              <w:bottom w:val="nil"/>
              <w:right w:val="nil"/>
            </w:tcBorders>
            <w:vAlign w:val="center"/>
          </w:tcPr>
          <w:p w14:paraId="3EB764BA"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65" w:type="dxa"/>
            <w:gridSpan w:val="4"/>
            <w:tcBorders>
              <w:top w:val="nil"/>
              <w:left w:val="nil"/>
              <w:bottom w:val="nil"/>
              <w:right w:val="nil"/>
            </w:tcBorders>
            <w:vAlign w:val="center"/>
          </w:tcPr>
          <w:p w14:paraId="1CA003BF"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46F7F9E5" w14:textId="77777777" w:rsidTr="00BF3655">
        <w:trPr>
          <w:cantSplit/>
          <w:trHeight w:val="300"/>
        </w:trPr>
        <w:tc>
          <w:tcPr>
            <w:tcW w:w="5592" w:type="dxa"/>
            <w:gridSpan w:val="6"/>
            <w:tcBorders>
              <w:top w:val="nil"/>
              <w:left w:val="nil"/>
              <w:bottom w:val="nil"/>
              <w:right w:val="nil"/>
            </w:tcBorders>
          </w:tcPr>
          <w:p w14:paraId="76413D6B" w14:textId="77777777" w:rsidR="00DF3C3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c>
          <w:tcPr>
            <w:tcW w:w="4365" w:type="dxa"/>
            <w:gridSpan w:val="4"/>
            <w:tcBorders>
              <w:top w:val="nil"/>
              <w:left w:val="nil"/>
              <w:bottom w:val="nil"/>
              <w:right w:val="nil"/>
            </w:tcBorders>
          </w:tcPr>
          <w:p w14:paraId="3FDE1C7F" w14:textId="77777777" w:rsidR="00DF3C3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r>
      <w:tr w:rsidR="00DF3C38" w14:paraId="2B307186" w14:textId="77777777" w:rsidTr="00BF3655">
        <w:trPr>
          <w:cantSplit/>
          <w:trHeight w:val="468"/>
        </w:trPr>
        <w:tc>
          <w:tcPr>
            <w:tcW w:w="2474" w:type="dxa"/>
            <w:tcBorders>
              <w:top w:val="nil"/>
              <w:left w:val="nil"/>
              <w:bottom w:val="nil"/>
              <w:right w:val="single" w:sz="4" w:space="0" w:color="auto"/>
            </w:tcBorders>
            <w:vAlign w:val="center"/>
          </w:tcPr>
          <w:p w14:paraId="323AA427"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Clinic phone </w:t>
            </w:r>
          </w:p>
          <w:p w14:paraId="0EB83D78"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p>
        </w:tc>
        <w:tc>
          <w:tcPr>
            <w:tcW w:w="2876" w:type="dxa"/>
            <w:gridSpan w:val="4"/>
            <w:tcBorders>
              <w:top w:val="single" w:sz="4" w:space="0" w:color="auto"/>
              <w:left w:val="single" w:sz="4" w:space="0" w:color="auto"/>
              <w:bottom w:val="single" w:sz="4" w:space="0" w:color="auto"/>
              <w:right w:val="nil"/>
            </w:tcBorders>
            <w:vAlign w:val="center"/>
          </w:tcPr>
          <w:p w14:paraId="4D1ADB24"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
                <w:bCs/>
                <w:iCs/>
              </w:rPr>
            </w:pPr>
          </w:p>
        </w:tc>
        <w:tc>
          <w:tcPr>
            <w:tcW w:w="242" w:type="dxa"/>
            <w:tcBorders>
              <w:top w:val="nil"/>
              <w:left w:val="single" w:sz="4" w:space="0" w:color="auto"/>
              <w:bottom w:val="nil"/>
              <w:right w:val="nil"/>
            </w:tcBorders>
            <w:vAlign w:val="center"/>
          </w:tcPr>
          <w:p w14:paraId="1A55D6E9"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r>
              <w:rPr>
                <w:rFonts w:ascii="Arial" w:hAnsi="Arial" w:cs="Arial"/>
                <w:bCs/>
                <w:iCs/>
              </w:rPr>
              <w:t xml:space="preserve"> </w:t>
            </w:r>
          </w:p>
        </w:tc>
        <w:tc>
          <w:tcPr>
            <w:tcW w:w="842" w:type="dxa"/>
            <w:tcBorders>
              <w:top w:val="nil"/>
              <w:left w:val="nil"/>
              <w:bottom w:val="nil"/>
              <w:right w:val="nil"/>
            </w:tcBorders>
            <w:vAlign w:val="center"/>
          </w:tcPr>
          <w:p w14:paraId="6A227286" w14:textId="77777777" w:rsidR="00DF3C38" w:rsidRDefault="00DF3C38" w:rsidP="007B67B8">
            <w:pPr>
              <w:pStyle w:val="BodyText"/>
              <w:tabs>
                <w:tab w:val="left" w:pos="-540"/>
                <w:tab w:val="left" w:pos="4860"/>
                <w:tab w:val="left" w:pos="6660"/>
                <w:tab w:val="left" w:pos="7740"/>
                <w:tab w:val="right" w:pos="8820"/>
              </w:tabs>
              <w:spacing w:before="120"/>
              <w:ind w:right="-516" w:hanging="128"/>
              <w:rPr>
                <w:rFonts w:ascii="Arial" w:hAnsi="Arial" w:cs="Arial"/>
                <w:bCs/>
                <w:iCs/>
              </w:rPr>
            </w:pPr>
            <w:r>
              <w:rPr>
                <w:rFonts w:ascii="Arial" w:hAnsi="Arial" w:cs="Arial"/>
                <w:bCs/>
                <w:iCs/>
              </w:rPr>
              <w:t xml:space="preserve">     </w:t>
            </w:r>
          </w:p>
        </w:tc>
        <w:tc>
          <w:tcPr>
            <w:tcW w:w="3523" w:type="dxa"/>
            <w:gridSpan w:val="3"/>
            <w:tcBorders>
              <w:top w:val="nil"/>
              <w:left w:val="nil"/>
              <w:bottom w:val="nil"/>
              <w:right w:val="nil"/>
            </w:tcBorders>
            <w:vAlign w:val="center"/>
          </w:tcPr>
          <w:p w14:paraId="46905C44"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
                <w:bCs/>
                <w:iCs/>
              </w:rPr>
            </w:pPr>
          </w:p>
        </w:tc>
      </w:tr>
      <w:tr w:rsidR="00DF3C38" w14:paraId="665426E1" w14:textId="77777777" w:rsidTr="00BF3655">
        <w:trPr>
          <w:cantSplit/>
          <w:trHeight w:val="300"/>
        </w:trPr>
        <w:tc>
          <w:tcPr>
            <w:tcW w:w="5592" w:type="dxa"/>
            <w:gridSpan w:val="6"/>
            <w:tcBorders>
              <w:top w:val="nil"/>
              <w:left w:val="nil"/>
              <w:bottom w:val="nil"/>
              <w:right w:val="nil"/>
            </w:tcBorders>
          </w:tcPr>
          <w:p w14:paraId="7C7FECD4" w14:textId="77777777" w:rsidR="00DF3C3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c>
          <w:tcPr>
            <w:tcW w:w="4365" w:type="dxa"/>
            <w:gridSpan w:val="4"/>
            <w:tcBorders>
              <w:top w:val="nil"/>
              <w:left w:val="nil"/>
              <w:bottom w:val="nil"/>
              <w:right w:val="nil"/>
            </w:tcBorders>
          </w:tcPr>
          <w:p w14:paraId="52AD8856" w14:textId="77777777" w:rsidR="00DF3C38" w:rsidRDefault="00DF3C38" w:rsidP="008424FD">
            <w:pPr>
              <w:pStyle w:val="BodyText"/>
              <w:tabs>
                <w:tab w:val="left" w:pos="-540"/>
                <w:tab w:val="left" w:pos="4860"/>
                <w:tab w:val="left" w:pos="6660"/>
                <w:tab w:val="left" w:pos="7740"/>
                <w:tab w:val="right" w:pos="8820"/>
              </w:tabs>
              <w:ind w:right="-516" w:hanging="128"/>
              <w:rPr>
                <w:rFonts w:ascii="Arial" w:hAnsi="Arial" w:cs="Arial"/>
                <w:bCs/>
                <w:iCs/>
                <w:sz w:val="16"/>
              </w:rPr>
            </w:pPr>
          </w:p>
        </w:tc>
      </w:tr>
      <w:tr w:rsidR="00DF3C38" w14:paraId="12099AE1" w14:textId="77777777" w:rsidTr="00BF3655">
        <w:trPr>
          <w:cantSplit/>
          <w:trHeight w:val="468"/>
        </w:trPr>
        <w:tc>
          <w:tcPr>
            <w:tcW w:w="2474" w:type="dxa"/>
            <w:tcBorders>
              <w:top w:val="nil"/>
              <w:left w:val="nil"/>
              <w:bottom w:val="nil"/>
              <w:right w:val="single" w:sz="4" w:space="0" w:color="auto"/>
            </w:tcBorders>
            <w:vAlign w:val="center"/>
          </w:tcPr>
          <w:p w14:paraId="45646532"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Consultant</w:t>
            </w:r>
          </w:p>
        </w:tc>
        <w:tc>
          <w:tcPr>
            <w:tcW w:w="2876" w:type="dxa"/>
            <w:gridSpan w:val="4"/>
            <w:tcBorders>
              <w:top w:val="single" w:sz="4" w:space="0" w:color="auto"/>
              <w:left w:val="single" w:sz="4" w:space="0" w:color="auto"/>
              <w:bottom w:val="single" w:sz="4" w:space="0" w:color="auto"/>
              <w:right w:val="nil"/>
            </w:tcBorders>
            <w:vAlign w:val="center"/>
          </w:tcPr>
          <w:p w14:paraId="378B18BD"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2" w:type="dxa"/>
            <w:tcBorders>
              <w:top w:val="nil"/>
              <w:left w:val="single" w:sz="4" w:space="0" w:color="auto"/>
              <w:bottom w:val="nil"/>
              <w:right w:val="nil"/>
            </w:tcBorders>
            <w:vAlign w:val="center"/>
          </w:tcPr>
          <w:p w14:paraId="6E40E1E0"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  </w:t>
            </w:r>
          </w:p>
        </w:tc>
        <w:tc>
          <w:tcPr>
            <w:tcW w:w="842" w:type="dxa"/>
            <w:tcBorders>
              <w:top w:val="nil"/>
              <w:left w:val="nil"/>
              <w:bottom w:val="nil"/>
              <w:right w:val="nil"/>
            </w:tcBorders>
            <w:vAlign w:val="center"/>
          </w:tcPr>
          <w:p w14:paraId="4A2638B3" w14:textId="77777777" w:rsidR="00DF3C38" w:rsidRDefault="00DF3C38" w:rsidP="008424FD">
            <w:pPr>
              <w:pStyle w:val="BodyText"/>
              <w:tabs>
                <w:tab w:val="left" w:pos="-540"/>
                <w:tab w:val="left" w:pos="4860"/>
                <w:tab w:val="left" w:pos="6660"/>
                <w:tab w:val="left" w:pos="7740"/>
                <w:tab w:val="right" w:pos="8820"/>
              </w:tabs>
              <w:spacing w:before="120"/>
              <w:ind w:right="-516" w:hanging="128"/>
              <w:rPr>
                <w:rFonts w:ascii="Arial" w:hAnsi="Arial" w:cs="Arial"/>
                <w:bCs/>
                <w:iCs/>
              </w:rPr>
            </w:pPr>
            <w:r>
              <w:rPr>
                <w:rFonts w:ascii="Arial" w:hAnsi="Arial" w:cs="Arial"/>
                <w:bCs/>
                <w:iCs/>
              </w:rPr>
              <w:t xml:space="preserve">  Email</w:t>
            </w:r>
          </w:p>
        </w:tc>
        <w:tc>
          <w:tcPr>
            <w:tcW w:w="3523" w:type="dxa"/>
            <w:gridSpan w:val="3"/>
            <w:tcBorders>
              <w:top w:val="single" w:sz="4" w:space="0" w:color="auto"/>
              <w:left w:val="single" w:sz="4" w:space="0" w:color="auto"/>
              <w:bottom w:val="single" w:sz="4" w:space="0" w:color="auto"/>
              <w:right w:val="single" w:sz="4" w:space="0" w:color="auto"/>
            </w:tcBorders>
            <w:vAlign w:val="center"/>
          </w:tcPr>
          <w:p w14:paraId="3759FB47"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
                <w:bCs/>
                <w:iCs/>
              </w:rPr>
            </w:pPr>
          </w:p>
        </w:tc>
      </w:tr>
      <w:tr w:rsidR="00DF3C38" w14:paraId="038EA9FC" w14:textId="77777777" w:rsidTr="00BF3655">
        <w:trPr>
          <w:cantSplit/>
          <w:trHeight w:val="287"/>
        </w:trPr>
        <w:tc>
          <w:tcPr>
            <w:tcW w:w="9957" w:type="dxa"/>
            <w:gridSpan w:val="10"/>
            <w:tcBorders>
              <w:top w:val="nil"/>
              <w:left w:val="nil"/>
              <w:bottom w:val="nil"/>
              <w:right w:val="nil"/>
            </w:tcBorders>
          </w:tcPr>
          <w:p w14:paraId="1587532D" w14:textId="77777777" w:rsidR="00DF3C3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r>
      <w:tr w:rsidR="00DF3C38" w14:paraId="1C87CE28" w14:textId="77777777" w:rsidTr="00BF3655">
        <w:trPr>
          <w:cantSplit/>
          <w:trHeight w:val="403"/>
        </w:trPr>
        <w:tc>
          <w:tcPr>
            <w:tcW w:w="2474" w:type="dxa"/>
            <w:tcBorders>
              <w:top w:val="nil"/>
              <w:left w:val="nil"/>
              <w:bottom w:val="nil"/>
              <w:right w:val="single" w:sz="4" w:space="0" w:color="auto"/>
            </w:tcBorders>
            <w:vAlign w:val="center"/>
          </w:tcPr>
          <w:p w14:paraId="131BEAB6" w14:textId="77777777" w:rsidR="00DF3C38" w:rsidRPr="007B487A"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Indication for prescription</w:t>
            </w:r>
          </w:p>
        </w:tc>
        <w:tc>
          <w:tcPr>
            <w:tcW w:w="7483" w:type="dxa"/>
            <w:gridSpan w:val="9"/>
            <w:tcBorders>
              <w:top w:val="single" w:sz="4" w:space="0" w:color="auto"/>
              <w:left w:val="nil"/>
              <w:bottom w:val="single" w:sz="4" w:space="0" w:color="auto"/>
              <w:right w:val="single" w:sz="4" w:space="0" w:color="auto"/>
            </w:tcBorders>
            <w:vAlign w:val="center"/>
          </w:tcPr>
          <w:p w14:paraId="31080A81"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167E3DEC" w14:textId="77777777" w:rsidTr="00BF3655">
        <w:trPr>
          <w:cantSplit/>
          <w:trHeight w:val="300"/>
        </w:trPr>
        <w:tc>
          <w:tcPr>
            <w:tcW w:w="9957" w:type="dxa"/>
            <w:gridSpan w:val="10"/>
            <w:tcBorders>
              <w:top w:val="nil"/>
              <w:left w:val="nil"/>
              <w:bottom w:val="nil"/>
              <w:right w:val="nil"/>
            </w:tcBorders>
          </w:tcPr>
          <w:p w14:paraId="20FC9F76"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14:paraId="751F78D3" w14:textId="77777777" w:rsidTr="00BF3655">
        <w:trPr>
          <w:cantSplit/>
          <w:trHeight w:val="403"/>
        </w:trPr>
        <w:tc>
          <w:tcPr>
            <w:tcW w:w="2474" w:type="dxa"/>
            <w:tcBorders>
              <w:top w:val="nil"/>
              <w:left w:val="nil"/>
              <w:bottom w:val="nil"/>
              <w:right w:val="single" w:sz="4" w:space="0" w:color="auto"/>
            </w:tcBorders>
            <w:vAlign w:val="center"/>
          </w:tcPr>
          <w:p w14:paraId="041A483A" w14:textId="77777777" w:rsidR="00DF3C38" w:rsidRPr="007B487A"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Drug prescribed</w:t>
            </w:r>
          </w:p>
        </w:tc>
        <w:tc>
          <w:tcPr>
            <w:tcW w:w="7483" w:type="dxa"/>
            <w:gridSpan w:val="9"/>
            <w:tcBorders>
              <w:top w:val="single" w:sz="4" w:space="0" w:color="auto"/>
              <w:left w:val="nil"/>
              <w:bottom w:val="single" w:sz="4" w:space="0" w:color="auto"/>
              <w:right w:val="single" w:sz="4" w:space="0" w:color="auto"/>
            </w:tcBorders>
            <w:vAlign w:val="center"/>
          </w:tcPr>
          <w:p w14:paraId="7F51831A"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5066E0DC" w14:textId="77777777" w:rsidTr="00BF3655">
        <w:trPr>
          <w:cantSplit/>
          <w:trHeight w:val="300"/>
        </w:trPr>
        <w:tc>
          <w:tcPr>
            <w:tcW w:w="9957" w:type="dxa"/>
            <w:gridSpan w:val="10"/>
            <w:tcBorders>
              <w:top w:val="nil"/>
              <w:left w:val="nil"/>
              <w:bottom w:val="nil"/>
              <w:right w:val="nil"/>
            </w:tcBorders>
          </w:tcPr>
          <w:p w14:paraId="536B2492"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14:paraId="384D314A" w14:textId="77777777" w:rsidTr="00BF3655">
        <w:trPr>
          <w:cantSplit/>
          <w:trHeight w:val="462"/>
        </w:trPr>
        <w:tc>
          <w:tcPr>
            <w:tcW w:w="4074" w:type="dxa"/>
            <w:gridSpan w:val="2"/>
            <w:tcBorders>
              <w:top w:val="nil"/>
              <w:left w:val="nil"/>
              <w:bottom w:val="nil"/>
              <w:right w:val="single" w:sz="4" w:space="0" w:color="auto"/>
            </w:tcBorders>
          </w:tcPr>
          <w:p w14:paraId="15CD4060" w14:textId="77777777" w:rsidR="00DF3C38" w:rsidRDefault="00DF3C38" w:rsidP="00D831A5">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Date                                     Drug started</w:t>
            </w:r>
          </w:p>
        </w:tc>
        <w:tc>
          <w:tcPr>
            <w:tcW w:w="1019" w:type="dxa"/>
            <w:gridSpan w:val="2"/>
            <w:tcBorders>
              <w:top w:val="single" w:sz="4" w:space="0" w:color="auto"/>
              <w:left w:val="nil"/>
              <w:bottom w:val="single" w:sz="4" w:space="0" w:color="auto"/>
              <w:right w:val="single" w:sz="4" w:space="0" w:color="auto"/>
            </w:tcBorders>
          </w:tcPr>
          <w:p w14:paraId="7E2B5E4A"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75" w:type="dxa"/>
            <w:gridSpan w:val="4"/>
            <w:tcBorders>
              <w:top w:val="nil"/>
              <w:left w:val="nil"/>
              <w:bottom w:val="nil"/>
              <w:right w:val="single" w:sz="4" w:space="0" w:color="auto"/>
            </w:tcBorders>
          </w:tcPr>
          <w:p w14:paraId="60CD3EA8" w14:textId="77777777" w:rsidR="00DF3C38" w:rsidRDefault="00DF3C38" w:rsidP="00D831A5">
            <w:pPr>
              <w:pStyle w:val="BodyText"/>
              <w:tabs>
                <w:tab w:val="left" w:pos="-540"/>
                <w:tab w:val="left" w:pos="4860"/>
                <w:tab w:val="left" w:pos="6660"/>
                <w:tab w:val="left" w:pos="7740"/>
                <w:tab w:val="right" w:pos="8820"/>
              </w:tabs>
              <w:spacing w:before="120"/>
              <w:ind w:right="-516"/>
              <w:rPr>
                <w:rFonts w:ascii="Arial" w:hAnsi="Arial" w:cs="Arial"/>
                <w:bCs/>
                <w:iCs/>
              </w:rPr>
            </w:pPr>
            <w:r>
              <w:rPr>
                <w:rFonts w:ascii="Arial" w:hAnsi="Arial" w:cs="Arial"/>
                <w:bCs/>
                <w:iCs/>
              </w:rPr>
              <w:t xml:space="preserve">              Current dose</w:t>
            </w:r>
          </w:p>
        </w:tc>
        <w:tc>
          <w:tcPr>
            <w:tcW w:w="875" w:type="dxa"/>
            <w:tcBorders>
              <w:top w:val="single" w:sz="4" w:space="0" w:color="auto"/>
              <w:left w:val="single" w:sz="4" w:space="0" w:color="auto"/>
              <w:bottom w:val="single" w:sz="4" w:space="0" w:color="auto"/>
              <w:right w:val="single" w:sz="4" w:space="0" w:color="auto"/>
            </w:tcBorders>
          </w:tcPr>
          <w:p w14:paraId="3CE9A3F3"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1514" w:type="dxa"/>
            <w:tcBorders>
              <w:top w:val="nil"/>
              <w:left w:val="single" w:sz="4" w:space="0" w:color="auto"/>
              <w:bottom w:val="nil"/>
              <w:right w:val="nil"/>
            </w:tcBorders>
          </w:tcPr>
          <w:p w14:paraId="6A4370D9"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3F912768" w14:textId="77777777" w:rsidTr="00BF3655">
        <w:trPr>
          <w:cantSplit/>
          <w:trHeight w:val="300"/>
        </w:trPr>
        <w:tc>
          <w:tcPr>
            <w:tcW w:w="9957" w:type="dxa"/>
            <w:gridSpan w:val="10"/>
            <w:tcBorders>
              <w:top w:val="nil"/>
              <w:left w:val="nil"/>
              <w:bottom w:val="nil"/>
              <w:right w:val="nil"/>
            </w:tcBorders>
          </w:tcPr>
          <w:p w14:paraId="0468B269" w14:textId="77777777" w:rsidR="00DF3C3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r>
      <w:tr w:rsidR="00DF3C38" w14:paraId="60ED9903" w14:textId="77777777" w:rsidTr="00BF3655">
        <w:trPr>
          <w:cantSplit/>
          <w:trHeight w:val="468"/>
        </w:trPr>
        <w:tc>
          <w:tcPr>
            <w:tcW w:w="2474" w:type="dxa"/>
            <w:tcBorders>
              <w:top w:val="nil"/>
              <w:left w:val="nil"/>
              <w:bottom w:val="nil"/>
              <w:right w:val="single" w:sz="4" w:space="0" w:color="auto"/>
            </w:tcBorders>
          </w:tcPr>
          <w:p w14:paraId="3EA1A2A3"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Relevant conditions </w:t>
            </w:r>
          </w:p>
        </w:tc>
        <w:tc>
          <w:tcPr>
            <w:tcW w:w="7483" w:type="dxa"/>
            <w:gridSpan w:val="9"/>
            <w:tcBorders>
              <w:top w:val="single" w:sz="4" w:space="0" w:color="auto"/>
              <w:left w:val="single" w:sz="4" w:space="0" w:color="auto"/>
              <w:bottom w:val="single" w:sz="4" w:space="0" w:color="auto"/>
              <w:right w:val="single" w:sz="4" w:space="0" w:color="auto"/>
            </w:tcBorders>
          </w:tcPr>
          <w:p w14:paraId="59E92998"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181387FE" w14:textId="77777777" w:rsidTr="00BF3655">
        <w:trPr>
          <w:cantSplit/>
          <w:trHeight w:val="300"/>
        </w:trPr>
        <w:tc>
          <w:tcPr>
            <w:tcW w:w="9957" w:type="dxa"/>
            <w:gridSpan w:val="10"/>
            <w:tcBorders>
              <w:top w:val="nil"/>
              <w:left w:val="nil"/>
              <w:bottom w:val="nil"/>
              <w:right w:val="nil"/>
            </w:tcBorders>
          </w:tcPr>
          <w:p w14:paraId="1613FE68"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14:paraId="01F6343A" w14:textId="77777777" w:rsidTr="00BF3655">
        <w:trPr>
          <w:cantSplit/>
          <w:trHeight w:val="468"/>
        </w:trPr>
        <w:tc>
          <w:tcPr>
            <w:tcW w:w="2474" w:type="dxa"/>
            <w:tcBorders>
              <w:top w:val="nil"/>
              <w:left w:val="nil"/>
              <w:bottom w:val="nil"/>
              <w:right w:val="single" w:sz="4" w:space="0" w:color="auto"/>
            </w:tcBorders>
          </w:tcPr>
          <w:p w14:paraId="4054D531"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Monitoring variations</w:t>
            </w:r>
          </w:p>
        </w:tc>
        <w:tc>
          <w:tcPr>
            <w:tcW w:w="7483" w:type="dxa"/>
            <w:gridSpan w:val="9"/>
            <w:tcBorders>
              <w:top w:val="single" w:sz="4" w:space="0" w:color="auto"/>
              <w:left w:val="single" w:sz="4" w:space="0" w:color="auto"/>
              <w:bottom w:val="single" w:sz="4" w:space="0" w:color="auto"/>
              <w:right w:val="single" w:sz="4" w:space="0" w:color="auto"/>
            </w:tcBorders>
          </w:tcPr>
          <w:p w14:paraId="1183A24E"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36C8B32F" w14:textId="77777777" w:rsidTr="00BF3655">
        <w:trPr>
          <w:cantSplit/>
          <w:trHeight w:val="300"/>
        </w:trPr>
        <w:tc>
          <w:tcPr>
            <w:tcW w:w="9957" w:type="dxa"/>
            <w:gridSpan w:val="10"/>
            <w:tcBorders>
              <w:top w:val="nil"/>
              <w:left w:val="nil"/>
              <w:bottom w:val="nil"/>
              <w:right w:val="nil"/>
            </w:tcBorders>
          </w:tcPr>
          <w:p w14:paraId="5D3E36C9" w14:textId="77777777" w:rsidR="00DF3C38" w:rsidRDefault="00DF3C38" w:rsidP="008424FD">
            <w:pPr>
              <w:pStyle w:val="BodyText"/>
              <w:tabs>
                <w:tab w:val="left" w:pos="-540"/>
                <w:tab w:val="left" w:pos="5112"/>
                <w:tab w:val="left" w:pos="6660"/>
                <w:tab w:val="left" w:pos="7740"/>
                <w:tab w:val="right" w:pos="8820"/>
              </w:tabs>
              <w:ind w:right="-516" w:hanging="108"/>
              <w:rPr>
                <w:rFonts w:ascii="Arial" w:hAnsi="Arial" w:cs="Arial"/>
                <w:bCs/>
                <w:iCs/>
                <w:sz w:val="16"/>
              </w:rPr>
            </w:pPr>
          </w:p>
        </w:tc>
      </w:tr>
      <w:tr w:rsidR="00DF3C38" w14:paraId="3F8E7A64" w14:textId="77777777" w:rsidTr="00BF3655">
        <w:trPr>
          <w:cantSplit/>
          <w:trHeight w:val="468"/>
        </w:trPr>
        <w:tc>
          <w:tcPr>
            <w:tcW w:w="2474" w:type="dxa"/>
            <w:tcBorders>
              <w:top w:val="nil"/>
              <w:left w:val="nil"/>
              <w:bottom w:val="nil"/>
              <w:right w:val="single" w:sz="4" w:space="0" w:color="auto"/>
            </w:tcBorders>
          </w:tcPr>
          <w:p w14:paraId="4C8EEDB6" w14:textId="77777777" w:rsidR="00DF3C38" w:rsidRDefault="00DF3C38" w:rsidP="008424FD">
            <w:pPr>
              <w:pStyle w:val="BodyText"/>
              <w:tabs>
                <w:tab w:val="left" w:pos="-540"/>
                <w:tab w:val="left" w:pos="5112"/>
                <w:tab w:val="left" w:pos="6660"/>
                <w:tab w:val="left" w:pos="7740"/>
                <w:tab w:val="right" w:pos="8820"/>
              </w:tabs>
              <w:spacing w:before="120"/>
              <w:ind w:right="-516" w:hanging="108"/>
              <w:rPr>
                <w:rFonts w:ascii="Arial" w:hAnsi="Arial" w:cs="Arial"/>
                <w:bCs/>
                <w:iCs/>
              </w:rPr>
            </w:pPr>
            <w:r>
              <w:rPr>
                <w:rFonts w:ascii="Arial" w:hAnsi="Arial" w:cs="Arial"/>
                <w:bCs/>
                <w:iCs/>
              </w:rPr>
              <w:t xml:space="preserve">Date next blood test </w:t>
            </w:r>
          </w:p>
        </w:tc>
        <w:tc>
          <w:tcPr>
            <w:tcW w:w="1980" w:type="dxa"/>
            <w:gridSpan w:val="2"/>
            <w:tcBorders>
              <w:top w:val="single" w:sz="4" w:space="0" w:color="auto"/>
              <w:left w:val="single" w:sz="4" w:space="0" w:color="auto"/>
              <w:bottom w:val="single" w:sz="4" w:space="0" w:color="auto"/>
              <w:right w:val="nil"/>
            </w:tcBorders>
          </w:tcPr>
          <w:p w14:paraId="22423E94" w14:textId="77777777" w:rsidR="00DF3C38" w:rsidRDefault="00DF3C38" w:rsidP="008424FD">
            <w:pPr>
              <w:pStyle w:val="BodyText"/>
              <w:tabs>
                <w:tab w:val="left" w:pos="-540"/>
                <w:tab w:val="left" w:pos="5112"/>
                <w:tab w:val="left" w:pos="6660"/>
                <w:tab w:val="left" w:pos="7740"/>
                <w:tab w:val="right" w:pos="8820"/>
              </w:tabs>
              <w:spacing w:before="120"/>
              <w:ind w:right="-516"/>
              <w:rPr>
                <w:rFonts w:ascii="Arial" w:hAnsi="Arial" w:cs="Arial"/>
                <w:bCs/>
                <w:iCs/>
              </w:rPr>
            </w:pPr>
          </w:p>
        </w:tc>
        <w:tc>
          <w:tcPr>
            <w:tcW w:w="3114" w:type="dxa"/>
            <w:gridSpan w:val="5"/>
            <w:tcBorders>
              <w:top w:val="nil"/>
              <w:left w:val="single" w:sz="4" w:space="0" w:color="auto"/>
              <w:bottom w:val="nil"/>
              <w:right w:val="single" w:sz="4" w:space="0" w:color="auto"/>
            </w:tcBorders>
          </w:tcPr>
          <w:p w14:paraId="626776F9" w14:textId="77777777" w:rsidR="00DF3C38" w:rsidRDefault="00DF3C38" w:rsidP="008424FD">
            <w:pPr>
              <w:pStyle w:val="BodyText"/>
              <w:tabs>
                <w:tab w:val="left" w:pos="-540"/>
                <w:tab w:val="left" w:pos="5112"/>
                <w:tab w:val="left" w:pos="6660"/>
                <w:tab w:val="left" w:pos="7740"/>
                <w:tab w:val="right" w:pos="8820"/>
              </w:tabs>
              <w:spacing w:before="120"/>
              <w:ind w:right="-516" w:hanging="149"/>
              <w:rPr>
                <w:rFonts w:ascii="Arial" w:hAnsi="Arial" w:cs="Arial"/>
                <w:bCs/>
                <w:iCs/>
              </w:rPr>
            </w:pPr>
            <w:r>
              <w:rPr>
                <w:rFonts w:ascii="Arial" w:hAnsi="Arial" w:cs="Arial"/>
                <w:bCs/>
                <w:iCs/>
              </w:rPr>
              <w:t xml:space="preserve">      Next disease review due in </w:t>
            </w:r>
          </w:p>
        </w:tc>
        <w:tc>
          <w:tcPr>
            <w:tcW w:w="875" w:type="dxa"/>
            <w:tcBorders>
              <w:top w:val="single" w:sz="4" w:space="0" w:color="auto"/>
              <w:left w:val="single" w:sz="4" w:space="0" w:color="auto"/>
              <w:bottom w:val="single" w:sz="4" w:space="0" w:color="auto"/>
              <w:right w:val="single" w:sz="4" w:space="0" w:color="auto"/>
            </w:tcBorders>
          </w:tcPr>
          <w:p w14:paraId="364C2C0A" w14:textId="77777777" w:rsidR="00DF3C38" w:rsidRDefault="00DF3C38" w:rsidP="008424FD">
            <w:pPr>
              <w:pStyle w:val="BodyText"/>
              <w:tabs>
                <w:tab w:val="left" w:pos="-540"/>
                <w:tab w:val="left" w:pos="5112"/>
                <w:tab w:val="left" w:pos="6660"/>
                <w:tab w:val="left" w:pos="7740"/>
                <w:tab w:val="right" w:pos="8820"/>
              </w:tabs>
              <w:spacing w:before="120"/>
              <w:ind w:right="-516"/>
              <w:rPr>
                <w:rFonts w:ascii="Arial" w:hAnsi="Arial" w:cs="Arial"/>
                <w:bCs/>
                <w:iCs/>
              </w:rPr>
            </w:pPr>
          </w:p>
        </w:tc>
        <w:tc>
          <w:tcPr>
            <w:tcW w:w="1514" w:type="dxa"/>
            <w:tcBorders>
              <w:top w:val="nil"/>
              <w:left w:val="single" w:sz="4" w:space="0" w:color="auto"/>
              <w:bottom w:val="nil"/>
              <w:right w:val="nil"/>
            </w:tcBorders>
          </w:tcPr>
          <w:p w14:paraId="23423F98" w14:textId="77777777" w:rsidR="00DF3C38" w:rsidRDefault="00DF3C38" w:rsidP="00BF3655">
            <w:pPr>
              <w:pStyle w:val="BodyText"/>
              <w:tabs>
                <w:tab w:val="left" w:pos="0"/>
                <w:tab w:val="left" w:pos="5112"/>
                <w:tab w:val="left" w:pos="6660"/>
                <w:tab w:val="left" w:pos="7740"/>
                <w:tab w:val="right" w:pos="8820"/>
              </w:tabs>
              <w:spacing w:before="120"/>
              <w:ind w:right="-105"/>
              <w:rPr>
                <w:rFonts w:ascii="Arial" w:hAnsi="Arial" w:cs="Arial"/>
                <w:bCs/>
                <w:iCs/>
              </w:rPr>
            </w:pPr>
            <w:r>
              <w:rPr>
                <w:rFonts w:ascii="Arial" w:hAnsi="Arial" w:cs="Arial"/>
                <w:bCs/>
                <w:iCs/>
              </w:rPr>
              <w:t>months’ time.</w:t>
            </w:r>
          </w:p>
        </w:tc>
      </w:tr>
      <w:tr w:rsidR="00DF3C38" w14:paraId="34EEF3C2" w14:textId="77777777" w:rsidTr="00BF3655">
        <w:trPr>
          <w:cantSplit/>
          <w:trHeight w:val="300"/>
        </w:trPr>
        <w:tc>
          <w:tcPr>
            <w:tcW w:w="9957" w:type="dxa"/>
            <w:gridSpan w:val="10"/>
            <w:tcBorders>
              <w:top w:val="nil"/>
              <w:left w:val="nil"/>
              <w:bottom w:val="nil"/>
              <w:right w:val="nil"/>
            </w:tcBorders>
          </w:tcPr>
          <w:p w14:paraId="57FA35CE" w14:textId="77777777" w:rsidR="00DF3C38" w:rsidRDefault="00DF3C38" w:rsidP="008424FD">
            <w:pPr>
              <w:pStyle w:val="BodyText"/>
              <w:tabs>
                <w:tab w:val="left" w:pos="-540"/>
                <w:tab w:val="left" w:pos="5112"/>
                <w:tab w:val="left" w:pos="6660"/>
                <w:tab w:val="left" w:pos="7740"/>
                <w:tab w:val="right" w:pos="8820"/>
              </w:tabs>
              <w:ind w:right="-516"/>
              <w:rPr>
                <w:rFonts w:ascii="Arial" w:hAnsi="Arial" w:cs="Arial"/>
                <w:bCs/>
                <w:iCs/>
                <w:sz w:val="16"/>
              </w:rPr>
            </w:pPr>
          </w:p>
        </w:tc>
      </w:tr>
    </w:tbl>
    <w:p w14:paraId="4E0A1DBC" w14:textId="77777777" w:rsidR="00DF3C38" w:rsidRDefault="00DF3C38">
      <w:pPr>
        <w:spacing w:after="200" w:line="276" w:lineRule="auto"/>
        <w:rPr>
          <w:rFonts w:eastAsiaTheme="minorHAnsi" w:cs="Calibri"/>
          <w:sz w:val="22"/>
          <w:szCs w:val="22"/>
        </w:rPr>
      </w:pPr>
      <w:r>
        <w:rPr>
          <w:rFonts w:eastAsiaTheme="minorHAnsi" w:cs="Calibri"/>
          <w:sz w:val="22"/>
          <w:szCs w:val="22"/>
        </w:rPr>
        <w:br w:type="page"/>
      </w:r>
    </w:p>
    <w:tbl>
      <w:tblPr>
        <w:tblW w:w="103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1422"/>
        <w:gridCol w:w="2546"/>
        <w:gridCol w:w="242"/>
        <w:gridCol w:w="4373"/>
      </w:tblGrid>
      <w:tr w:rsidR="00DF3C38" w14:paraId="366049DC" w14:textId="77777777" w:rsidTr="008424FD">
        <w:trPr>
          <w:cantSplit/>
          <w:trHeight w:val="789"/>
        </w:trPr>
        <w:tc>
          <w:tcPr>
            <w:tcW w:w="10363" w:type="dxa"/>
            <w:gridSpan w:val="5"/>
            <w:tcBorders>
              <w:top w:val="nil"/>
              <w:left w:val="nil"/>
              <w:bottom w:val="nil"/>
              <w:right w:val="nil"/>
            </w:tcBorders>
          </w:tcPr>
          <w:p w14:paraId="7523A157" w14:textId="77777777" w:rsidR="00DF3C38" w:rsidRDefault="00DF3C38" w:rsidP="008424FD">
            <w:pPr>
              <w:pStyle w:val="BodyText"/>
              <w:tabs>
                <w:tab w:val="left" w:pos="-540"/>
                <w:tab w:val="left" w:pos="4860"/>
                <w:tab w:val="left" w:pos="6660"/>
                <w:tab w:val="left" w:pos="7740"/>
                <w:tab w:val="right" w:pos="8820"/>
              </w:tabs>
              <w:spacing w:before="240"/>
              <w:ind w:left="-108" w:right="-516"/>
              <w:rPr>
                <w:rFonts w:ascii="Arial" w:hAnsi="Arial" w:cs="Arial"/>
                <w:bCs/>
                <w:iCs/>
              </w:rPr>
            </w:pPr>
            <w:r>
              <w:rPr>
                <w:rFonts w:ascii="Arial" w:hAnsi="Arial" w:cs="Arial"/>
                <w:b/>
                <w:iCs/>
              </w:rPr>
              <w:lastRenderedPageBreak/>
              <w:t xml:space="preserve">Section B: [Accept Shared Care] to be completed by practice </w:t>
            </w:r>
            <w:r>
              <w:rPr>
                <w:rFonts w:ascii="Arial" w:hAnsi="Arial" w:cs="Arial"/>
                <w:bCs/>
                <w:i/>
              </w:rPr>
              <w:t xml:space="preserve">Send back </w:t>
            </w:r>
            <w:r>
              <w:rPr>
                <w:rFonts w:ascii="Arial" w:hAnsi="Arial" w:cs="Arial"/>
                <w:b/>
                <w:i/>
              </w:rPr>
              <w:t>FAO referring consultant</w:t>
            </w:r>
            <w:r>
              <w:rPr>
                <w:rFonts w:ascii="Arial" w:hAnsi="Arial" w:cs="Arial"/>
                <w:bCs/>
                <w:i/>
              </w:rPr>
              <w:t xml:space="preserve"> </w:t>
            </w:r>
            <w:proofErr w:type="gramStart"/>
            <w:r>
              <w:rPr>
                <w:rFonts w:ascii="Arial" w:hAnsi="Arial" w:cs="Arial"/>
                <w:bCs/>
                <w:i/>
              </w:rPr>
              <w:t>above</w:t>
            </w:r>
            <w:proofErr w:type="gramEnd"/>
          </w:p>
          <w:p w14:paraId="72F183F5" w14:textId="77777777" w:rsidR="00DF3C38" w:rsidRDefault="00DF3C38" w:rsidP="008424FD">
            <w:pPr>
              <w:pStyle w:val="BodyText"/>
              <w:tabs>
                <w:tab w:val="left" w:pos="-540"/>
                <w:tab w:val="left" w:pos="4860"/>
                <w:tab w:val="left" w:pos="6660"/>
                <w:tab w:val="left" w:pos="7740"/>
                <w:tab w:val="right" w:pos="8820"/>
              </w:tabs>
              <w:spacing w:before="120" w:after="240"/>
              <w:ind w:right="-516" w:hanging="108"/>
              <w:rPr>
                <w:rFonts w:ascii="Arial" w:hAnsi="Arial" w:cs="Arial"/>
                <w:b/>
                <w:iCs/>
              </w:rPr>
            </w:pPr>
            <w:r>
              <w:rPr>
                <w:rFonts w:ascii="Arial" w:hAnsi="Arial" w:cs="Arial"/>
                <w:bCs/>
                <w:iCs/>
              </w:rPr>
              <w:t>The above patient has been accepted into our monitoring service.</w:t>
            </w:r>
          </w:p>
        </w:tc>
      </w:tr>
      <w:tr w:rsidR="00DF3C38" w14:paraId="2A6EF6DE" w14:textId="77777777" w:rsidTr="008424FD">
        <w:trPr>
          <w:cantSplit/>
          <w:trHeight w:val="468"/>
        </w:trPr>
        <w:tc>
          <w:tcPr>
            <w:tcW w:w="3202" w:type="dxa"/>
            <w:gridSpan w:val="2"/>
            <w:tcBorders>
              <w:top w:val="nil"/>
              <w:left w:val="nil"/>
              <w:bottom w:val="nil"/>
              <w:right w:val="single" w:sz="4" w:space="0" w:color="auto"/>
            </w:tcBorders>
          </w:tcPr>
          <w:p w14:paraId="26FE6081"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Practice date for next blood test</w:t>
            </w:r>
          </w:p>
        </w:tc>
        <w:tc>
          <w:tcPr>
            <w:tcW w:w="2546" w:type="dxa"/>
            <w:tcBorders>
              <w:top w:val="single" w:sz="4" w:space="0" w:color="auto"/>
              <w:left w:val="single" w:sz="4" w:space="0" w:color="auto"/>
              <w:bottom w:val="single" w:sz="4" w:space="0" w:color="auto"/>
              <w:right w:val="single" w:sz="4" w:space="0" w:color="auto"/>
            </w:tcBorders>
          </w:tcPr>
          <w:p w14:paraId="07C8F7B4"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2" w:type="dxa"/>
            <w:tcBorders>
              <w:top w:val="nil"/>
              <w:left w:val="single" w:sz="4" w:space="0" w:color="auto"/>
              <w:bottom w:val="nil"/>
              <w:right w:val="nil"/>
            </w:tcBorders>
          </w:tcPr>
          <w:p w14:paraId="43D368C4"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73" w:type="dxa"/>
            <w:vMerge w:val="restart"/>
            <w:tcBorders>
              <w:top w:val="single" w:sz="4" w:space="0" w:color="auto"/>
              <w:left w:val="single" w:sz="4" w:space="0" w:color="auto"/>
              <w:bottom w:val="single" w:sz="4" w:space="0" w:color="auto"/>
              <w:right w:val="single" w:sz="4" w:space="0" w:color="auto"/>
            </w:tcBorders>
          </w:tcPr>
          <w:p w14:paraId="2066FFC5" w14:textId="77777777" w:rsidR="00DF3C38" w:rsidRDefault="00DF3C38" w:rsidP="007B67B8">
            <w:pPr>
              <w:pStyle w:val="BodyText"/>
              <w:tabs>
                <w:tab w:val="left" w:pos="-540"/>
                <w:tab w:val="left" w:pos="4860"/>
                <w:tab w:val="left" w:pos="6660"/>
                <w:tab w:val="left" w:pos="7740"/>
                <w:tab w:val="right" w:pos="8820"/>
              </w:tabs>
              <w:spacing w:before="120"/>
              <w:ind w:right="-516"/>
              <w:rPr>
                <w:rFonts w:ascii="Arial" w:hAnsi="Arial" w:cs="Arial"/>
                <w:bCs/>
                <w:iCs/>
              </w:rPr>
            </w:pPr>
            <w:r>
              <w:rPr>
                <w:rFonts w:ascii="Arial" w:hAnsi="Arial" w:cs="Arial"/>
                <w:bCs/>
                <w:iCs/>
              </w:rPr>
              <w:t xml:space="preserve">Practice stamp </w:t>
            </w:r>
          </w:p>
        </w:tc>
      </w:tr>
      <w:tr w:rsidR="00DF3C38" w14:paraId="332E6EA7" w14:textId="77777777" w:rsidTr="008424FD">
        <w:trPr>
          <w:cantSplit/>
          <w:trHeight w:val="300"/>
        </w:trPr>
        <w:tc>
          <w:tcPr>
            <w:tcW w:w="5748" w:type="dxa"/>
            <w:gridSpan w:val="3"/>
            <w:tcBorders>
              <w:top w:val="nil"/>
              <w:left w:val="nil"/>
              <w:bottom w:val="nil"/>
              <w:right w:val="nil"/>
            </w:tcBorders>
          </w:tcPr>
          <w:p w14:paraId="7E01755E"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242" w:type="dxa"/>
            <w:tcBorders>
              <w:top w:val="nil"/>
              <w:left w:val="nil"/>
              <w:bottom w:val="nil"/>
              <w:right w:val="nil"/>
            </w:tcBorders>
          </w:tcPr>
          <w:p w14:paraId="1900855F"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73" w:type="dxa"/>
            <w:vMerge/>
            <w:tcBorders>
              <w:left w:val="single" w:sz="4" w:space="0" w:color="auto"/>
              <w:bottom w:val="single" w:sz="4" w:space="0" w:color="auto"/>
              <w:right w:val="single" w:sz="4" w:space="0" w:color="auto"/>
            </w:tcBorders>
          </w:tcPr>
          <w:p w14:paraId="4409487B"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14:paraId="1F602179" w14:textId="77777777" w:rsidTr="008424FD">
        <w:trPr>
          <w:cantSplit/>
          <w:trHeight w:val="468"/>
        </w:trPr>
        <w:tc>
          <w:tcPr>
            <w:tcW w:w="1780" w:type="dxa"/>
            <w:tcBorders>
              <w:top w:val="nil"/>
              <w:left w:val="nil"/>
              <w:bottom w:val="nil"/>
              <w:right w:val="single" w:sz="4" w:space="0" w:color="auto"/>
            </w:tcBorders>
          </w:tcPr>
          <w:p w14:paraId="1757B996" w14:textId="77777777" w:rsidR="00DF3C38"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Signed /</w:t>
            </w:r>
          </w:p>
          <w:p w14:paraId="1B777CD2"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Designation</w:t>
            </w:r>
          </w:p>
        </w:tc>
        <w:tc>
          <w:tcPr>
            <w:tcW w:w="3968" w:type="dxa"/>
            <w:gridSpan w:val="2"/>
            <w:tcBorders>
              <w:top w:val="single" w:sz="4" w:space="0" w:color="auto"/>
              <w:left w:val="single" w:sz="4" w:space="0" w:color="auto"/>
              <w:bottom w:val="single" w:sz="4" w:space="0" w:color="auto"/>
              <w:right w:val="single" w:sz="4" w:space="0" w:color="auto"/>
            </w:tcBorders>
          </w:tcPr>
          <w:p w14:paraId="51FC4926"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2" w:type="dxa"/>
            <w:tcBorders>
              <w:top w:val="nil"/>
              <w:left w:val="single" w:sz="4" w:space="0" w:color="auto"/>
              <w:bottom w:val="nil"/>
              <w:right w:val="nil"/>
            </w:tcBorders>
          </w:tcPr>
          <w:p w14:paraId="568F0DDF"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73" w:type="dxa"/>
            <w:vMerge/>
            <w:tcBorders>
              <w:left w:val="single" w:sz="4" w:space="0" w:color="auto"/>
              <w:bottom w:val="single" w:sz="4" w:space="0" w:color="auto"/>
              <w:right w:val="single" w:sz="4" w:space="0" w:color="auto"/>
            </w:tcBorders>
          </w:tcPr>
          <w:p w14:paraId="49140066"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52FF3DAC" w14:textId="77777777" w:rsidTr="008424FD">
        <w:trPr>
          <w:cantSplit/>
          <w:trHeight w:val="71"/>
        </w:trPr>
        <w:tc>
          <w:tcPr>
            <w:tcW w:w="5748" w:type="dxa"/>
            <w:gridSpan w:val="3"/>
            <w:tcBorders>
              <w:top w:val="nil"/>
              <w:left w:val="nil"/>
              <w:bottom w:val="nil"/>
              <w:right w:val="nil"/>
            </w:tcBorders>
          </w:tcPr>
          <w:p w14:paraId="45F0DF52"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rPr>
            </w:pPr>
            <w:r>
              <w:rPr>
                <w:rFonts w:ascii="Arial" w:hAnsi="Arial" w:cs="Arial"/>
                <w:bCs/>
                <w:iCs/>
                <w:noProof/>
                <w:lang w:eastAsia="en-GB"/>
              </w:rPr>
              <mc:AlternateContent>
                <mc:Choice Requires="wps">
                  <w:drawing>
                    <wp:anchor distT="0" distB="0" distL="114300" distR="114300" simplePos="0" relativeHeight="251659264" behindDoc="0" locked="0" layoutInCell="1" allowOverlap="1" wp14:anchorId="33345C18" wp14:editId="7ABDC89A">
                      <wp:simplePos x="0" y="0"/>
                      <wp:positionH relativeFrom="column">
                        <wp:posOffset>1068705</wp:posOffset>
                      </wp:positionH>
                      <wp:positionV relativeFrom="paragraph">
                        <wp:posOffset>146846</wp:posOffset>
                      </wp:positionV>
                      <wp:extent cx="2504364" cy="259308"/>
                      <wp:effectExtent l="0" t="0" r="10795" b="26670"/>
                      <wp:wrapNone/>
                      <wp:docPr id="3" name="Rectangle 3"/>
                      <wp:cNvGraphicFramePr/>
                      <a:graphic xmlns:a="http://schemas.openxmlformats.org/drawingml/2006/main">
                        <a:graphicData uri="http://schemas.microsoft.com/office/word/2010/wordprocessingShape">
                          <wps:wsp>
                            <wps:cNvSpPr/>
                            <wps:spPr>
                              <a:xfrm>
                                <a:off x="0" y="0"/>
                                <a:ext cx="2504364" cy="25930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5010B222">
                    <v:rect id="Rectangle 3" style="position:absolute;margin-left:84.15pt;margin-top:11.55pt;width:197.2pt;height:20.4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6831B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"/>
                  </w:pict>
                </mc:Fallback>
              </mc:AlternateContent>
            </w:r>
          </w:p>
          <w:p w14:paraId="44B427C1"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Date </w:t>
            </w:r>
          </w:p>
          <w:p w14:paraId="4E65DE38"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rPr>
            </w:pPr>
          </w:p>
        </w:tc>
        <w:tc>
          <w:tcPr>
            <w:tcW w:w="242" w:type="dxa"/>
            <w:tcBorders>
              <w:top w:val="nil"/>
              <w:left w:val="nil"/>
              <w:bottom w:val="nil"/>
              <w:right w:val="nil"/>
            </w:tcBorders>
          </w:tcPr>
          <w:p w14:paraId="350AF2A5"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73" w:type="dxa"/>
            <w:vMerge/>
            <w:tcBorders>
              <w:left w:val="single" w:sz="4" w:space="0" w:color="auto"/>
              <w:bottom w:val="single" w:sz="4" w:space="0" w:color="auto"/>
              <w:right w:val="single" w:sz="4" w:space="0" w:color="auto"/>
            </w:tcBorders>
          </w:tcPr>
          <w:p w14:paraId="000B77CA"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bl>
    <w:p w14:paraId="24EDDFA8" w14:textId="77777777" w:rsidR="00801EDB" w:rsidRDefault="00801EDB" w:rsidP="00801EDB">
      <w:pPr>
        <w:spacing w:after="200" w:line="276" w:lineRule="auto"/>
        <w:rPr>
          <w:rFonts w:eastAsiaTheme="minorHAnsi" w:cs="Calibri"/>
          <w:sz w:val="22"/>
          <w:szCs w:val="22"/>
        </w:rPr>
      </w:pPr>
    </w:p>
    <w:p w14:paraId="54A9EDEC" w14:textId="77777777" w:rsidR="00DF3C38" w:rsidRDefault="00DF3C38" w:rsidP="00801EDB">
      <w:pPr>
        <w:spacing w:after="200" w:line="276" w:lineRule="auto"/>
        <w:rPr>
          <w:rFonts w:eastAsiaTheme="minorHAnsi" w:cs="Calibri"/>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64"/>
        <w:gridCol w:w="3827"/>
        <w:gridCol w:w="284"/>
        <w:gridCol w:w="4394"/>
      </w:tblGrid>
      <w:tr w:rsidR="00DF3C38" w14:paraId="1DD1C953" w14:textId="77777777" w:rsidTr="008424FD">
        <w:trPr>
          <w:cantSplit/>
          <w:trHeight w:val="789"/>
        </w:trPr>
        <w:tc>
          <w:tcPr>
            <w:tcW w:w="10349" w:type="dxa"/>
            <w:gridSpan w:val="5"/>
            <w:tcBorders>
              <w:top w:val="nil"/>
              <w:left w:val="nil"/>
              <w:bottom w:val="nil"/>
              <w:right w:val="nil"/>
            </w:tcBorders>
          </w:tcPr>
          <w:p w14:paraId="161951ED" w14:textId="77777777" w:rsidR="00DF3C38" w:rsidRDefault="00DF3C38" w:rsidP="008424FD">
            <w:pPr>
              <w:pStyle w:val="BodyText"/>
              <w:tabs>
                <w:tab w:val="left" w:pos="-540"/>
                <w:tab w:val="left" w:pos="4860"/>
                <w:tab w:val="left" w:pos="6660"/>
                <w:tab w:val="left" w:pos="7740"/>
                <w:tab w:val="right" w:pos="8820"/>
              </w:tabs>
              <w:spacing w:before="240"/>
              <w:ind w:left="-108" w:right="-516"/>
              <w:rPr>
                <w:rFonts w:ascii="Arial" w:hAnsi="Arial" w:cs="Arial"/>
                <w:bCs/>
                <w:iCs/>
              </w:rPr>
            </w:pPr>
            <w:r>
              <w:rPr>
                <w:rFonts w:ascii="Arial" w:hAnsi="Arial" w:cs="Arial"/>
                <w:b/>
                <w:iCs/>
              </w:rPr>
              <w:t xml:space="preserve">Section B: [Reject Shared Care] to be completed by practice </w:t>
            </w:r>
            <w:r>
              <w:rPr>
                <w:rFonts w:ascii="Arial" w:hAnsi="Arial" w:cs="Arial"/>
                <w:bCs/>
                <w:i/>
              </w:rPr>
              <w:t xml:space="preserve">Send back </w:t>
            </w:r>
            <w:r>
              <w:rPr>
                <w:rFonts w:ascii="Arial" w:hAnsi="Arial" w:cs="Arial"/>
                <w:b/>
                <w:i/>
              </w:rPr>
              <w:t>FAO referring consultant</w:t>
            </w:r>
            <w:r>
              <w:rPr>
                <w:rFonts w:ascii="Arial" w:hAnsi="Arial" w:cs="Arial"/>
                <w:bCs/>
                <w:i/>
              </w:rPr>
              <w:t xml:space="preserve"> </w:t>
            </w:r>
            <w:r w:rsidR="00D831A5">
              <w:rPr>
                <w:rFonts w:ascii="Arial" w:hAnsi="Arial" w:cs="Arial"/>
                <w:bCs/>
                <w:i/>
              </w:rPr>
              <w:t xml:space="preserve">     </w:t>
            </w:r>
            <w:r>
              <w:rPr>
                <w:rFonts w:ascii="Arial" w:hAnsi="Arial" w:cs="Arial"/>
                <w:bCs/>
                <w:i/>
              </w:rPr>
              <w:t>above</w:t>
            </w:r>
          </w:p>
          <w:p w14:paraId="6468A6BF" w14:textId="77777777" w:rsidR="00DF3C38" w:rsidRDefault="00DF3C38" w:rsidP="008424FD">
            <w:pPr>
              <w:pStyle w:val="BodyText"/>
              <w:tabs>
                <w:tab w:val="left" w:pos="-540"/>
                <w:tab w:val="left" w:pos="4860"/>
                <w:tab w:val="left" w:pos="6660"/>
                <w:tab w:val="left" w:pos="7740"/>
                <w:tab w:val="right" w:pos="8820"/>
              </w:tabs>
              <w:spacing w:before="120" w:after="240"/>
              <w:ind w:right="-516" w:hanging="108"/>
              <w:rPr>
                <w:rFonts w:ascii="Arial" w:hAnsi="Arial" w:cs="Arial"/>
                <w:b/>
                <w:iCs/>
              </w:rPr>
            </w:pPr>
            <w:r>
              <w:rPr>
                <w:rFonts w:ascii="Arial" w:hAnsi="Arial" w:cs="Arial"/>
                <w:bCs/>
                <w:iCs/>
              </w:rPr>
              <w:t>The above patient has not been accepted into our monitoring service.</w:t>
            </w:r>
          </w:p>
        </w:tc>
      </w:tr>
      <w:tr w:rsidR="00DF3C38" w14:paraId="1CDF694F" w14:textId="77777777" w:rsidTr="008424FD">
        <w:trPr>
          <w:cantSplit/>
          <w:trHeight w:val="468"/>
        </w:trPr>
        <w:tc>
          <w:tcPr>
            <w:tcW w:w="1844" w:type="dxa"/>
            <w:gridSpan w:val="2"/>
            <w:tcBorders>
              <w:top w:val="nil"/>
              <w:left w:val="nil"/>
              <w:bottom w:val="nil"/>
              <w:right w:val="single" w:sz="4" w:space="0" w:color="auto"/>
            </w:tcBorders>
          </w:tcPr>
          <w:p w14:paraId="14254A20"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Reason</w:t>
            </w:r>
          </w:p>
        </w:tc>
        <w:tc>
          <w:tcPr>
            <w:tcW w:w="3827" w:type="dxa"/>
            <w:tcBorders>
              <w:top w:val="single" w:sz="4" w:space="0" w:color="auto"/>
              <w:left w:val="single" w:sz="4" w:space="0" w:color="auto"/>
              <w:bottom w:val="single" w:sz="4" w:space="0" w:color="auto"/>
              <w:right w:val="single" w:sz="4" w:space="0" w:color="auto"/>
            </w:tcBorders>
          </w:tcPr>
          <w:p w14:paraId="75996059"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1812356A"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0D97D962"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157B4F15"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3695A13C"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84" w:type="dxa"/>
            <w:tcBorders>
              <w:top w:val="nil"/>
              <w:left w:val="single" w:sz="4" w:space="0" w:color="auto"/>
              <w:bottom w:val="nil"/>
              <w:right w:val="nil"/>
            </w:tcBorders>
          </w:tcPr>
          <w:p w14:paraId="25575503"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94" w:type="dxa"/>
            <w:vMerge w:val="restart"/>
            <w:tcBorders>
              <w:top w:val="single" w:sz="4" w:space="0" w:color="auto"/>
              <w:left w:val="single" w:sz="4" w:space="0" w:color="auto"/>
              <w:bottom w:val="single" w:sz="4" w:space="0" w:color="auto"/>
              <w:right w:val="single" w:sz="4" w:space="0" w:color="auto"/>
            </w:tcBorders>
          </w:tcPr>
          <w:p w14:paraId="2265223E" w14:textId="77777777" w:rsidR="00DF3C38" w:rsidRDefault="00DF3C38" w:rsidP="007B67B8">
            <w:pPr>
              <w:pStyle w:val="BodyText"/>
              <w:tabs>
                <w:tab w:val="left" w:pos="-540"/>
                <w:tab w:val="left" w:pos="4860"/>
                <w:tab w:val="left" w:pos="6660"/>
                <w:tab w:val="left" w:pos="7740"/>
                <w:tab w:val="right" w:pos="8820"/>
              </w:tabs>
              <w:spacing w:before="120"/>
              <w:ind w:right="-516"/>
              <w:rPr>
                <w:rFonts w:ascii="Arial" w:hAnsi="Arial" w:cs="Arial"/>
                <w:bCs/>
                <w:iCs/>
              </w:rPr>
            </w:pPr>
            <w:r>
              <w:rPr>
                <w:rFonts w:ascii="Arial" w:hAnsi="Arial" w:cs="Arial"/>
                <w:bCs/>
                <w:iCs/>
              </w:rPr>
              <w:t xml:space="preserve">Practice stamp </w:t>
            </w:r>
          </w:p>
        </w:tc>
      </w:tr>
      <w:tr w:rsidR="00DF3C38" w14:paraId="0A357CF0" w14:textId="77777777" w:rsidTr="008424FD">
        <w:trPr>
          <w:cantSplit/>
          <w:trHeight w:val="300"/>
        </w:trPr>
        <w:tc>
          <w:tcPr>
            <w:tcW w:w="5671" w:type="dxa"/>
            <w:gridSpan w:val="3"/>
            <w:tcBorders>
              <w:top w:val="nil"/>
              <w:left w:val="nil"/>
              <w:bottom w:val="nil"/>
              <w:right w:val="nil"/>
            </w:tcBorders>
          </w:tcPr>
          <w:p w14:paraId="41D7CBCC"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284" w:type="dxa"/>
            <w:tcBorders>
              <w:top w:val="nil"/>
              <w:left w:val="nil"/>
              <w:bottom w:val="nil"/>
              <w:right w:val="nil"/>
            </w:tcBorders>
          </w:tcPr>
          <w:p w14:paraId="0EB2319F"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94" w:type="dxa"/>
            <w:vMerge/>
            <w:tcBorders>
              <w:left w:val="single" w:sz="4" w:space="0" w:color="auto"/>
              <w:bottom w:val="single" w:sz="4" w:space="0" w:color="auto"/>
              <w:right w:val="single" w:sz="4" w:space="0" w:color="auto"/>
            </w:tcBorders>
          </w:tcPr>
          <w:p w14:paraId="65265270"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14:paraId="541BB341" w14:textId="77777777" w:rsidTr="008424FD">
        <w:trPr>
          <w:cantSplit/>
          <w:trHeight w:val="468"/>
        </w:trPr>
        <w:tc>
          <w:tcPr>
            <w:tcW w:w="1780" w:type="dxa"/>
            <w:tcBorders>
              <w:top w:val="nil"/>
              <w:left w:val="nil"/>
              <w:bottom w:val="nil"/>
              <w:right w:val="single" w:sz="4" w:space="0" w:color="auto"/>
            </w:tcBorders>
          </w:tcPr>
          <w:p w14:paraId="4106CC65" w14:textId="77777777" w:rsidR="00DF3C38"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Signed /</w:t>
            </w:r>
          </w:p>
          <w:p w14:paraId="3CDC03ED"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Designation</w:t>
            </w:r>
          </w:p>
        </w:tc>
        <w:tc>
          <w:tcPr>
            <w:tcW w:w="3891" w:type="dxa"/>
            <w:gridSpan w:val="2"/>
            <w:tcBorders>
              <w:top w:val="single" w:sz="4" w:space="0" w:color="auto"/>
              <w:left w:val="single" w:sz="4" w:space="0" w:color="auto"/>
              <w:bottom w:val="single" w:sz="4" w:space="0" w:color="auto"/>
              <w:right w:val="single" w:sz="4" w:space="0" w:color="auto"/>
            </w:tcBorders>
          </w:tcPr>
          <w:p w14:paraId="5F8F6EA4"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84" w:type="dxa"/>
            <w:tcBorders>
              <w:top w:val="nil"/>
              <w:left w:val="single" w:sz="4" w:space="0" w:color="auto"/>
              <w:bottom w:val="nil"/>
              <w:right w:val="nil"/>
            </w:tcBorders>
          </w:tcPr>
          <w:p w14:paraId="1C9477BA"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94" w:type="dxa"/>
            <w:vMerge/>
            <w:tcBorders>
              <w:left w:val="single" w:sz="4" w:space="0" w:color="auto"/>
              <w:bottom w:val="single" w:sz="4" w:space="0" w:color="auto"/>
              <w:right w:val="single" w:sz="4" w:space="0" w:color="auto"/>
            </w:tcBorders>
          </w:tcPr>
          <w:p w14:paraId="06C1CE80"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6AC9D5ED" w14:textId="77777777" w:rsidTr="008424FD">
        <w:trPr>
          <w:cantSplit/>
          <w:trHeight w:val="71"/>
        </w:trPr>
        <w:tc>
          <w:tcPr>
            <w:tcW w:w="5671" w:type="dxa"/>
            <w:gridSpan w:val="3"/>
            <w:tcBorders>
              <w:top w:val="nil"/>
              <w:left w:val="nil"/>
              <w:bottom w:val="nil"/>
              <w:right w:val="nil"/>
            </w:tcBorders>
          </w:tcPr>
          <w:p w14:paraId="45B8ABA4"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rPr>
            </w:pPr>
            <w:r>
              <w:rPr>
                <w:rFonts w:ascii="Arial" w:hAnsi="Arial" w:cs="Arial"/>
                <w:bCs/>
                <w:iCs/>
                <w:noProof/>
                <w:lang w:eastAsia="en-GB"/>
              </w:rPr>
              <mc:AlternateContent>
                <mc:Choice Requires="wps">
                  <w:drawing>
                    <wp:anchor distT="0" distB="0" distL="114300" distR="114300" simplePos="0" relativeHeight="251661312" behindDoc="0" locked="0" layoutInCell="1" allowOverlap="1" wp14:anchorId="5DC5B703" wp14:editId="050AE874">
                      <wp:simplePos x="0" y="0"/>
                      <wp:positionH relativeFrom="column">
                        <wp:posOffset>1068705</wp:posOffset>
                      </wp:positionH>
                      <wp:positionV relativeFrom="paragraph">
                        <wp:posOffset>146846</wp:posOffset>
                      </wp:positionV>
                      <wp:extent cx="2504364" cy="259308"/>
                      <wp:effectExtent l="0" t="0" r="10795" b="26670"/>
                      <wp:wrapNone/>
                      <wp:docPr id="4" name="Rectangle 4"/>
                      <wp:cNvGraphicFramePr/>
                      <a:graphic xmlns:a="http://schemas.openxmlformats.org/drawingml/2006/main">
                        <a:graphicData uri="http://schemas.microsoft.com/office/word/2010/wordprocessingShape">
                          <wps:wsp>
                            <wps:cNvSpPr/>
                            <wps:spPr>
                              <a:xfrm>
                                <a:off x="0" y="0"/>
                                <a:ext cx="2504364" cy="25930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57A01C7F">
                    <v:rect id="Rectangle 4" style="position:absolute;margin-left:84.15pt;margin-top:11.55pt;width:197.2pt;height:20.4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76096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"/>
                  </w:pict>
                </mc:Fallback>
              </mc:AlternateContent>
            </w:r>
          </w:p>
          <w:p w14:paraId="589D830D"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Date </w:t>
            </w:r>
          </w:p>
          <w:p w14:paraId="2DB966B6"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rPr>
            </w:pPr>
          </w:p>
        </w:tc>
        <w:tc>
          <w:tcPr>
            <w:tcW w:w="284" w:type="dxa"/>
            <w:tcBorders>
              <w:top w:val="nil"/>
              <w:left w:val="nil"/>
              <w:bottom w:val="nil"/>
              <w:right w:val="nil"/>
            </w:tcBorders>
          </w:tcPr>
          <w:p w14:paraId="3CA6178E"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94" w:type="dxa"/>
            <w:vMerge/>
            <w:tcBorders>
              <w:left w:val="single" w:sz="4" w:space="0" w:color="auto"/>
              <w:bottom w:val="single" w:sz="4" w:space="0" w:color="auto"/>
              <w:right w:val="single" w:sz="4" w:space="0" w:color="auto"/>
            </w:tcBorders>
          </w:tcPr>
          <w:p w14:paraId="4AE26858"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bl>
    <w:p w14:paraId="5C20DCC2" w14:textId="77777777" w:rsidR="00DF3C38" w:rsidRDefault="00DF3C38" w:rsidP="00801EDB">
      <w:pPr>
        <w:spacing w:after="200" w:line="276" w:lineRule="auto"/>
        <w:rPr>
          <w:rFonts w:eastAsiaTheme="minorHAnsi" w:cs="Calibri"/>
          <w:sz w:val="22"/>
          <w:szCs w:val="22"/>
        </w:rPr>
      </w:pPr>
    </w:p>
    <w:p w14:paraId="73C1DB76" w14:textId="77777777" w:rsidR="00DF3C38" w:rsidRDefault="00DF3C38" w:rsidP="00801EDB">
      <w:pPr>
        <w:spacing w:after="200" w:line="276" w:lineRule="auto"/>
        <w:rPr>
          <w:rFonts w:eastAsiaTheme="minorHAnsi" w:cs="Calibri"/>
          <w:sz w:val="22"/>
          <w:szCs w:val="22"/>
        </w:rPr>
      </w:pPr>
    </w:p>
    <w:p w14:paraId="6F0D27AA" w14:textId="77777777" w:rsidR="00DF3C38" w:rsidRDefault="00DF3C38" w:rsidP="00801EDB">
      <w:pPr>
        <w:spacing w:after="200" w:line="276" w:lineRule="auto"/>
        <w:rPr>
          <w:rFonts w:eastAsiaTheme="minorHAnsi" w:cs="Calibri"/>
          <w:sz w:val="22"/>
          <w:szCs w:val="22"/>
        </w:rPr>
      </w:pPr>
    </w:p>
    <w:p w14:paraId="66B790E1" w14:textId="77777777" w:rsidR="00DF3C38" w:rsidRDefault="00DF3C38" w:rsidP="00801EDB">
      <w:pPr>
        <w:spacing w:after="200" w:line="276" w:lineRule="auto"/>
        <w:rPr>
          <w:rFonts w:eastAsiaTheme="minorHAnsi" w:cs="Calibri"/>
          <w:sz w:val="22"/>
          <w:szCs w:val="22"/>
        </w:rPr>
      </w:pPr>
    </w:p>
    <w:p w14:paraId="78D584ED" w14:textId="77777777" w:rsidR="006C1B9A" w:rsidRPr="00801EDB" w:rsidRDefault="006C1B9A" w:rsidP="00801EDB">
      <w:pPr>
        <w:spacing w:after="200" w:line="276" w:lineRule="auto"/>
        <w:rPr>
          <w:rFonts w:eastAsiaTheme="minorHAnsi" w:cs="Calibri"/>
          <w:sz w:val="22"/>
          <w:szCs w:val="22"/>
        </w:rPr>
      </w:pPr>
    </w:p>
    <w:sectPr w:rsidR="006C1B9A" w:rsidRPr="00801EDB" w:rsidSect="008A5E15">
      <w:footerReference w:type="default" r:id="rId24"/>
      <w:footerReference w:type="first" r:id="rId25"/>
      <w:footnotePr>
        <w:numFmt w:val="lowerLetter"/>
      </w:footnotePr>
      <w:pgSz w:w="11906" w:h="16838"/>
      <w:pgMar w:top="1134" w:right="1440" w:bottom="1440"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95C5F" w14:textId="77777777" w:rsidR="004F7EE4" w:rsidRDefault="004F7EE4" w:rsidP="00224B44">
      <w:r>
        <w:separator/>
      </w:r>
    </w:p>
  </w:endnote>
  <w:endnote w:type="continuationSeparator" w:id="0">
    <w:p w14:paraId="0619A02B" w14:textId="77777777" w:rsidR="004F7EE4" w:rsidRDefault="004F7EE4" w:rsidP="0022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24BC7" w14:textId="77777777" w:rsidR="00E25E58" w:rsidRDefault="00E25E58" w:rsidP="00367357">
    <w:pPr>
      <w:pStyle w:val="Footer"/>
      <w:jc w:val="left"/>
    </w:pPr>
    <w:r>
      <w:t>North Central London Joint Formulary Committee</w:t>
    </w:r>
    <w:r>
      <w:tab/>
    </w:r>
    <w:r>
      <w:tab/>
    </w:r>
    <w:r>
      <w:fldChar w:fldCharType="begin"/>
    </w:r>
    <w:r>
      <w:instrText xml:space="preserve"> PAGE  \* Arabic  \* MERGEFORMAT </w:instrText>
    </w:r>
    <w:r>
      <w:fldChar w:fldCharType="separate"/>
    </w:r>
    <w:r>
      <w:rPr>
        <w:noProof/>
      </w:rPr>
      <w:t>8</w:t>
    </w:r>
    <w:r>
      <w:fldChar w:fldCharType="end"/>
    </w:r>
    <w:r>
      <w:t xml:space="preserve"> of </w:t>
    </w:r>
    <w:fldSimple w:instr="NUMPAGES  \* Arabic  \* MERGEFORMAT">
      <w:r>
        <w:rPr>
          <w:noProof/>
        </w:rPr>
        <w:t>9</w:t>
      </w:r>
    </w:fldSimple>
  </w:p>
  <w:p w14:paraId="0F31CA8B" w14:textId="77777777" w:rsidR="00E25E58" w:rsidRDefault="00E25E58" w:rsidP="00367357">
    <w:pPr>
      <w:pStyle w:val="Footer"/>
      <w:jc w:val="left"/>
    </w:pPr>
  </w:p>
  <w:p w14:paraId="0433E149" w14:textId="20D9E8A8" w:rsidR="00E25E58" w:rsidRDefault="00E25E58" w:rsidP="00367357">
    <w:pPr>
      <w:pStyle w:val="Footer"/>
      <w:jc w:val="left"/>
    </w:pPr>
    <w:r w:rsidRPr="00DF3C38">
      <w:t>Gen</w:t>
    </w:r>
    <w:r>
      <w:t xml:space="preserve">eric Methadone for Pain Control in </w:t>
    </w:r>
    <w:r w:rsidR="009F32F0">
      <w:t xml:space="preserve">Adult </w:t>
    </w:r>
    <w:r>
      <w:t>Palliative Care (Shared Care)</w:t>
    </w:r>
    <w:r>
      <w:tab/>
      <w:t xml:space="preserve">Approval date: </w:t>
    </w:r>
    <w:r w:rsidR="009F32F0">
      <w:t>November 2023</w:t>
    </w:r>
  </w:p>
  <w:p w14:paraId="55565621" w14:textId="18AFD5E7" w:rsidR="00E25E58" w:rsidRDefault="00E25E58" w:rsidP="00367357">
    <w:pPr>
      <w:pStyle w:val="Footer"/>
      <w:jc w:val="left"/>
    </w:pPr>
    <w:r>
      <w:t>Version</w:t>
    </w:r>
    <w:r w:rsidR="009F32F0">
      <w:t xml:space="preserve"> 1.0</w:t>
    </w:r>
    <w:r>
      <w:tab/>
    </w:r>
    <w:r>
      <w:tab/>
      <w:t xml:space="preserve">Review date: </w:t>
    </w:r>
    <w:r w:rsidR="009F32F0">
      <w:t>November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FDF0" w14:textId="77777777" w:rsidR="00E25E58" w:rsidRDefault="00E25E58" w:rsidP="00367357">
    <w:pPr>
      <w:pStyle w:val="Footer"/>
      <w:jc w:val="left"/>
    </w:pPr>
    <w:r>
      <w:t>North Central London Joint Formulary Committee</w:t>
    </w:r>
    <w:r>
      <w:tab/>
    </w:r>
    <w:r>
      <w:ptab w:relativeTo="margin" w:alignment="center" w:leader="none"/>
    </w:r>
    <w:r>
      <w:tab/>
    </w:r>
    <w:r>
      <w:fldChar w:fldCharType="begin"/>
    </w:r>
    <w:r>
      <w:instrText xml:space="preserve"> PAGE  \* Arabic  \* MERGEFORMAT </w:instrText>
    </w:r>
    <w:r>
      <w:fldChar w:fldCharType="separate"/>
    </w:r>
    <w:r>
      <w:rPr>
        <w:noProof/>
      </w:rPr>
      <w:t>1</w:t>
    </w:r>
    <w:r>
      <w:fldChar w:fldCharType="end"/>
    </w:r>
    <w:r>
      <w:t xml:space="preserve"> of </w:t>
    </w:r>
    <w:fldSimple w:instr="NUMPAGES  \* Arabic  \* MERGEFORMAT">
      <w:r>
        <w:rPr>
          <w:noProof/>
        </w:rPr>
        <w:t>3</w:t>
      </w:r>
    </w:fldSimple>
  </w:p>
  <w:p w14:paraId="0497EB2F" w14:textId="77777777" w:rsidR="00E25E58" w:rsidRDefault="00E25E58" w:rsidP="00367357">
    <w:pPr>
      <w:pStyle w:val="Footer"/>
      <w:jc w:val="left"/>
    </w:pPr>
  </w:p>
  <w:p w14:paraId="53261B73" w14:textId="77777777" w:rsidR="00E25E58" w:rsidRDefault="00E25E58" w:rsidP="00367357">
    <w:pPr>
      <w:pStyle w:val="Footer"/>
      <w:jc w:val="left"/>
    </w:pPr>
    <w:r>
      <w:t>Document title</w:t>
    </w:r>
  </w:p>
  <w:p w14:paraId="77F7FF83" w14:textId="77777777" w:rsidR="00E25E58" w:rsidRDefault="00E25E58" w:rsidP="00367357">
    <w:pPr>
      <w:pStyle w:val="Footer"/>
      <w:jc w:val="left"/>
    </w:pPr>
    <w:r>
      <w:t>Version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F8B94" w14:textId="77777777" w:rsidR="004F7EE4" w:rsidRDefault="004F7EE4" w:rsidP="00224B44">
      <w:r>
        <w:separator/>
      </w:r>
    </w:p>
  </w:footnote>
  <w:footnote w:type="continuationSeparator" w:id="0">
    <w:p w14:paraId="568E20A2" w14:textId="77777777" w:rsidR="004F7EE4" w:rsidRDefault="004F7EE4" w:rsidP="00224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370"/>
    <w:multiLevelType w:val="hybridMultilevel"/>
    <w:tmpl w:val="7C344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C2096D"/>
    <w:multiLevelType w:val="hybridMultilevel"/>
    <w:tmpl w:val="78F6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126C2"/>
    <w:multiLevelType w:val="hybridMultilevel"/>
    <w:tmpl w:val="0A8C1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E0302"/>
    <w:multiLevelType w:val="hybridMultilevel"/>
    <w:tmpl w:val="2C3A3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23E30"/>
    <w:multiLevelType w:val="hybridMultilevel"/>
    <w:tmpl w:val="E4F65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C5688"/>
    <w:multiLevelType w:val="hybridMultilevel"/>
    <w:tmpl w:val="B892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251AF"/>
    <w:multiLevelType w:val="multilevel"/>
    <w:tmpl w:val="6396D76E"/>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4302699"/>
    <w:multiLevelType w:val="hybridMultilevel"/>
    <w:tmpl w:val="C95E9BD4"/>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17B647F6"/>
    <w:multiLevelType w:val="hybridMultilevel"/>
    <w:tmpl w:val="CBD2BC7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3B6959"/>
    <w:multiLevelType w:val="hybridMultilevel"/>
    <w:tmpl w:val="9848A494"/>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0" w15:restartNumberingAfterBreak="0">
    <w:nsid w:val="1B7D35BA"/>
    <w:multiLevelType w:val="multilevel"/>
    <w:tmpl w:val="9C202792"/>
    <w:styleLink w:val="ReportHeadings"/>
    <w:lvl w:ilvl="0">
      <w:start w:val="1"/>
      <w:numFmt w:val="decimal"/>
      <w:pStyle w:val="NCLHeading1"/>
      <w:lvlText w:val="%1."/>
      <w:lvlJc w:val="left"/>
      <w:pPr>
        <w:ind w:left="851" w:hanging="851"/>
      </w:pPr>
      <w:rPr>
        <w:rFonts w:hint="default"/>
      </w:rPr>
    </w:lvl>
    <w:lvl w:ilvl="1">
      <w:start w:val="1"/>
      <w:numFmt w:val="decimal"/>
      <w:pStyle w:val="NCLHeading2"/>
      <w:lvlText w:val="%1.%2."/>
      <w:lvlJc w:val="left"/>
      <w:pPr>
        <w:ind w:left="851" w:hanging="851"/>
      </w:pPr>
      <w:rPr>
        <w:rFonts w:hint="default"/>
      </w:rPr>
    </w:lvl>
    <w:lvl w:ilvl="2">
      <w:start w:val="1"/>
      <w:numFmt w:val="decimal"/>
      <w:pStyle w:val="NCLHeading3"/>
      <w:lvlText w:val="%1.%2.%3."/>
      <w:lvlJc w:val="left"/>
      <w:pPr>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pStyle w:val="NCLTableheading"/>
      <w:suff w:val="nothing"/>
      <w:lvlText w:val=""/>
      <w:lvlJc w:val="left"/>
      <w:pPr>
        <w:ind w:left="0" w:firstLine="0"/>
      </w:pPr>
      <w:rPr>
        <w:rFonts w:hint="default"/>
      </w:rPr>
    </w:lvl>
    <w:lvl w:ilvl="5">
      <w:start w:val="1"/>
      <w:numFmt w:val="none"/>
      <w:pStyle w:val="ReportHeading6"/>
      <w:suff w:val="nothing"/>
      <w:lvlText w:val=""/>
      <w:lvlJc w:val="left"/>
      <w:pPr>
        <w:ind w:left="0" w:firstLine="0"/>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1" w15:restartNumberingAfterBreak="0">
    <w:nsid w:val="1C192BD7"/>
    <w:multiLevelType w:val="singleLevel"/>
    <w:tmpl w:val="1180BBB0"/>
    <w:lvl w:ilvl="0">
      <w:start w:val="1"/>
      <w:numFmt w:val="decimal"/>
      <w:lvlText w:val="%1."/>
      <w:lvlJc w:val="left"/>
      <w:pPr>
        <w:tabs>
          <w:tab w:val="num" w:pos="360"/>
        </w:tabs>
        <w:ind w:left="360" w:hanging="360"/>
      </w:pPr>
      <w:rPr>
        <w:sz w:val="22"/>
        <w:szCs w:val="22"/>
      </w:rPr>
    </w:lvl>
  </w:abstractNum>
  <w:abstractNum w:abstractNumId="12" w15:restartNumberingAfterBreak="0">
    <w:nsid w:val="1CF80C8E"/>
    <w:multiLevelType w:val="hybridMultilevel"/>
    <w:tmpl w:val="C5422C4A"/>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6C21D3F"/>
    <w:multiLevelType w:val="hybridMultilevel"/>
    <w:tmpl w:val="656A2212"/>
    <w:lvl w:ilvl="0" w:tplc="B7F6E55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293ED0"/>
    <w:multiLevelType w:val="hybridMultilevel"/>
    <w:tmpl w:val="CF8CA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A921D3"/>
    <w:multiLevelType w:val="multilevel"/>
    <w:tmpl w:val="AB9E5E3C"/>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2CA03B2E"/>
    <w:multiLevelType w:val="multilevel"/>
    <w:tmpl w:val="3ECED1E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2D2F2FC3"/>
    <w:multiLevelType w:val="multilevel"/>
    <w:tmpl w:val="2F7AEB5C"/>
    <w:lvl w:ilvl="0">
      <w:start w:val="7"/>
      <w:numFmt w:val="decimal"/>
      <w:lvlText w:val="%1.0"/>
      <w:lvlJc w:val="left"/>
      <w:pPr>
        <w:ind w:left="1211"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011" w:hanging="720"/>
      </w:pPr>
      <w:rPr>
        <w:rFonts w:hint="default"/>
      </w:rPr>
    </w:lvl>
    <w:lvl w:ilvl="3">
      <w:start w:val="1"/>
      <w:numFmt w:val="decimal"/>
      <w:lvlText w:val="%1.%2.%3.%4"/>
      <w:lvlJc w:val="left"/>
      <w:pPr>
        <w:ind w:left="4091" w:hanging="1080"/>
      </w:pPr>
      <w:rPr>
        <w:rFonts w:hint="default"/>
      </w:rPr>
    </w:lvl>
    <w:lvl w:ilvl="4">
      <w:start w:val="1"/>
      <w:numFmt w:val="decimal"/>
      <w:lvlText w:val="%1.%2.%3.%4.%5"/>
      <w:lvlJc w:val="left"/>
      <w:pPr>
        <w:ind w:left="4811" w:hanging="1080"/>
      </w:pPr>
      <w:rPr>
        <w:rFonts w:hint="default"/>
      </w:rPr>
    </w:lvl>
    <w:lvl w:ilvl="5">
      <w:start w:val="1"/>
      <w:numFmt w:val="decimal"/>
      <w:lvlText w:val="%1.%2.%3.%4.%5.%6"/>
      <w:lvlJc w:val="left"/>
      <w:pPr>
        <w:ind w:left="5891" w:hanging="1440"/>
      </w:pPr>
      <w:rPr>
        <w:rFonts w:hint="default"/>
      </w:rPr>
    </w:lvl>
    <w:lvl w:ilvl="6">
      <w:start w:val="1"/>
      <w:numFmt w:val="decimal"/>
      <w:lvlText w:val="%1.%2.%3.%4.%5.%6.%7"/>
      <w:lvlJc w:val="left"/>
      <w:pPr>
        <w:ind w:left="6611" w:hanging="1440"/>
      </w:pPr>
      <w:rPr>
        <w:rFonts w:hint="default"/>
      </w:rPr>
    </w:lvl>
    <w:lvl w:ilvl="7">
      <w:start w:val="1"/>
      <w:numFmt w:val="decimal"/>
      <w:lvlText w:val="%1.%2.%3.%4.%5.%6.%7.%8"/>
      <w:lvlJc w:val="left"/>
      <w:pPr>
        <w:ind w:left="7691" w:hanging="1800"/>
      </w:pPr>
      <w:rPr>
        <w:rFonts w:hint="default"/>
      </w:rPr>
    </w:lvl>
    <w:lvl w:ilvl="8">
      <w:start w:val="1"/>
      <w:numFmt w:val="decimal"/>
      <w:lvlText w:val="%1.%2.%3.%4.%5.%6.%7.%8.%9"/>
      <w:lvlJc w:val="left"/>
      <w:pPr>
        <w:ind w:left="8771" w:hanging="2160"/>
      </w:pPr>
      <w:rPr>
        <w:rFonts w:hint="default"/>
      </w:rPr>
    </w:lvl>
  </w:abstractNum>
  <w:abstractNum w:abstractNumId="18" w15:restartNumberingAfterBreak="0">
    <w:nsid w:val="2D5725AD"/>
    <w:multiLevelType w:val="hybridMultilevel"/>
    <w:tmpl w:val="41723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0B0840"/>
    <w:multiLevelType w:val="hybridMultilevel"/>
    <w:tmpl w:val="5C5CB34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3C3B0D"/>
    <w:multiLevelType w:val="hybridMultilevel"/>
    <w:tmpl w:val="4EA8D28E"/>
    <w:lvl w:ilvl="0" w:tplc="043A80A2">
      <w:start w:val="8"/>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D22DBA"/>
    <w:multiLevelType w:val="multilevel"/>
    <w:tmpl w:val="E5604208"/>
    <w:lvl w:ilvl="0">
      <w:start w:val="1"/>
      <w:numFmt w:val="decimal"/>
      <w:lvlText w:val="%1.0"/>
      <w:lvlJc w:val="left"/>
      <w:pPr>
        <w:ind w:left="1211"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011" w:hanging="720"/>
      </w:pPr>
      <w:rPr>
        <w:rFonts w:hint="default"/>
      </w:rPr>
    </w:lvl>
    <w:lvl w:ilvl="3">
      <w:start w:val="1"/>
      <w:numFmt w:val="decimal"/>
      <w:lvlText w:val="%1.%2.%3.%4"/>
      <w:lvlJc w:val="left"/>
      <w:pPr>
        <w:ind w:left="4091" w:hanging="1080"/>
      </w:pPr>
      <w:rPr>
        <w:rFonts w:hint="default"/>
      </w:rPr>
    </w:lvl>
    <w:lvl w:ilvl="4">
      <w:start w:val="1"/>
      <w:numFmt w:val="decimal"/>
      <w:lvlText w:val="%1.%2.%3.%4.%5"/>
      <w:lvlJc w:val="left"/>
      <w:pPr>
        <w:ind w:left="4811" w:hanging="1080"/>
      </w:pPr>
      <w:rPr>
        <w:rFonts w:hint="default"/>
      </w:rPr>
    </w:lvl>
    <w:lvl w:ilvl="5">
      <w:start w:val="1"/>
      <w:numFmt w:val="decimal"/>
      <w:lvlText w:val="%1.%2.%3.%4.%5.%6"/>
      <w:lvlJc w:val="left"/>
      <w:pPr>
        <w:ind w:left="5891" w:hanging="1440"/>
      </w:pPr>
      <w:rPr>
        <w:rFonts w:hint="default"/>
      </w:rPr>
    </w:lvl>
    <w:lvl w:ilvl="6">
      <w:start w:val="1"/>
      <w:numFmt w:val="decimal"/>
      <w:lvlText w:val="%1.%2.%3.%4.%5.%6.%7"/>
      <w:lvlJc w:val="left"/>
      <w:pPr>
        <w:ind w:left="6611" w:hanging="1440"/>
      </w:pPr>
      <w:rPr>
        <w:rFonts w:hint="default"/>
      </w:rPr>
    </w:lvl>
    <w:lvl w:ilvl="7">
      <w:start w:val="1"/>
      <w:numFmt w:val="decimal"/>
      <w:lvlText w:val="%1.%2.%3.%4.%5.%6.%7.%8"/>
      <w:lvlJc w:val="left"/>
      <w:pPr>
        <w:ind w:left="7691" w:hanging="1800"/>
      </w:pPr>
      <w:rPr>
        <w:rFonts w:hint="default"/>
      </w:rPr>
    </w:lvl>
    <w:lvl w:ilvl="8">
      <w:start w:val="1"/>
      <w:numFmt w:val="decimal"/>
      <w:lvlText w:val="%1.%2.%3.%4.%5.%6.%7.%8.%9"/>
      <w:lvlJc w:val="left"/>
      <w:pPr>
        <w:ind w:left="8771" w:hanging="2160"/>
      </w:pPr>
      <w:rPr>
        <w:rFonts w:hint="default"/>
      </w:rPr>
    </w:lvl>
  </w:abstractNum>
  <w:abstractNum w:abstractNumId="22" w15:restartNumberingAfterBreak="0">
    <w:nsid w:val="30DD5336"/>
    <w:multiLevelType w:val="hybridMultilevel"/>
    <w:tmpl w:val="E8D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9F40B3"/>
    <w:multiLevelType w:val="multilevel"/>
    <w:tmpl w:val="C62AAEC6"/>
    <w:styleLink w:val="ListNumbers"/>
    <w:lvl w:ilvl="0">
      <w:start w:val="1"/>
      <w:numFmt w:val="decimal"/>
      <w:pStyle w:val="ListNumber"/>
      <w:lvlText w:val="%1)"/>
      <w:lvlJc w:val="left"/>
      <w:pPr>
        <w:ind w:left="567" w:hanging="283"/>
      </w:pPr>
      <w:rPr>
        <w:rFonts w:hint="default"/>
      </w:rPr>
    </w:lvl>
    <w:lvl w:ilvl="1">
      <w:start w:val="1"/>
      <w:numFmt w:val="lowerLetter"/>
      <w:pStyle w:val="ListNumber2"/>
      <w:lvlText w:val="%2)"/>
      <w:lvlJc w:val="left"/>
      <w:pPr>
        <w:ind w:left="851" w:hanging="283"/>
      </w:pPr>
      <w:rPr>
        <w:rFonts w:hint="default"/>
      </w:rPr>
    </w:lvl>
    <w:lvl w:ilvl="2">
      <w:start w:val="1"/>
      <w:numFmt w:val="lowerRoman"/>
      <w:pStyle w:val="ListNumber3"/>
      <w:lvlText w:val="%3)"/>
      <w:lvlJc w:val="left"/>
      <w:pPr>
        <w:ind w:left="1135" w:hanging="283"/>
      </w:pPr>
      <w:rPr>
        <w:rFonts w:hint="default"/>
      </w:rPr>
    </w:lvl>
    <w:lvl w:ilvl="3">
      <w:start w:val="1"/>
      <w:numFmt w:val="none"/>
      <w:lvlText w:val=""/>
      <w:lvlJc w:val="left"/>
      <w:pPr>
        <w:ind w:left="1419" w:hanging="283"/>
      </w:pPr>
      <w:rPr>
        <w:rFonts w:hint="default"/>
      </w:rPr>
    </w:lvl>
    <w:lvl w:ilvl="4">
      <w:start w:val="1"/>
      <w:numFmt w:val="none"/>
      <w:lvlText w:val=""/>
      <w:lvlJc w:val="left"/>
      <w:pPr>
        <w:ind w:left="1703" w:hanging="283"/>
      </w:pPr>
      <w:rPr>
        <w:rFonts w:hint="default"/>
      </w:rPr>
    </w:lvl>
    <w:lvl w:ilvl="5">
      <w:start w:val="1"/>
      <w:numFmt w:val="none"/>
      <w:lvlText w:val=""/>
      <w:lvlJc w:val="left"/>
      <w:pPr>
        <w:ind w:left="1987" w:hanging="283"/>
      </w:pPr>
      <w:rPr>
        <w:rFonts w:hint="default"/>
      </w:rPr>
    </w:lvl>
    <w:lvl w:ilvl="6">
      <w:start w:val="1"/>
      <w:numFmt w:val="none"/>
      <w:lvlText w:val=""/>
      <w:lvlJc w:val="left"/>
      <w:pPr>
        <w:ind w:left="2271" w:hanging="283"/>
      </w:pPr>
      <w:rPr>
        <w:rFonts w:hint="default"/>
      </w:rPr>
    </w:lvl>
    <w:lvl w:ilvl="7">
      <w:start w:val="1"/>
      <w:numFmt w:val="none"/>
      <w:lvlText w:val=""/>
      <w:lvlJc w:val="left"/>
      <w:pPr>
        <w:ind w:left="2555" w:hanging="283"/>
      </w:pPr>
      <w:rPr>
        <w:rFonts w:hint="default"/>
      </w:rPr>
    </w:lvl>
    <w:lvl w:ilvl="8">
      <w:start w:val="1"/>
      <w:numFmt w:val="none"/>
      <w:lvlText w:val=""/>
      <w:lvlJc w:val="left"/>
      <w:pPr>
        <w:ind w:left="2839" w:hanging="283"/>
      </w:pPr>
      <w:rPr>
        <w:rFonts w:hint="default"/>
      </w:rPr>
    </w:lvl>
  </w:abstractNum>
  <w:abstractNum w:abstractNumId="24" w15:restartNumberingAfterBreak="0">
    <w:nsid w:val="36FC1E47"/>
    <w:multiLevelType w:val="multilevel"/>
    <w:tmpl w:val="6396D76E"/>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3B254A29"/>
    <w:multiLevelType w:val="multilevel"/>
    <w:tmpl w:val="72383288"/>
    <w:lvl w:ilvl="0">
      <w:start w:val="8"/>
      <w:numFmt w:val="decimal"/>
      <w:lvlText w:val="%1.0"/>
      <w:lvlJc w:val="left"/>
      <w:pPr>
        <w:ind w:left="1211"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011" w:hanging="720"/>
      </w:pPr>
      <w:rPr>
        <w:rFonts w:hint="default"/>
      </w:rPr>
    </w:lvl>
    <w:lvl w:ilvl="3">
      <w:start w:val="1"/>
      <w:numFmt w:val="decimal"/>
      <w:lvlText w:val="%1.%2.%3.%4"/>
      <w:lvlJc w:val="left"/>
      <w:pPr>
        <w:ind w:left="4091" w:hanging="1080"/>
      </w:pPr>
      <w:rPr>
        <w:rFonts w:hint="default"/>
      </w:rPr>
    </w:lvl>
    <w:lvl w:ilvl="4">
      <w:start w:val="1"/>
      <w:numFmt w:val="decimal"/>
      <w:lvlText w:val="%1.%2.%3.%4.%5"/>
      <w:lvlJc w:val="left"/>
      <w:pPr>
        <w:ind w:left="4811" w:hanging="1080"/>
      </w:pPr>
      <w:rPr>
        <w:rFonts w:hint="default"/>
      </w:rPr>
    </w:lvl>
    <w:lvl w:ilvl="5">
      <w:start w:val="1"/>
      <w:numFmt w:val="decimal"/>
      <w:lvlText w:val="%1.%2.%3.%4.%5.%6"/>
      <w:lvlJc w:val="left"/>
      <w:pPr>
        <w:ind w:left="5891" w:hanging="1440"/>
      </w:pPr>
      <w:rPr>
        <w:rFonts w:hint="default"/>
      </w:rPr>
    </w:lvl>
    <w:lvl w:ilvl="6">
      <w:start w:val="1"/>
      <w:numFmt w:val="decimal"/>
      <w:lvlText w:val="%1.%2.%3.%4.%5.%6.%7"/>
      <w:lvlJc w:val="left"/>
      <w:pPr>
        <w:ind w:left="6611" w:hanging="1440"/>
      </w:pPr>
      <w:rPr>
        <w:rFonts w:hint="default"/>
      </w:rPr>
    </w:lvl>
    <w:lvl w:ilvl="7">
      <w:start w:val="1"/>
      <w:numFmt w:val="decimal"/>
      <w:lvlText w:val="%1.%2.%3.%4.%5.%6.%7.%8"/>
      <w:lvlJc w:val="left"/>
      <w:pPr>
        <w:ind w:left="7691" w:hanging="1800"/>
      </w:pPr>
      <w:rPr>
        <w:rFonts w:hint="default"/>
      </w:rPr>
    </w:lvl>
    <w:lvl w:ilvl="8">
      <w:start w:val="1"/>
      <w:numFmt w:val="decimal"/>
      <w:lvlText w:val="%1.%2.%3.%4.%5.%6.%7.%8.%9"/>
      <w:lvlJc w:val="left"/>
      <w:pPr>
        <w:ind w:left="8771" w:hanging="2160"/>
      </w:pPr>
      <w:rPr>
        <w:rFonts w:hint="default"/>
      </w:rPr>
    </w:lvl>
  </w:abstractNum>
  <w:abstractNum w:abstractNumId="26" w15:restartNumberingAfterBreak="0">
    <w:nsid w:val="3BD50A9D"/>
    <w:multiLevelType w:val="hybridMultilevel"/>
    <w:tmpl w:val="BBD68D6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32588E"/>
    <w:multiLevelType w:val="hybridMultilevel"/>
    <w:tmpl w:val="1D243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D242BA"/>
    <w:multiLevelType w:val="hybridMultilevel"/>
    <w:tmpl w:val="4692A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236FD9"/>
    <w:multiLevelType w:val="multilevel"/>
    <w:tmpl w:val="1E6A1538"/>
    <w:lvl w:ilvl="0">
      <w:start w:val="1"/>
      <w:numFmt w:val="decimal"/>
      <w:pStyle w:val="Heading1"/>
      <w:lvlText w:val="%1"/>
      <w:lvlJc w:val="left"/>
      <w:pPr>
        <w:ind w:left="432" w:hanging="432"/>
      </w:pPr>
    </w:lvl>
    <w:lvl w:ilvl="1">
      <w:start w:val="1"/>
      <w:numFmt w:val="upperLetter"/>
      <w:pStyle w:val="Heading2"/>
      <w:lvlText w:val="%2."/>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4044236E"/>
    <w:multiLevelType w:val="hybridMultilevel"/>
    <w:tmpl w:val="E7BCCC2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456063"/>
    <w:multiLevelType w:val="hybridMultilevel"/>
    <w:tmpl w:val="69B0E1F4"/>
    <w:lvl w:ilvl="0" w:tplc="08090011">
      <w:start w:val="1"/>
      <w:numFmt w:val="decimal"/>
      <w:lvlText w:val="%1)"/>
      <w:lvlJc w:val="left"/>
      <w:pPr>
        <w:ind w:left="1080" w:hanging="360"/>
      </w:pPr>
    </w:lvl>
    <w:lvl w:ilvl="1" w:tplc="02C454E2">
      <w:numFmt w:val="bullet"/>
      <w:lvlText w:val="•"/>
      <w:lvlJc w:val="left"/>
      <w:pPr>
        <w:ind w:left="1800" w:hanging="360"/>
      </w:pPr>
      <w:rPr>
        <w:rFonts w:ascii="Calibri" w:eastAsiaTheme="minorHAnsi" w:hAnsi="Calibri" w:cs="Calibri"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708372B"/>
    <w:multiLevelType w:val="multilevel"/>
    <w:tmpl w:val="092054EE"/>
    <w:styleLink w:val="ListBullets"/>
    <w:lvl w:ilvl="0">
      <w:start w:val="1"/>
      <w:numFmt w:val="bullet"/>
      <w:pStyle w:val="ListBullet"/>
      <w:lvlText w:val=""/>
      <w:lvlJc w:val="left"/>
      <w:pPr>
        <w:ind w:left="567" w:hanging="283"/>
      </w:pPr>
      <w:rPr>
        <w:rFonts w:ascii="Symbol" w:hAnsi="Symbol" w:hint="default"/>
      </w:rPr>
    </w:lvl>
    <w:lvl w:ilvl="1">
      <w:start w:val="1"/>
      <w:numFmt w:val="bullet"/>
      <w:pStyle w:val="ListBullet2"/>
      <w:lvlText w:val="o"/>
      <w:lvlJc w:val="left"/>
      <w:pPr>
        <w:ind w:left="851" w:hanging="283"/>
      </w:pPr>
      <w:rPr>
        <w:rFonts w:ascii="Courier New" w:hAnsi="Courier New" w:hint="default"/>
      </w:rPr>
    </w:lvl>
    <w:lvl w:ilvl="2">
      <w:start w:val="1"/>
      <w:numFmt w:val="bullet"/>
      <w:pStyle w:val="ListBullet3"/>
      <w:lvlText w:val=""/>
      <w:lvlJc w:val="left"/>
      <w:pPr>
        <w:ind w:left="1135" w:hanging="283"/>
      </w:pPr>
      <w:rPr>
        <w:rFonts w:ascii="Wingdings" w:hAnsi="Wingdings" w:hint="default"/>
      </w:rPr>
    </w:lvl>
    <w:lvl w:ilvl="3">
      <w:start w:val="1"/>
      <w:numFmt w:val="bullet"/>
      <w:pStyle w:val="ListBullet4"/>
      <w:lvlText w:val=""/>
      <w:lvlJc w:val="left"/>
      <w:pPr>
        <w:ind w:left="1419" w:hanging="283"/>
      </w:pPr>
      <w:rPr>
        <w:rFonts w:ascii="Symbol" w:hAnsi="Symbol" w:hint="default"/>
      </w:rPr>
    </w:lvl>
    <w:lvl w:ilvl="4">
      <w:start w:val="1"/>
      <w:numFmt w:val="bullet"/>
      <w:pStyle w:val="ListBullet5"/>
      <w:lvlText w:val="o"/>
      <w:lvlJc w:val="left"/>
      <w:pPr>
        <w:ind w:left="1703" w:hanging="283"/>
      </w:pPr>
      <w:rPr>
        <w:rFonts w:ascii="Courier New" w:hAnsi="Courier New" w:hint="default"/>
      </w:rPr>
    </w:lvl>
    <w:lvl w:ilvl="5">
      <w:start w:val="1"/>
      <w:numFmt w:val="none"/>
      <w:lvlText w:val=""/>
      <w:lvlJc w:val="left"/>
      <w:pPr>
        <w:ind w:left="1987" w:hanging="286"/>
      </w:pPr>
      <w:rPr>
        <w:rFonts w:hint="default"/>
      </w:rPr>
    </w:lvl>
    <w:lvl w:ilvl="6">
      <w:start w:val="1"/>
      <w:numFmt w:val="none"/>
      <w:lvlText w:val="%7"/>
      <w:lvlJc w:val="left"/>
      <w:pPr>
        <w:ind w:left="2271" w:hanging="283"/>
      </w:pPr>
      <w:rPr>
        <w:rFonts w:hint="default"/>
      </w:rPr>
    </w:lvl>
    <w:lvl w:ilvl="7">
      <w:start w:val="1"/>
      <w:numFmt w:val="none"/>
      <w:lvlText w:val="%8"/>
      <w:lvlJc w:val="left"/>
      <w:pPr>
        <w:ind w:left="2555" w:hanging="283"/>
      </w:pPr>
      <w:rPr>
        <w:rFonts w:hint="default"/>
      </w:rPr>
    </w:lvl>
    <w:lvl w:ilvl="8">
      <w:start w:val="1"/>
      <w:numFmt w:val="none"/>
      <w:lvlText w:val="%9"/>
      <w:lvlJc w:val="left"/>
      <w:pPr>
        <w:ind w:left="2839" w:hanging="283"/>
      </w:pPr>
      <w:rPr>
        <w:rFonts w:hint="default"/>
      </w:rPr>
    </w:lvl>
  </w:abstractNum>
  <w:abstractNum w:abstractNumId="33" w15:restartNumberingAfterBreak="0">
    <w:nsid w:val="4D1318FF"/>
    <w:multiLevelType w:val="multilevel"/>
    <w:tmpl w:val="3A36B752"/>
    <w:lvl w:ilvl="0">
      <w:start w:val="2"/>
      <w:numFmt w:val="decimal"/>
      <w:lvlText w:val="%1.0"/>
      <w:lvlJc w:val="left"/>
      <w:pPr>
        <w:ind w:left="1211"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011" w:hanging="720"/>
      </w:pPr>
      <w:rPr>
        <w:rFonts w:hint="default"/>
      </w:rPr>
    </w:lvl>
    <w:lvl w:ilvl="3">
      <w:start w:val="1"/>
      <w:numFmt w:val="decimal"/>
      <w:lvlText w:val="%1.%2.%3.%4"/>
      <w:lvlJc w:val="left"/>
      <w:pPr>
        <w:ind w:left="4091" w:hanging="1080"/>
      </w:pPr>
      <w:rPr>
        <w:rFonts w:hint="default"/>
      </w:rPr>
    </w:lvl>
    <w:lvl w:ilvl="4">
      <w:start w:val="1"/>
      <w:numFmt w:val="decimal"/>
      <w:lvlText w:val="%1.%2.%3.%4.%5"/>
      <w:lvlJc w:val="left"/>
      <w:pPr>
        <w:ind w:left="4811" w:hanging="1080"/>
      </w:pPr>
      <w:rPr>
        <w:rFonts w:hint="default"/>
      </w:rPr>
    </w:lvl>
    <w:lvl w:ilvl="5">
      <w:start w:val="1"/>
      <w:numFmt w:val="decimal"/>
      <w:lvlText w:val="%1.%2.%3.%4.%5.%6"/>
      <w:lvlJc w:val="left"/>
      <w:pPr>
        <w:ind w:left="5891" w:hanging="1440"/>
      </w:pPr>
      <w:rPr>
        <w:rFonts w:hint="default"/>
      </w:rPr>
    </w:lvl>
    <w:lvl w:ilvl="6">
      <w:start w:val="1"/>
      <w:numFmt w:val="decimal"/>
      <w:lvlText w:val="%1.%2.%3.%4.%5.%6.%7"/>
      <w:lvlJc w:val="left"/>
      <w:pPr>
        <w:ind w:left="6611" w:hanging="1440"/>
      </w:pPr>
      <w:rPr>
        <w:rFonts w:hint="default"/>
      </w:rPr>
    </w:lvl>
    <w:lvl w:ilvl="7">
      <w:start w:val="1"/>
      <w:numFmt w:val="decimal"/>
      <w:lvlText w:val="%1.%2.%3.%4.%5.%6.%7.%8"/>
      <w:lvlJc w:val="left"/>
      <w:pPr>
        <w:ind w:left="7691" w:hanging="1800"/>
      </w:pPr>
      <w:rPr>
        <w:rFonts w:hint="default"/>
      </w:rPr>
    </w:lvl>
    <w:lvl w:ilvl="8">
      <w:start w:val="1"/>
      <w:numFmt w:val="decimal"/>
      <w:lvlText w:val="%1.%2.%3.%4.%5.%6.%7.%8.%9"/>
      <w:lvlJc w:val="left"/>
      <w:pPr>
        <w:ind w:left="8771" w:hanging="2160"/>
      </w:pPr>
      <w:rPr>
        <w:rFonts w:hint="default"/>
      </w:rPr>
    </w:lvl>
  </w:abstractNum>
  <w:abstractNum w:abstractNumId="34" w15:restartNumberingAfterBreak="0">
    <w:nsid w:val="4D5B6E8B"/>
    <w:multiLevelType w:val="hybridMultilevel"/>
    <w:tmpl w:val="53181E4A"/>
    <w:lvl w:ilvl="0" w:tplc="043A80A2">
      <w:start w:val="8"/>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D86592A"/>
    <w:multiLevelType w:val="hybridMultilevel"/>
    <w:tmpl w:val="B67E7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B31B77"/>
    <w:multiLevelType w:val="hybridMultilevel"/>
    <w:tmpl w:val="BE80A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F3C6DC3"/>
    <w:multiLevelType w:val="hybridMultilevel"/>
    <w:tmpl w:val="62A48C5E"/>
    <w:lvl w:ilvl="0" w:tplc="831EA7E4">
      <w:start w:val="1"/>
      <w:numFmt w:val="decimal"/>
      <w:lvlText w:val="%1."/>
      <w:lvlJc w:val="left"/>
      <w:pPr>
        <w:tabs>
          <w:tab w:val="num" w:pos="534"/>
        </w:tabs>
        <w:ind w:left="534" w:hanging="390"/>
      </w:pPr>
      <w:rPr>
        <w:rFonts w:hint="default"/>
      </w:rPr>
    </w:lvl>
    <w:lvl w:ilvl="1" w:tplc="6C462270">
      <w:start w:val="1"/>
      <w:numFmt w:val="lowerLetter"/>
      <w:lvlText w:val="%2."/>
      <w:lvlJc w:val="left"/>
      <w:pPr>
        <w:tabs>
          <w:tab w:val="num" w:pos="1224"/>
        </w:tabs>
        <w:ind w:left="1224" w:hanging="360"/>
      </w:pPr>
    </w:lvl>
    <w:lvl w:ilvl="2" w:tplc="A4FE48B2">
      <w:start w:val="1"/>
      <w:numFmt w:val="lowerRoman"/>
      <w:lvlText w:val="%3."/>
      <w:lvlJc w:val="right"/>
      <w:pPr>
        <w:tabs>
          <w:tab w:val="num" w:pos="1944"/>
        </w:tabs>
        <w:ind w:left="1944" w:hanging="180"/>
      </w:pPr>
    </w:lvl>
    <w:lvl w:ilvl="3" w:tplc="593A8482">
      <w:start w:val="1"/>
      <w:numFmt w:val="decimal"/>
      <w:lvlText w:val="%4."/>
      <w:lvlJc w:val="left"/>
      <w:pPr>
        <w:tabs>
          <w:tab w:val="num" w:pos="2664"/>
        </w:tabs>
        <w:ind w:left="2664" w:hanging="360"/>
      </w:pPr>
    </w:lvl>
    <w:lvl w:ilvl="4" w:tplc="E3D065F0">
      <w:start w:val="1"/>
      <w:numFmt w:val="lowerLetter"/>
      <w:lvlText w:val="%5."/>
      <w:lvlJc w:val="left"/>
      <w:pPr>
        <w:tabs>
          <w:tab w:val="num" w:pos="3384"/>
        </w:tabs>
        <w:ind w:left="3384" w:hanging="360"/>
      </w:pPr>
    </w:lvl>
    <w:lvl w:ilvl="5" w:tplc="12048B7C">
      <w:start w:val="1"/>
      <w:numFmt w:val="lowerRoman"/>
      <w:lvlText w:val="%6."/>
      <w:lvlJc w:val="right"/>
      <w:pPr>
        <w:tabs>
          <w:tab w:val="num" w:pos="4104"/>
        </w:tabs>
        <w:ind w:left="4104" w:hanging="180"/>
      </w:pPr>
    </w:lvl>
    <w:lvl w:ilvl="6" w:tplc="A442F12C">
      <w:start w:val="1"/>
      <w:numFmt w:val="decimal"/>
      <w:lvlText w:val="%7."/>
      <w:lvlJc w:val="left"/>
      <w:pPr>
        <w:tabs>
          <w:tab w:val="num" w:pos="4824"/>
        </w:tabs>
        <w:ind w:left="4824" w:hanging="360"/>
      </w:pPr>
    </w:lvl>
    <w:lvl w:ilvl="7" w:tplc="DF4C1C82">
      <w:start w:val="1"/>
      <w:numFmt w:val="lowerLetter"/>
      <w:lvlText w:val="%8."/>
      <w:lvlJc w:val="left"/>
      <w:pPr>
        <w:tabs>
          <w:tab w:val="num" w:pos="5544"/>
        </w:tabs>
        <w:ind w:left="5544" w:hanging="360"/>
      </w:pPr>
    </w:lvl>
    <w:lvl w:ilvl="8" w:tplc="1486DE90">
      <w:start w:val="1"/>
      <w:numFmt w:val="lowerRoman"/>
      <w:lvlText w:val="%9."/>
      <w:lvlJc w:val="right"/>
      <w:pPr>
        <w:tabs>
          <w:tab w:val="num" w:pos="6264"/>
        </w:tabs>
        <w:ind w:left="6264" w:hanging="180"/>
      </w:pPr>
    </w:lvl>
  </w:abstractNum>
  <w:abstractNum w:abstractNumId="38" w15:restartNumberingAfterBreak="0">
    <w:nsid w:val="53007789"/>
    <w:multiLevelType w:val="singleLevel"/>
    <w:tmpl w:val="9488CE46"/>
    <w:lvl w:ilvl="0">
      <w:start w:val="1"/>
      <w:numFmt w:val="decimal"/>
      <w:lvlText w:val="%1."/>
      <w:lvlJc w:val="left"/>
      <w:pPr>
        <w:tabs>
          <w:tab w:val="num" w:pos="360"/>
        </w:tabs>
        <w:ind w:left="360" w:hanging="360"/>
      </w:pPr>
      <w:rPr>
        <w:b w:val="0"/>
        <w:sz w:val="22"/>
        <w:szCs w:val="22"/>
      </w:rPr>
    </w:lvl>
  </w:abstractNum>
  <w:abstractNum w:abstractNumId="39" w15:restartNumberingAfterBreak="0">
    <w:nsid w:val="54440228"/>
    <w:multiLevelType w:val="hybridMultilevel"/>
    <w:tmpl w:val="C1EE70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B4E79CC"/>
    <w:multiLevelType w:val="hybridMultilevel"/>
    <w:tmpl w:val="A4DC1F10"/>
    <w:lvl w:ilvl="0" w:tplc="08090011">
      <w:start w:val="1"/>
      <w:numFmt w:val="decimal"/>
      <w:lvlText w:val="%1)"/>
      <w:lvlJc w:val="left"/>
      <w:pPr>
        <w:ind w:left="1463" w:hanging="360"/>
      </w:pPr>
    </w:lvl>
    <w:lvl w:ilvl="1" w:tplc="08090019" w:tentative="1">
      <w:start w:val="1"/>
      <w:numFmt w:val="lowerLetter"/>
      <w:lvlText w:val="%2."/>
      <w:lvlJc w:val="left"/>
      <w:pPr>
        <w:ind w:left="2183" w:hanging="360"/>
      </w:pPr>
    </w:lvl>
    <w:lvl w:ilvl="2" w:tplc="0809001B" w:tentative="1">
      <w:start w:val="1"/>
      <w:numFmt w:val="lowerRoman"/>
      <w:lvlText w:val="%3."/>
      <w:lvlJc w:val="right"/>
      <w:pPr>
        <w:ind w:left="2903" w:hanging="180"/>
      </w:pPr>
    </w:lvl>
    <w:lvl w:ilvl="3" w:tplc="0809000F" w:tentative="1">
      <w:start w:val="1"/>
      <w:numFmt w:val="decimal"/>
      <w:lvlText w:val="%4."/>
      <w:lvlJc w:val="left"/>
      <w:pPr>
        <w:ind w:left="3623" w:hanging="360"/>
      </w:pPr>
    </w:lvl>
    <w:lvl w:ilvl="4" w:tplc="08090019" w:tentative="1">
      <w:start w:val="1"/>
      <w:numFmt w:val="lowerLetter"/>
      <w:lvlText w:val="%5."/>
      <w:lvlJc w:val="left"/>
      <w:pPr>
        <w:ind w:left="4343" w:hanging="360"/>
      </w:pPr>
    </w:lvl>
    <w:lvl w:ilvl="5" w:tplc="0809001B" w:tentative="1">
      <w:start w:val="1"/>
      <w:numFmt w:val="lowerRoman"/>
      <w:lvlText w:val="%6."/>
      <w:lvlJc w:val="right"/>
      <w:pPr>
        <w:ind w:left="5063" w:hanging="180"/>
      </w:pPr>
    </w:lvl>
    <w:lvl w:ilvl="6" w:tplc="0809000F" w:tentative="1">
      <w:start w:val="1"/>
      <w:numFmt w:val="decimal"/>
      <w:lvlText w:val="%7."/>
      <w:lvlJc w:val="left"/>
      <w:pPr>
        <w:ind w:left="5783" w:hanging="360"/>
      </w:pPr>
    </w:lvl>
    <w:lvl w:ilvl="7" w:tplc="08090019" w:tentative="1">
      <w:start w:val="1"/>
      <w:numFmt w:val="lowerLetter"/>
      <w:lvlText w:val="%8."/>
      <w:lvlJc w:val="left"/>
      <w:pPr>
        <w:ind w:left="6503" w:hanging="360"/>
      </w:pPr>
    </w:lvl>
    <w:lvl w:ilvl="8" w:tplc="0809001B" w:tentative="1">
      <w:start w:val="1"/>
      <w:numFmt w:val="lowerRoman"/>
      <w:lvlText w:val="%9."/>
      <w:lvlJc w:val="right"/>
      <w:pPr>
        <w:ind w:left="7223" w:hanging="180"/>
      </w:pPr>
    </w:lvl>
  </w:abstractNum>
  <w:abstractNum w:abstractNumId="41" w15:restartNumberingAfterBreak="0">
    <w:nsid w:val="5DCE75CA"/>
    <w:multiLevelType w:val="multilevel"/>
    <w:tmpl w:val="47829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661717"/>
    <w:multiLevelType w:val="multilevel"/>
    <w:tmpl w:val="20CCB018"/>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6F1E3354"/>
    <w:multiLevelType w:val="hybridMultilevel"/>
    <w:tmpl w:val="DA3A7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32E7AAB"/>
    <w:multiLevelType w:val="hybridMultilevel"/>
    <w:tmpl w:val="6570F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074A5E"/>
    <w:multiLevelType w:val="multilevel"/>
    <w:tmpl w:val="67045C38"/>
    <w:lvl w:ilvl="0">
      <w:start w:val="6"/>
      <w:numFmt w:val="decimal"/>
      <w:lvlText w:val="%1.0"/>
      <w:lvlJc w:val="left"/>
      <w:pPr>
        <w:ind w:left="1211"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011" w:hanging="720"/>
      </w:pPr>
      <w:rPr>
        <w:rFonts w:hint="default"/>
      </w:rPr>
    </w:lvl>
    <w:lvl w:ilvl="3">
      <w:start w:val="1"/>
      <w:numFmt w:val="decimal"/>
      <w:lvlText w:val="%1.%2.%3.%4"/>
      <w:lvlJc w:val="left"/>
      <w:pPr>
        <w:ind w:left="4091" w:hanging="1080"/>
      </w:pPr>
      <w:rPr>
        <w:rFonts w:hint="default"/>
      </w:rPr>
    </w:lvl>
    <w:lvl w:ilvl="4">
      <w:start w:val="1"/>
      <w:numFmt w:val="decimal"/>
      <w:lvlText w:val="%1.%2.%3.%4.%5"/>
      <w:lvlJc w:val="left"/>
      <w:pPr>
        <w:ind w:left="4811" w:hanging="1080"/>
      </w:pPr>
      <w:rPr>
        <w:rFonts w:hint="default"/>
      </w:rPr>
    </w:lvl>
    <w:lvl w:ilvl="5">
      <w:start w:val="1"/>
      <w:numFmt w:val="decimal"/>
      <w:lvlText w:val="%1.%2.%3.%4.%5.%6"/>
      <w:lvlJc w:val="left"/>
      <w:pPr>
        <w:ind w:left="5891" w:hanging="1440"/>
      </w:pPr>
      <w:rPr>
        <w:rFonts w:hint="default"/>
      </w:rPr>
    </w:lvl>
    <w:lvl w:ilvl="6">
      <w:start w:val="1"/>
      <w:numFmt w:val="decimal"/>
      <w:lvlText w:val="%1.%2.%3.%4.%5.%6.%7"/>
      <w:lvlJc w:val="left"/>
      <w:pPr>
        <w:ind w:left="6611" w:hanging="1440"/>
      </w:pPr>
      <w:rPr>
        <w:rFonts w:hint="default"/>
      </w:rPr>
    </w:lvl>
    <w:lvl w:ilvl="7">
      <w:start w:val="1"/>
      <w:numFmt w:val="decimal"/>
      <w:lvlText w:val="%1.%2.%3.%4.%5.%6.%7.%8"/>
      <w:lvlJc w:val="left"/>
      <w:pPr>
        <w:ind w:left="7691" w:hanging="1800"/>
      </w:pPr>
      <w:rPr>
        <w:rFonts w:hint="default"/>
      </w:rPr>
    </w:lvl>
    <w:lvl w:ilvl="8">
      <w:start w:val="1"/>
      <w:numFmt w:val="decimal"/>
      <w:lvlText w:val="%1.%2.%3.%4.%5.%6.%7.%8.%9"/>
      <w:lvlJc w:val="left"/>
      <w:pPr>
        <w:ind w:left="8771" w:hanging="2160"/>
      </w:pPr>
      <w:rPr>
        <w:rFonts w:hint="default"/>
      </w:rPr>
    </w:lvl>
  </w:abstractNum>
  <w:num w:numId="1" w16cid:durableId="1520854237">
    <w:abstractNumId w:val="29"/>
  </w:num>
  <w:num w:numId="2" w16cid:durableId="1156456240">
    <w:abstractNumId w:val="32"/>
  </w:num>
  <w:num w:numId="3" w16cid:durableId="1657102891">
    <w:abstractNumId w:val="23"/>
  </w:num>
  <w:num w:numId="4" w16cid:durableId="21521149">
    <w:abstractNumId w:val="10"/>
  </w:num>
  <w:num w:numId="5" w16cid:durableId="425345616">
    <w:abstractNumId w:val="22"/>
  </w:num>
  <w:num w:numId="6" w16cid:durableId="2058164532">
    <w:abstractNumId w:val="13"/>
  </w:num>
  <w:num w:numId="7" w16cid:durableId="1578903069">
    <w:abstractNumId w:val="1"/>
  </w:num>
  <w:num w:numId="8" w16cid:durableId="1253319884">
    <w:abstractNumId w:val="9"/>
  </w:num>
  <w:num w:numId="9" w16cid:durableId="1911887213">
    <w:abstractNumId w:val="38"/>
  </w:num>
  <w:num w:numId="10" w16cid:durableId="1873301164">
    <w:abstractNumId w:val="11"/>
  </w:num>
  <w:num w:numId="11" w16cid:durableId="1833643293">
    <w:abstractNumId w:val="37"/>
  </w:num>
  <w:num w:numId="12" w16cid:durableId="1865097656">
    <w:abstractNumId w:val="0"/>
  </w:num>
  <w:num w:numId="13" w16cid:durableId="17137245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06096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84554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5501769">
    <w:abstractNumId w:val="40"/>
  </w:num>
  <w:num w:numId="17" w16cid:durableId="1207067987">
    <w:abstractNumId w:val="14"/>
  </w:num>
  <w:num w:numId="18" w16cid:durableId="1959606047">
    <w:abstractNumId w:val="31"/>
  </w:num>
  <w:num w:numId="19" w16cid:durableId="1915620806">
    <w:abstractNumId w:val="7"/>
  </w:num>
  <w:num w:numId="20" w16cid:durableId="1453287733">
    <w:abstractNumId w:val="5"/>
  </w:num>
  <w:num w:numId="21" w16cid:durableId="384991192">
    <w:abstractNumId w:val="27"/>
  </w:num>
  <w:num w:numId="22" w16cid:durableId="618606316">
    <w:abstractNumId w:val="35"/>
  </w:num>
  <w:num w:numId="23" w16cid:durableId="281688991">
    <w:abstractNumId w:val="36"/>
  </w:num>
  <w:num w:numId="24" w16cid:durableId="80610389">
    <w:abstractNumId w:val="41"/>
  </w:num>
  <w:num w:numId="25" w16cid:durableId="1489327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216416">
    <w:abstractNumId w:val="45"/>
  </w:num>
  <w:num w:numId="27" w16cid:durableId="1112822656">
    <w:abstractNumId w:val="17"/>
  </w:num>
  <w:num w:numId="28" w16cid:durableId="155220575">
    <w:abstractNumId w:val="25"/>
  </w:num>
  <w:num w:numId="29" w16cid:durableId="271784832">
    <w:abstractNumId w:val="15"/>
  </w:num>
  <w:num w:numId="30" w16cid:durableId="439493276">
    <w:abstractNumId w:val="21"/>
  </w:num>
  <w:num w:numId="31" w16cid:durableId="1845169542">
    <w:abstractNumId w:val="33"/>
  </w:num>
  <w:num w:numId="32" w16cid:durableId="803692242">
    <w:abstractNumId w:val="16"/>
  </w:num>
  <w:num w:numId="33" w16cid:durableId="1614823943">
    <w:abstractNumId w:val="30"/>
  </w:num>
  <w:num w:numId="34" w16cid:durableId="1622951769">
    <w:abstractNumId w:val="26"/>
  </w:num>
  <w:num w:numId="35" w16cid:durableId="51271663">
    <w:abstractNumId w:val="19"/>
  </w:num>
  <w:num w:numId="36" w16cid:durableId="1683161474">
    <w:abstractNumId w:val="43"/>
  </w:num>
  <w:num w:numId="37" w16cid:durableId="1534732358">
    <w:abstractNumId w:val="24"/>
  </w:num>
  <w:num w:numId="38" w16cid:durableId="1663313683">
    <w:abstractNumId w:val="6"/>
  </w:num>
  <w:num w:numId="39" w16cid:durableId="183372444">
    <w:abstractNumId w:val="42"/>
  </w:num>
  <w:num w:numId="40" w16cid:durableId="2122608997">
    <w:abstractNumId w:val="4"/>
  </w:num>
  <w:num w:numId="41" w16cid:durableId="66153346">
    <w:abstractNumId w:val="34"/>
  </w:num>
  <w:num w:numId="42" w16cid:durableId="989482407">
    <w:abstractNumId w:val="20"/>
  </w:num>
  <w:num w:numId="43" w16cid:durableId="1443647150">
    <w:abstractNumId w:val="8"/>
  </w:num>
  <w:num w:numId="44" w16cid:durableId="205411537">
    <w:abstractNumId w:val="2"/>
  </w:num>
  <w:num w:numId="45" w16cid:durableId="353919913">
    <w:abstractNumId w:val="3"/>
  </w:num>
  <w:num w:numId="46" w16cid:durableId="334848101">
    <w:abstractNumId w:val="12"/>
  </w:num>
  <w:num w:numId="47" w16cid:durableId="813183233">
    <w:abstractNumId w:val="18"/>
  </w:num>
  <w:num w:numId="48" w16cid:durableId="117916866">
    <w:abstractNumId w:val="28"/>
  </w:num>
  <w:num w:numId="49" w16cid:durableId="1485008673">
    <w:abstractNumId w:val="44"/>
  </w:num>
  <w:num w:numId="50" w16cid:durableId="1461531366">
    <w:abstractNumId w:val="3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1"/>
  <w:drawingGridVerticalSpacing w:val="181"/>
  <w:characterSpacingControl w:val="doNotCompress"/>
  <w:hdrShapeDefaults>
    <o:shapedefaults v:ext="edit" spidmax="2050"/>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53"/>
    <w:rsid w:val="000034ED"/>
    <w:rsid w:val="0000572E"/>
    <w:rsid w:val="00005775"/>
    <w:rsid w:val="00010BB2"/>
    <w:rsid w:val="00013FC5"/>
    <w:rsid w:val="000176C6"/>
    <w:rsid w:val="00026098"/>
    <w:rsid w:val="00030747"/>
    <w:rsid w:val="0003093A"/>
    <w:rsid w:val="0003213F"/>
    <w:rsid w:val="00032C7B"/>
    <w:rsid w:val="00035876"/>
    <w:rsid w:val="0004075A"/>
    <w:rsid w:val="00040B14"/>
    <w:rsid w:val="00041CE1"/>
    <w:rsid w:val="00051962"/>
    <w:rsid w:val="0005242F"/>
    <w:rsid w:val="000536A7"/>
    <w:rsid w:val="00057AE7"/>
    <w:rsid w:val="000604F1"/>
    <w:rsid w:val="00063372"/>
    <w:rsid w:val="00064B11"/>
    <w:rsid w:val="00064BC6"/>
    <w:rsid w:val="00064E4D"/>
    <w:rsid w:val="000718FD"/>
    <w:rsid w:val="00072624"/>
    <w:rsid w:val="00073487"/>
    <w:rsid w:val="0007648A"/>
    <w:rsid w:val="000776EC"/>
    <w:rsid w:val="000819FD"/>
    <w:rsid w:val="0008231C"/>
    <w:rsid w:val="00082711"/>
    <w:rsid w:val="00085AE7"/>
    <w:rsid w:val="00086B95"/>
    <w:rsid w:val="00086E92"/>
    <w:rsid w:val="000A6B54"/>
    <w:rsid w:val="000A7242"/>
    <w:rsid w:val="000B0DB0"/>
    <w:rsid w:val="000B322C"/>
    <w:rsid w:val="000B5E05"/>
    <w:rsid w:val="000C69A6"/>
    <w:rsid w:val="000C7631"/>
    <w:rsid w:val="000D1324"/>
    <w:rsid w:val="000D4C54"/>
    <w:rsid w:val="000E03C0"/>
    <w:rsid w:val="000F2983"/>
    <w:rsid w:val="00101928"/>
    <w:rsid w:val="0010557A"/>
    <w:rsid w:val="00106B63"/>
    <w:rsid w:val="0011412C"/>
    <w:rsid w:val="00115D46"/>
    <w:rsid w:val="00121931"/>
    <w:rsid w:val="001223AA"/>
    <w:rsid w:val="00122516"/>
    <w:rsid w:val="00123AFD"/>
    <w:rsid w:val="00125BB6"/>
    <w:rsid w:val="00126AB8"/>
    <w:rsid w:val="00127046"/>
    <w:rsid w:val="00127F0E"/>
    <w:rsid w:val="0013244C"/>
    <w:rsid w:val="00134379"/>
    <w:rsid w:val="00134B1C"/>
    <w:rsid w:val="00136811"/>
    <w:rsid w:val="00137260"/>
    <w:rsid w:val="00146436"/>
    <w:rsid w:val="001502EA"/>
    <w:rsid w:val="00155D2D"/>
    <w:rsid w:val="00162C6F"/>
    <w:rsid w:val="001650F5"/>
    <w:rsid w:val="00173126"/>
    <w:rsid w:val="00174110"/>
    <w:rsid w:val="0018473B"/>
    <w:rsid w:val="00195AD8"/>
    <w:rsid w:val="00195C73"/>
    <w:rsid w:val="00196841"/>
    <w:rsid w:val="00197216"/>
    <w:rsid w:val="001A0E9D"/>
    <w:rsid w:val="001A160D"/>
    <w:rsid w:val="001B2A6E"/>
    <w:rsid w:val="001B4012"/>
    <w:rsid w:val="001C0713"/>
    <w:rsid w:val="001C138A"/>
    <w:rsid w:val="001C287C"/>
    <w:rsid w:val="001C3184"/>
    <w:rsid w:val="001C66BA"/>
    <w:rsid w:val="001D077C"/>
    <w:rsid w:val="001D254A"/>
    <w:rsid w:val="001D2777"/>
    <w:rsid w:val="001D3047"/>
    <w:rsid w:val="001E072D"/>
    <w:rsid w:val="001E14A9"/>
    <w:rsid w:val="001E6402"/>
    <w:rsid w:val="001E698E"/>
    <w:rsid w:val="00200942"/>
    <w:rsid w:val="00203497"/>
    <w:rsid w:val="00203CB1"/>
    <w:rsid w:val="0021029F"/>
    <w:rsid w:val="0021191D"/>
    <w:rsid w:val="00211CC0"/>
    <w:rsid w:val="00211FE6"/>
    <w:rsid w:val="00215CC9"/>
    <w:rsid w:val="002167D3"/>
    <w:rsid w:val="0022314B"/>
    <w:rsid w:val="00224710"/>
    <w:rsid w:val="00224B44"/>
    <w:rsid w:val="00227927"/>
    <w:rsid w:val="00227DD9"/>
    <w:rsid w:val="00230CD4"/>
    <w:rsid w:val="0023231A"/>
    <w:rsid w:val="00233643"/>
    <w:rsid w:val="00235B49"/>
    <w:rsid w:val="00240FE6"/>
    <w:rsid w:val="00241A49"/>
    <w:rsid w:val="002437D0"/>
    <w:rsid w:val="00246112"/>
    <w:rsid w:val="0025110A"/>
    <w:rsid w:val="0025139A"/>
    <w:rsid w:val="00253966"/>
    <w:rsid w:val="00255815"/>
    <w:rsid w:val="00261975"/>
    <w:rsid w:val="00262855"/>
    <w:rsid w:val="00264235"/>
    <w:rsid w:val="0028120B"/>
    <w:rsid w:val="002935C3"/>
    <w:rsid w:val="00295077"/>
    <w:rsid w:val="002952BB"/>
    <w:rsid w:val="002A05AD"/>
    <w:rsid w:val="002A19DD"/>
    <w:rsid w:val="002A43D0"/>
    <w:rsid w:val="002A4C5B"/>
    <w:rsid w:val="002B4CCA"/>
    <w:rsid w:val="002B6F96"/>
    <w:rsid w:val="002C27D0"/>
    <w:rsid w:val="002C2CFB"/>
    <w:rsid w:val="002C5769"/>
    <w:rsid w:val="002C7951"/>
    <w:rsid w:val="002D154C"/>
    <w:rsid w:val="002D197C"/>
    <w:rsid w:val="002D2698"/>
    <w:rsid w:val="002D55AC"/>
    <w:rsid w:val="002E1E1A"/>
    <w:rsid w:val="002E2340"/>
    <w:rsid w:val="002E2BB0"/>
    <w:rsid w:val="002F04DD"/>
    <w:rsid w:val="002F48F2"/>
    <w:rsid w:val="00304EC2"/>
    <w:rsid w:val="00306369"/>
    <w:rsid w:val="00310689"/>
    <w:rsid w:val="003129B3"/>
    <w:rsid w:val="00313F95"/>
    <w:rsid w:val="00320417"/>
    <w:rsid w:val="00320A40"/>
    <w:rsid w:val="0032389F"/>
    <w:rsid w:val="003250D0"/>
    <w:rsid w:val="00325A5B"/>
    <w:rsid w:val="0033548B"/>
    <w:rsid w:val="0033552D"/>
    <w:rsid w:val="00336430"/>
    <w:rsid w:val="00336C03"/>
    <w:rsid w:val="0035002A"/>
    <w:rsid w:val="00355F26"/>
    <w:rsid w:val="003566C9"/>
    <w:rsid w:val="003568EA"/>
    <w:rsid w:val="00357226"/>
    <w:rsid w:val="00363727"/>
    <w:rsid w:val="003650C3"/>
    <w:rsid w:val="00365159"/>
    <w:rsid w:val="00365827"/>
    <w:rsid w:val="00367357"/>
    <w:rsid w:val="00370777"/>
    <w:rsid w:val="003719EA"/>
    <w:rsid w:val="00371ED4"/>
    <w:rsid w:val="0037439A"/>
    <w:rsid w:val="00376EFB"/>
    <w:rsid w:val="00380365"/>
    <w:rsid w:val="0038143E"/>
    <w:rsid w:val="0038661E"/>
    <w:rsid w:val="00387099"/>
    <w:rsid w:val="003940DE"/>
    <w:rsid w:val="003948CA"/>
    <w:rsid w:val="0039732F"/>
    <w:rsid w:val="003A1343"/>
    <w:rsid w:val="003B5FEC"/>
    <w:rsid w:val="003C4C0D"/>
    <w:rsid w:val="003C73C5"/>
    <w:rsid w:val="003E0769"/>
    <w:rsid w:val="003F02A7"/>
    <w:rsid w:val="003F1A54"/>
    <w:rsid w:val="003F54DD"/>
    <w:rsid w:val="003F787D"/>
    <w:rsid w:val="00400EFF"/>
    <w:rsid w:val="0040183B"/>
    <w:rsid w:val="0041091F"/>
    <w:rsid w:val="004112F5"/>
    <w:rsid w:val="00412B82"/>
    <w:rsid w:val="00413636"/>
    <w:rsid w:val="00413846"/>
    <w:rsid w:val="0042324C"/>
    <w:rsid w:val="0042399E"/>
    <w:rsid w:val="0042546D"/>
    <w:rsid w:val="00431162"/>
    <w:rsid w:val="004315E5"/>
    <w:rsid w:val="004361B7"/>
    <w:rsid w:val="00437C1A"/>
    <w:rsid w:val="0044091E"/>
    <w:rsid w:val="00441E7C"/>
    <w:rsid w:val="004429E4"/>
    <w:rsid w:val="0044347E"/>
    <w:rsid w:val="0044423A"/>
    <w:rsid w:val="004461BF"/>
    <w:rsid w:val="0045043D"/>
    <w:rsid w:val="00450A6B"/>
    <w:rsid w:val="004550D4"/>
    <w:rsid w:val="00455C5A"/>
    <w:rsid w:val="00456AAA"/>
    <w:rsid w:val="00460FAD"/>
    <w:rsid w:val="00462472"/>
    <w:rsid w:val="0046588B"/>
    <w:rsid w:val="00465AA6"/>
    <w:rsid w:val="004673C8"/>
    <w:rsid w:val="00471B2F"/>
    <w:rsid w:val="00474781"/>
    <w:rsid w:val="00481244"/>
    <w:rsid w:val="004814E3"/>
    <w:rsid w:val="00483BAC"/>
    <w:rsid w:val="00491DF5"/>
    <w:rsid w:val="00497F0D"/>
    <w:rsid w:val="004A626F"/>
    <w:rsid w:val="004A67C3"/>
    <w:rsid w:val="004A6A7B"/>
    <w:rsid w:val="004A6B60"/>
    <w:rsid w:val="004B1265"/>
    <w:rsid w:val="004B5258"/>
    <w:rsid w:val="004B7222"/>
    <w:rsid w:val="004B7FF7"/>
    <w:rsid w:val="004C0006"/>
    <w:rsid w:val="004C0221"/>
    <w:rsid w:val="004C49E0"/>
    <w:rsid w:val="004C79B4"/>
    <w:rsid w:val="004C7F72"/>
    <w:rsid w:val="004D4663"/>
    <w:rsid w:val="004F3111"/>
    <w:rsid w:val="004F444E"/>
    <w:rsid w:val="004F5FD1"/>
    <w:rsid w:val="004F7EE4"/>
    <w:rsid w:val="00500358"/>
    <w:rsid w:val="005036F0"/>
    <w:rsid w:val="005044F4"/>
    <w:rsid w:val="0051225B"/>
    <w:rsid w:val="0051564A"/>
    <w:rsid w:val="005160D9"/>
    <w:rsid w:val="00523C52"/>
    <w:rsid w:val="00532005"/>
    <w:rsid w:val="00533D38"/>
    <w:rsid w:val="005344DB"/>
    <w:rsid w:val="00540816"/>
    <w:rsid w:val="00540E75"/>
    <w:rsid w:val="00542641"/>
    <w:rsid w:val="00542857"/>
    <w:rsid w:val="00542A5A"/>
    <w:rsid w:val="005434BE"/>
    <w:rsid w:val="00544450"/>
    <w:rsid w:val="0054702D"/>
    <w:rsid w:val="00556B19"/>
    <w:rsid w:val="005662EE"/>
    <w:rsid w:val="00567938"/>
    <w:rsid w:val="00570CA3"/>
    <w:rsid w:val="00571086"/>
    <w:rsid w:val="00571C34"/>
    <w:rsid w:val="00585A8F"/>
    <w:rsid w:val="00590FDB"/>
    <w:rsid w:val="00591105"/>
    <w:rsid w:val="00592DE9"/>
    <w:rsid w:val="0059478A"/>
    <w:rsid w:val="005A0ED7"/>
    <w:rsid w:val="005A468C"/>
    <w:rsid w:val="005B2F03"/>
    <w:rsid w:val="005B3879"/>
    <w:rsid w:val="005C123C"/>
    <w:rsid w:val="005C43BE"/>
    <w:rsid w:val="005D172E"/>
    <w:rsid w:val="005D26A4"/>
    <w:rsid w:val="005D340B"/>
    <w:rsid w:val="005E0DA7"/>
    <w:rsid w:val="005E25C4"/>
    <w:rsid w:val="005F0373"/>
    <w:rsid w:val="005F2312"/>
    <w:rsid w:val="005F2FD7"/>
    <w:rsid w:val="005F55F5"/>
    <w:rsid w:val="00602244"/>
    <w:rsid w:val="00602D54"/>
    <w:rsid w:val="00602EB4"/>
    <w:rsid w:val="00602EF4"/>
    <w:rsid w:val="00612071"/>
    <w:rsid w:val="006163A5"/>
    <w:rsid w:val="00620DAA"/>
    <w:rsid w:val="00625CF2"/>
    <w:rsid w:val="006274B8"/>
    <w:rsid w:val="0063168A"/>
    <w:rsid w:val="006404AF"/>
    <w:rsid w:val="00654147"/>
    <w:rsid w:val="00655533"/>
    <w:rsid w:val="00664225"/>
    <w:rsid w:val="00666EA1"/>
    <w:rsid w:val="00676F94"/>
    <w:rsid w:val="00680322"/>
    <w:rsid w:val="006806BF"/>
    <w:rsid w:val="00680819"/>
    <w:rsid w:val="006811B0"/>
    <w:rsid w:val="0068298D"/>
    <w:rsid w:val="0068611C"/>
    <w:rsid w:val="00686276"/>
    <w:rsid w:val="00686DBA"/>
    <w:rsid w:val="00686FB6"/>
    <w:rsid w:val="00695A11"/>
    <w:rsid w:val="00695F99"/>
    <w:rsid w:val="006A0661"/>
    <w:rsid w:val="006A1C9B"/>
    <w:rsid w:val="006A24A5"/>
    <w:rsid w:val="006A3291"/>
    <w:rsid w:val="006B15DA"/>
    <w:rsid w:val="006B587E"/>
    <w:rsid w:val="006C1B9A"/>
    <w:rsid w:val="006C3284"/>
    <w:rsid w:val="006C58E4"/>
    <w:rsid w:val="006C68B7"/>
    <w:rsid w:val="006D0FB9"/>
    <w:rsid w:val="006E1C89"/>
    <w:rsid w:val="006E4754"/>
    <w:rsid w:val="006F0B9E"/>
    <w:rsid w:val="006F22B8"/>
    <w:rsid w:val="006F39CE"/>
    <w:rsid w:val="006F550A"/>
    <w:rsid w:val="006F7049"/>
    <w:rsid w:val="00707532"/>
    <w:rsid w:val="007145D1"/>
    <w:rsid w:val="00715DA0"/>
    <w:rsid w:val="00717966"/>
    <w:rsid w:val="00722463"/>
    <w:rsid w:val="007272FF"/>
    <w:rsid w:val="00733AED"/>
    <w:rsid w:val="00737FA9"/>
    <w:rsid w:val="0074188E"/>
    <w:rsid w:val="007424B2"/>
    <w:rsid w:val="0074256D"/>
    <w:rsid w:val="007428C3"/>
    <w:rsid w:val="0074323C"/>
    <w:rsid w:val="007437E1"/>
    <w:rsid w:val="00745429"/>
    <w:rsid w:val="00745719"/>
    <w:rsid w:val="007542FA"/>
    <w:rsid w:val="00754F0F"/>
    <w:rsid w:val="00755DFE"/>
    <w:rsid w:val="00757E04"/>
    <w:rsid w:val="00762873"/>
    <w:rsid w:val="007629D8"/>
    <w:rsid w:val="00764368"/>
    <w:rsid w:val="00770FEE"/>
    <w:rsid w:val="00772051"/>
    <w:rsid w:val="00772D7F"/>
    <w:rsid w:val="0077321C"/>
    <w:rsid w:val="00777149"/>
    <w:rsid w:val="00781DC9"/>
    <w:rsid w:val="00784AFA"/>
    <w:rsid w:val="00786037"/>
    <w:rsid w:val="00793C90"/>
    <w:rsid w:val="007974A8"/>
    <w:rsid w:val="007A194F"/>
    <w:rsid w:val="007A23E8"/>
    <w:rsid w:val="007A2BF6"/>
    <w:rsid w:val="007A2E6C"/>
    <w:rsid w:val="007A435C"/>
    <w:rsid w:val="007A6BDC"/>
    <w:rsid w:val="007A6CBE"/>
    <w:rsid w:val="007B0F9C"/>
    <w:rsid w:val="007B4D49"/>
    <w:rsid w:val="007B67B8"/>
    <w:rsid w:val="007C4B50"/>
    <w:rsid w:val="007C4D7D"/>
    <w:rsid w:val="007C5064"/>
    <w:rsid w:val="007C63DB"/>
    <w:rsid w:val="007D2BF5"/>
    <w:rsid w:val="007D4581"/>
    <w:rsid w:val="007D4FA5"/>
    <w:rsid w:val="007D7488"/>
    <w:rsid w:val="007E4B93"/>
    <w:rsid w:val="007F637A"/>
    <w:rsid w:val="007F63FC"/>
    <w:rsid w:val="00801EDB"/>
    <w:rsid w:val="00804052"/>
    <w:rsid w:val="008142B2"/>
    <w:rsid w:val="00814AAF"/>
    <w:rsid w:val="008153BD"/>
    <w:rsid w:val="00816691"/>
    <w:rsid w:val="00817B6C"/>
    <w:rsid w:val="00822551"/>
    <w:rsid w:val="00823480"/>
    <w:rsid w:val="008254D5"/>
    <w:rsid w:val="00826259"/>
    <w:rsid w:val="008306B9"/>
    <w:rsid w:val="00830959"/>
    <w:rsid w:val="00830E7D"/>
    <w:rsid w:val="0083250E"/>
    <w:rsid w:val="0083278E"/>
    <w:rsid w:val="008365E2"/>
    <w:rsid w:val="00837BE9"/>
    <w:rsid w:val="008420F0"/>
    <w:rsid w:val="008424FD"/>
    <w:rsid w:val="0084531A"/>
    <w:rsid w:val="00852833"/>
    <w:rsid w:val="00856B53"/>
    <w:rsid w:val="00856EAF"/>
    <w:rsid w:val="0085700C"/>
    <w:rsid w:val="008667BC"/>
    <w:rsid w:val="00870F79"/>
    <w:rsid w:val="00872CF6"/>
    <w:rsid w:val="00877DA0"/>
    <w:rsid w:val="0088083B"/>
    <w:rsid w:val="00881E8F"/>
    <w:rsid w:val="00883B0F"/>
    <w:rsid w:val="008850AA"/>
    <w:rsid w:val="00893577"/>
    <w:rsid w:val="008962F6"/>
    <w:rsid w:val="008A1EF0"/>
    <w:rsid w:val="008A3B23"/>
    <w:rsid w:val="008A4F83"/>
    <w:rsid w:val="008A5E15"/>
    <w:rsid w:val="008B06C2"/>
    <w:rsid w:val="008B40CB"/>
    <w:rsid w:val="008B5D0A"/>
    <w:rsid w:val="008C0E7D"/>
    <w:rsid w:val="008C1F8A"/>
    <w:rsid w:val="008C51D9"/>
    <w:rsid w:val="008C7299"/>
    <w:rsid w:val="008D2A45"/>
    <w:rsid w:val="008D71D9"/>
    <w:rsid w:val="008D7C26"/>
    <w:rsid w:val="008E0011"/>
    <w:rsid w:val="008E6613"/>
    <w:rsid w:val="008F1339"/>
    <w:rsid w:val="008F6140"/>
    <w:rsid w:val="0090148E"/>
    <w:rsid w:val="00902608"/>
    <w:rsid w:val="00903CBF"/>
    <w:rsid w:val="00904231"/>
    <w:rsid w:val="009119DA"/>
    <w:rsid w:val="00911DD8"/>
    <w:rsid w:val="00915D8E"/>
    <w:rsid w:val="0091641C"/>
    <w:rsid w:val="00922068"/>
    <w:rsid w:val="00922E0C"/>
    <w:rsid w:val="00924357"/>
    <w:rsid w:val="0092660C"/>
    <w:rsid w:val="0092779F"/>
    <w:rsid w:val="00930DB9"/>
    <w:rsid w:val="00937177"/>
    <w:rsid w:val="00944AD9"/>
    <w:rsid w:val="0094797D"/>
    <w:rsid w:val="009546AB"/>
    <w:rsid w:val="009639CC"/>
    <w:rsid w:val="00965652"/>
    <w:rsid w:val="00966229"/>
    <w:rsid w:val="00967082"/>
    <w:rsid w:val="00990869"/>
    <w:rsid w:val="0099510D"/>
    <w:rsid w:val="00995E63"/>
    <w:rsid w:val="009A10B9"/>
    <w:rsid w:val="009A3FB8"/>
    <w:rsid w:val="009A5A9F"/>
    <w:rsid w:val="009A682E"/>
    <w:rsid w:val="009B7A82"/>
    <w:rsid w:val="009C5D40"/>
    <w:rsid w:val="009C66CE"/>
    <w:rsid w:val="009C7AEA"/>
    <w:rsid w:val="009D1C76"/>
    <w:rsid w:val="009D2F4A"/>
    <w:rsid w:val="009D6AF9"/>
    <w:rsid w:val="009F32F0"/>
    <w:rsid w:val="009F595B"/>
    <w:rsid w:val="00A000DD"/>
    <w:rsid w:val="00A0078A"/>
    <w:rsid w:val="00A01A64"/>
    <w:rsid w:val="00A030A6"/>
    <w:rsid w:val="00A06838"/>
    <w:rsid w:val="00A17513"/>
    <w:rsid w:val="00A20540"/>
    <w:rsid w:val="00A237DB"/>
    <w:rsid w:val="00A25444"/>
    <w:rsid w:val="00A339EE"/>
    <w:rsid w:val="00A3435B"/>
    <w:rsid w:val="00A34A0D"/>
    <w:rsid w:val="00A36816"/>
    <w:rsid w:val="00A40B26"/>
    <w:rsid w:val="00A45152"/>
    <w:rsid w:val="00A458F5"/>
    <w:rsid w:val="00A5103D"/>
    <w:rsid w:val="00A558AD"/>
    <w:rsid w:val="00A6136E"/>
    <w:rsid w:val="00A630AA"/>
    <w:rsid w:val="00A63718"/>
    <w:rsid w:val="00A6606C"/>
    <w:rsid w:val="00A66A49"/>
    <w:rsid w:val="00A66BEB"/>
    <w:rsid w:val="00A77008"/>
    <w:rsid w:val="00A77F58"/>
    <w:rsid w:val="00A825C7"/>
    <w:rsid w:val="00A82D37"/>
    <w:rsid w:val="00A85025"/>
    <w:rsid w:val="00A86F8F"/>
    <w:rsid w:val="00A940B2"/>
    <w:rsid w:val="00A95B3A"/>
    <w:rsid w:val="00AA1DF4"/>
    <w:rsid w:val="00AA6188"/>
    <w:rsid w:val="00AB2DF8"/>
    <w:rsid w:val="00AC02B8"/>
    <w:rsid w:val="00AC034C"/>
    <w:rsid w:val="00AC55CA"/>
    <w:rsid w:val="00AC66EC"/>
    <w:rsid w:val="00AD1391"/>
    <w:rsid w:val="00AD7187"/>
    <w:rsid w:val="00AD78BC"/>
    <w:rsid w:val="00AE758F"/>
    <w:rsid w:val="00AF0247"/>
    <w:rsid w:val="00AF0522"/>
    <w:rsid w:val="00B0058E"/>
    <w:rsid w:val="00B00D5B"/>
    <w:rsid w:val="00B015C3"/>
    <w:rsid w:val="00B0784C"/>
    <w:rsid w:val="00B1024C"/>
    <w:rsid w:val="00B1226B"/>
    <w:rsid w:val="00B20D28"/>
    <w:rsid w:val="00B221B5"/>
    <w:rsid w:val="00B23093"/>
    <w:rsid w:val="00B24D82"/>
    <w:rsid w:val="00B306E3"/>
    <w:rsid w:val="00B30C90"/>
    <w:rsid w:val="00B32D70"/>
    <w:rsid w:val="00B50413"/>
    <w:rsid w:val="00B57FC6"/>
    <w:rsid w:val="00B62837"/>
    <w:rsid w:val="00B630E2"/>
    <w:rsid w:val="00B644C8"/>
    <w:rsid w:val="00B66E54"/>
    <w:rsid w:val="00B73C26"/>
    <w:rsid w:val="00B751C3"/>
    <w:rsid w:val="00B75378"/>
    <w:rsid w:val="00B824FD"/>
    <w:rsid w:val="00BA0D57"/>
    <w:rsid w:val="00BB011C"/>
    <w:rsid w:val="00BB36D0"/>
    <w:rsid w:val="00BB408B"/>
    <w:rsid w:val="00BB43E9"/>
    <w:rsid w:val="00BC564F"/>
    <w:rsid w:val="00BD01A6"/>
    <w:rsid w:val="00BD187B"/>
    <w:rsid w:val="00BD4E0A"/>
    <w:rsid w:val="00BD75F9"/>
    <w:rsid w:val="00BE03D5"/>
    <w:rsid w:val="00BF01FE"/>
    <w:rsid w:val="00BF3655"/>
    <w:rsid w:val="00BF3718"/>
    <w:rsid w:val="00BF62A6"/>
    <w:rsid w:val="00BF68B6"/>
    <w:rsid w:val="00BF7BA9"/>
    <w:rsid w:val="00BF7BD6"/>
    <w:rsid w:val="00C0148E"/>
    <w:rsid w:val="00C01819"/>
    <w:rsid w:val="00C04A9F"/>
    <w:rsid w:val="00C1571A"/>
    <w:rsid w:val="00C24315"/>
    <w:rsid w:val="00C24B81"/>
    <w:rsid w:val="00C251AC"/>
    <w:rsid w:val="00C2648F"/>
    <w:rsid w:val="00C27844"/>
    <w:rsid w:val="00C36139"/>
    <w:rsid w:val="00C43B5D"/>
    <w:rsid w:val="00C44C11"/>
    <w:rsid w:val="00C45A15"/>
    <w:rsid w:val="00C45F28"/>
    <w:rsid w:val="00C559EB"/>
    <w:rsid w:val="00C56C94"/>
    <w:rsid w:val="00C578A4"/>
    <w:rsid w:val="00C61BEF"/>
    <w:rsid w:val="00C64529"/>
    <w:rsid w:val="00C6759A"/>
    <w:rsid w:val="00C71575"/>
    <w:rsid w:val="00C74DF7"/>
    <w:rsid w:val="00C82A8C"/>
    <w:rsid w:val="00C863AD"/>
    <w:rsid w:val="00C929BB"/>
    <w:rsid w:val="00C93F78"/>
    <w:rsid w:val="00C94007"/>
    <w:rsid w:val="00C9435E"/>
    <w:rsid w:val="00CA0AB0"/>
    <w:rsid w:val="00CA4005"/>
    <w:rsid w:val="00CA507F"/>
    <w:rsid w:val="00CA50A7"/>
    <w:rsid w:val="00CA7C32"/>
    <w:rsid w:val="00CB41B8"/>
    <w:rsid w:val="00CB4F82"/>
    <w:rsid w:val="00CB5905"/>
    <w:rsid w:val="00CB5E92"/>
    <w:rsid w:val="00CB62CE"/>
    <w:rsid w:val="00CC0497"/>
    <w:rsid w:val="00CC07C9"/>
    <w:rsid w:val="00CC0BCE"/>
    <w:rsid w:val="00CC212A"/>
    <w:rsid w:val="00CC34C1"/>
    <w:rsid w:val="00CC5FD9"/>
    <w:rsid w:val="00CD04A7"/>
    <w:rsid w:val="00CD0B9D"/>
    <w:rsid w:val="00CD4E83"/>
    <w:rsid w:val="00CD65D5"/>
    <w:rsid w:val="00CE3EA1"/>
    <w:rsid w:val="00CE3FAD"/>
    <w:rsid w:val="00CE7508"/>
    <w:rsid w:val="00CF04B0"/>
    <w:rsid w:val="00CF198F"/>
    <w:rsid w:val="00CF26EF"/>
    <w:rsid w:val="00CF2D32"/>
    <w:rsid w:val="00D010D2"/>
    <w:rsid w:val="00D0322A"/>
    <w:rsid w:val="00D07C7A"/>
    <w:rsid w:val="00D1085A"/>
    <w:rsid w:val="00D133FD"/>
    <w:rsid w:val="00D15EC8"/>
    <w:rsid w:val="00D22B16"/>
    <w:rsid w:val="00D24C2A"/>
    <w:rsid w:val="00D35FEF"/>
    <w:rsid w:val="00D41B45"/>
    <w:rsid w:val="00D42CBE"/>
    <w:rsid w:val="00D44BD0"/>
    <w:rsid w:val="00D45D08"/>
    <w:rsid w:val="00D46B50"/>
    <w:rsid w:val="00D507C5"/>
    <w:rsid w:val="00D53FF1"/>
    <w:rsid w:val="00D55FDD"/>
    <w:rsid w:val="00D57B89"/>
    <w:rsid w:val="00D62A47"/>
    <w:rsid w:val="00D665EA"/>
    <w:rsid w:val="00D74B9D"/>
    <w:rsid w:val="00D75E8A"/>
    <w:rsid w:val="00D77314"/>
    <w:rsid w:val="00D80745"/>
    <w:rsid w:val="00D830E9"/>
    <w:rsid w:val="00D831A5"/>
    <w:rsid w:val="00D83E3D"/>
    <w:rsid w:val="00D8445B"/>
    <w:rsid w:val="00D93CC9"/>
    <w:rsid w:val="00D93D3C"/>
    <w:rsid w:val="00DA0280"/>
    <w:rsid w:val="00DA46A4"/>
    <w:rsid w:val="00DA6B72"/>
    <w:rsid w:val="00DA7390"/>
    <w:rsid w:val="00DB0129"/>
    <w:rsid w:val="00DB2A55"/>
    <w:rsid w:val="00DB2CAD"/>
    <w:rsid w:val="00DB5652"/>
    <w:rsid w:val="00DB6102"/>
    <w:rsid w:val="00DC0001"/>
    <w:rsid w:val="00DC40EE"/>
    <w:rsid w:val="00DC5B02"/>
    <w:rsid w:val="00DC6B0E"/>
    <w:rsid w:val="00DC6F0C"/>
    <w:rsid w:val="00DC7C2A"/>
    <w:rsid w:val="00DF0D6A"/>
    <w:rsid w:val="00DF1A23"/>
    <w:rsid w:val="00DF3C38"/>
    <w:rsid w:val="00DF3C86"/>
    <w:rsid w:val="00E101A8"/>
    <w:rsid w:val="00E127BD"/>
    <w:rsid w:val="00E1482F"/>
    <w:rsid w:val="00E15632"/>
    <w:rsid w:val="00E22B0E"/>
    <w:rsid w:val="00E22D03"/>
    <w:rsid w:val="00E24050"/>
    <w:rsid w:val="00E253FF"/>
    <w:rsid w:val="00E25E58"/>
    <w:rsid w:val="00E40FA7"/>
    <w:rsid w:val="00E41744"/>
    <w:rsid w:val="00E506C9"/>
    <w:rsid w:val="00E5091B"/>
    <w:rsid w:val="00E523BB"/>
    <w:rsid w:val="00E52B20"/>
    <w:rsid w:val="00E53615"/>
    <w:rsid w:val="00E56382"/>
    <w:rsid w:val="00E600F7"/>
    <w:rsid w:val="00E602CB"/>
    <w:rsid w:val="00E60D27"/>
    <w:rsid w:val="00E647FA"/>
    <w:rsid w:val="00E67A18"/>
    <w:rsid w:val="00E70A99"/>
    <w:rsid w:val="00E71DF0"/>
    <w:rsid w:val="00E7362B"/>
    <w:rsid w:val="00E7453A"/>
    <w:rsid w:val="00E75372"/>
    <w:rsid w:val="00E823AF"/>
    <w:rsid w:val="00E833DA"/>
    <w:rsid w:val="00E84973"/>
    <w:rsid w:val="00EA00A4"/>
    <w:rsid w:val="00EA0921"/>
    <w:rsid w:val="00EA2572"/>
    <w:rsid w:val="00EA3680"/>
    <w:rsid w:val="00EA65F1"/>
    <w:rsid w:val="00EA7F3F"/>
    <w:rsid w:val="00EB43AE"/>
    <w:rsid w:val="00EC00A4"/>
    <w:rsid w:val="00EC712F"/>
    <w:rsid w:val="00ED4819"/>
    <w:rsid w:val="00ED492D"/>
    <w:rsid w:val="00ED5B2E"/>
    <w:rsid w:val="00ED7A54"/>
    <w:rsid w:val="00EE13FE"/>
    <w:rsid w:val="00EE1482"/>
    <w:rsid w:val="00EE6750"/>
    <w:rsid w:val="00EE79AB"/>
    <w:rsid w:val="00EF29F0"/>
    <w:rsid w:val="00EF2C66"/>
    <w:rsid w:val="00EF594D"/>
    <w:rsid w:val="00EF7832"/>
    <w:rsid w:val="00EF7C8F"/>
    <w:rsid w:val="00F05C65"/>
    <w:rsid w:val="00F068B7"/>
    <w:rsid w:val="00F1003C"/>
    <w:rsid w:val="00F10905"/>
    <w:rsid w:val="00F11531"/>
    <w:rsid w:val="00F12092"/>
    <w:rsid w:val="00F151DD"/>
    <w:rsid w:val="00F167E2"/>
    <w:rsid w:val="00F176E3"/>
    <w:rsid w:val="00F20625"/>
    <w:rsid w:val="00F21946"/>
    <w:rsid w:val="00F2676C"/>
    <w:rsid w:val="00F270CF"/>
    <w:rsid w:val="00F3154A"/>
    <w:rsid w:val="00F32652"/>
    <w:rsid w:val="00F3487F"/>
    <w:rsid w:val="00F4158A"/>
    <w:rsid w:val="00F45003"/>
    <w:rsid w:val="00F463CB"/>
    <w:rsid w:val="00F5262B"/>
    <w:rsid w:val="00F6177F"/>
    <w:rsid w:val="00F6445F"/>
    <w:rsid w:val="00F7358C"/>
    <w:rsid w:val="00F73D41"/>
    <w:rsid w:val="00F73FF2"/>
    <w:rsid w:val="00F766B0"/>
    <w:rsid w:val="00F900F1"/>
    <w:rsid w:val="00F93C9D"/>
    <w:rsid w:val="00F97BB5"/>
    <w:rsid w:val="00FA3D64"/>
    <w:rsid w:val="00FA69D9"/>
    <w:rsid w:val="00FB29AA"/>
    <w:rsid w:val="00FB74FC"/>
    <w:rsid w:val="00FC05EF"/>
    <w:rsid w:val="00FC07E2"/>
    <w:rsid w:val="00FC2C3B"/>
    <w:rsid w:val="00FC6C05"/>
    <w:rsid w:val="00FC6E27"/>
    <w:rsid w:val="00FD538B"/>
    <w:rsid w:val="00FE30AC"/>
    <w:rsid w:val="00FE44A1"/>
    <w:rsid w:val="00FE5B78"/>
    <w:rsid w:val="00FE69EE"/>
    <w:rsid w:val="00FF1170"/>
    <w:rsid w:val="00FF12A0"/>
    <w:rsid w:val="00FF26CB"/>
    <w:rsid w:val="00FF7C56"/>
    <w:rsid w:val="065E287D"/>
    <w:rsid w:val="0ADFF72E"/>
    <w:rsid w:val="0D41551B"/>
    <w:rsid w:val="12FC9855"/>
    <w:rsid w:val="15902EFF"/>
    <w:rsid w:val="35226878"/>
    <w:rsid w:val="43B0B137"/>
    <w:rsid w:val="49239FEA"/>
    <w:rsid w:val="4E2A23CE"/>
    <w:rsid w:val="59D99760"/>
    <w:rsid w:val="5EDB3C07"/>
    <w:rsid w:val="67A373BE"/>
    <w:rsid w:val="6B0EDD9A"/>
    <w:rsid w:val="77D2EA74"/>
    <w:rsid w:val="7DB346E7"/>
    <w:rsid w:val="7E429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1B201"/>
  <w15:docId w15:val="{D0FC6780-C042-41A2-83C1-2D3914DC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9" w:unhideWhenUsed="1"/>
    <w:lsdException w:name="footer" w:semiHidden="1" w:unhideWhenUsed="1"/>
    <w:lsdException w:name="index heading" w:semiHidden="1" w:unhideWhenUsed="1"/>
    <w:lsdException w:name="caption" w:semiHidden="1" w:uiPriority="8"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ssessment_Normal"/>
    <w:rsid w:val="00261975"/>
    <w:pPr>
      <w:spacing w:after="120" w:line="240" w:lineRule="auto"/>
    </w:pPr>
    <w:rPr>
      <w:rFonts w:ascii="Calibri" w:eastAsia="Times New Roman" w:hAnsi="Calibri" w:cs="Times New Roman"/>
      <w:sz w:val="20"/>
      <w:szCs w:val="20"/>
    </w:rPr>
  </w:style>
  <w:style w:type="paragraph" w:styleId="Heading1">
    <w:name w:val="heading 1"/>
    <w:basedOn w:val="Normal"/>
    <w:next w:val="Normal"/>
    <w:link w:val="Heading1Char"/>
    <w:uiPriority w:val="9"/>
    <w:semiHidden/>
    <w:rsid w:val="007145D1"/>
    <w:pPr>
      <w:keepNext/>
      <w:keepLines/>
      <w:numPr>
        <w:numId w:val="1"/>
      </w:numPr>
      <w:spacing w:before="480" w:after="240" w:line="276" w:lineRule="auto"/>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rsid w:val="007145D1"/>
    <w:pPr>
      <w:keepNext/>
      <w:keepLines/>
      <w:numPr>
        <w:ilvl w:val="1"/>
        <w:numId w:val="1"/>
      </w:numPr>
      <w:spacing w:before="180" w:after="0" w:line="276" w:lineRule="auto"/>
      <w:outlineLvl w:val="1"/>
    </w:pPr>
    <w:rPr>
      <w:rFonts w:eastAsiaTheme="majorEastAsia" w:cstheme="majorBidi"/>
      <w:b/>
      <w:bCs/>
      <w:sz w:val="24"/>
      <w:szCs w:val="26"/>
    </w:rPr>
  </w:style>
  <w:style w:type="paragraph" w:styleId="Heading3">
    <w:name w:val="heading 3"/>
    <w:basedOn w:val="Normal"/>
    <w:next w:val="Normal"/>
    <w:link w:val="Heading3Char"/>
    <w:uiPriority w:val="9"/>
    <w:semiHidden/>
    <w:rsid w:val="007145D1"/>
    <w:pPr>
      <w:keepNext/>
      <w:keepLines/>
      <w:numPr>
        <w:ilvl w:val="2"/>
        <w:numId w:val="1"/>
      </w:numPr>
      <w:spacing w:before="200" w:after="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rsid w:val="007145D1"/>
    <w:pPr>
      <w:keepNext/>
      <w:keepLines/>
      <w:spacing w:before="200" w:after="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rsid w:val="007145D1"/>
    <w:pPr>
      <w:keepNext/>
      <w:keepLines/>
      <w:numPr>
        <w:ilvl w:val="4"/>
        <w:numId w:val="1"/>
      </w:numPr>
      <w:spacing w:before="200" w:after="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qFormat/>
    <w:rsid w:val="007145D1"/>
    <w:pPr>
      <w:keepNext/>
      <w:keepLines/>
      <w:numPr>
        <w:ilvl w:val="5"/>
        <w:numId w:val="1"/>
      </w:numPr>
      <w:spacing w:before="200" w:after="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qFormat/>
    <w:rsid w:val="007145D1"/>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qFormat/>
    <w:rsid w:val="007145D1"/>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7145D1"/>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145D1"/>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145D1"/>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semiHidden/>
    <w:rsid w:val="007145D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7145D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145D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145D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145D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145D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145D1"/>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semiHidden/>
    <w:unhideWhenUsed/>
    <w:rsid w:val="007145D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semiHidden/>
    <w:rsid w:val="007145D1"/>
    <w:rPr>
      <w:rFonts w:eastAsiaTheme="minorEastAsia"/>
      <w:lang w:val="en-US" w:eastAsia="ja-JP"/>
    </w:rPr>
  </w:style>
  <w:style w:type="paragraph" w:styleId="BalloonText">
    <w:name w:val="Balloon Text"/>
    <w:basedOn w:val="Normal"/>
    <w:link w:val="BalloonTextChar"/>
    <w:uiPriority w:val="99"/>
    <w:semiHidden/>
    <w:unhideWhenUsed/>
    <w:rsid w:val="007145D1"/>
    <w:pPr>
      <w:spacing w:before="180" w:after="0" w:line="276"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145D1"/>
    <w:rPr>
      <w:rFonts w:ascii="Tahoma" w:hAnsi="Tahoma" w:cs="Tahoma"/>
      <w:sz w:val="16"/>
      <w:szCs w:val="16"/>
    </w:rPr>
  </w:style>
  <w:style w:type="paragraph" w:styleId="Header">
    <w:name w:val="header"/>
    <w:basedOn w:val="Normal"/>
    <w:link w:val="HeaderChar"/>
    <w:uiPriority w:val="9"/>
    <w:unhideWhenUsed/>
    <w:rsid w:val="007145D1"/>
    <w:pPr>
      <w:tabs>
        <w:tab w:val="center" w:pos="4513"/>
        <w:tab w:val="right" w:pos="9026"/>
      </w:tabs>
      <w:spacing w:after="0"/>
    </w:pPr>
    <w:rPr>
      <w:rFonts w:eastAsiaTheme="minorHAnsi" w:cstheme="minorBidi"/>
      <w:color w:val="595959" w:themeColor="text1" w:themeTint="A6"/>
      <w:sz w:val="22"/>
      <w:szCs w:val="22"/>
    </w:rPr>
  </w:style>
  <w:style w:type="character" w:customStyle="1" w:styleId="HeaderChar">
    <w:name w:val="Header Char"/>
    <w:basedOn w:val="DefaultParagraphFont"/>
    <w:link w:val="Header"/>
    <w:uiPriority w:val="9"/>
    <w:rsid w:val="007145D1"/>
    <w:rPr>
      <w:rFonts w:ascii="Calibri" w:hAnsi="Calibri"/>
      <w:color w:val="595959" w:themeColor="text1" w:themeTint="A6"/>
    </w:rPr>
  </w:style>
  <w:style w:type="paragraph" w:styleId="Footer">
    <w:name w:val="footer"/>
    <w:basedOn w:val="Normal"/>
    <w:link w:val="FooterChar"/>
    <w:uiPriority w:val="99"/>
    <w:unhideWhenUsed/>
    <w:rsid w:val="007145D1"/>
    <w:pPr>
      <w:pBdr>
        <w:top w:val="single" w:sz="12" w:space="1" w:color="A6A6A6"/>
      </w:pBdr>
      <w:tabs>
        <w:tab w:val="center" w:pos="4513"/>
        <w:tab w:val="right" w:pos="9026"/>
      </w:tabs>
      <w:spacing w:after="0"/>
      <w:jc w:val="center"/>
    </w:pPr>
    <w:rPr>
      <w:rFonts w:eastAsiaTheme="minorHAnsi" w:cstheme="minorHAnsi"/>
      <w:color w:val="595959"/>
    </w:rPr>
  </w:style>
  <w:style w:type="character" w:customStyle="1" w:styleId="FooterChar">
    <w:name w:val="Footer Char"/>
    <w:basedOn w:val="DefaultParagraphFont"/>
    <w:link w:val="Footer"/>
    <w:uiPriority w:val="99"/>
    <w:rsid w:val="007145D1"/>
    <w:rPr>
      <w:rFonts w:ascii="Calibri" w:hAnsi="Calibri" w:cstheme="minorHAnsi"/>
      <w:color w:val="595959"/>
      <w:sz w:val="20"/>
      <w:szCs w:val="20"/>
    </w:rPr>
  </w:style>
  <w:style w:type="paragraph" w:customStyle="1" w:styleId="ReportClientDetails">
    <w:name w:val="Report Client Details"/>
    <w:basedOn w:val="NCLTableText"/>
    <w:uiPriority w:val="3"/>
    <w:rsid w:val="007145D1"/>
    <w:rPr>
      <w:color w:val="595959" w:themeColor="text1" w:themeTint="A6"/>
    </w:rPr>
  </w:style>
  <w:style w:type="table" w:styleId="TableGrid">
    <w:name w:val="Table Grid"/>
    <w:basedOn w:val="TableNormal"/>
    <w:uiPriority w:val="59"/>
    <w:rsid w:val="0071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7145D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7145D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olourfulGridAccent1">
    <w:name w:val="Colorful Grid Accent 1"/>
    <w:basedOn w:val="TableNormal"/>
    <w:uiPriority w:val="73"/>
    <w:rsid w:val="007145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OCHeading">
    <w:name w:val="TOC Heading"/>
    <w:basedOn w:val="Heading1"/>
    <w:next w:val="Normal"/>
    <w:uiPriority w:val="39"/>
    <w:unhideWhenUsed/>
    <w:qFormat/>
    <w:rsid w:val="007145D1"/>
    <w:pPr>
      <w:numPr>
        <w:numId w:val="0"/>
      </w:numPr>
      <w:outlineLvl w:val="9"/>
    </w:pPr>
    <w:rPr>
      <w:lang w:eastAsia="ja-JP"/>
    </w:rPr>
  </w:style>
  <w:style w:type="paragraph" w:styleId="TOC1">
    <w:name w:val="toc 1"/>
    <w:basedOn w:val="NCLBodyText"/>
    <w:next w:val="NCLBodyText"/>
    <w:uiPriority w:val="39"/>
    <w:rsid w:val="007145D1"/>
    <w:pPr>
      <w:spacing w:after="60"/>
    </w:pPr>
  </w:style>
  <w:style w:type="paragraph" w:styleId="TOC3">
    <w:name w:val="toc 3"/>
    <w:basedOn w:val="Normal"/>
    <w:next w:val="NCLBodyText"/>
    <w:uiPriority w:val="39"/>
    <w:rsid w:val="007145D1"/>
    <w:pPr>
      <w:spacing w:before="60" w:after="60"/>
      <w:ind w:left="442"/>
    </w:pPr>
    <w:rPr>
      <w:rFonts w:eastAsiaTheme="minorHAnsi" w:cstheme="minorBidi"/>
      <w:sz w:val="22"/>
      <w:szCs w:val="22"/>
    </w:rPr>
  </w:style>
  <w:style w:type="character" w:styleId="Hyperlink">
    <w:name w:val="Hyperlink"/>
    <w:basedOn w:val="DefaultParagraphFont"/>
    <w:uiPriority w:val="99"/>
    <w:unhideWhenUsed/>
    <w:rsid w:val="007145D1"/>
    <w:rPr>
      <w:color w:val="0000FF" w:themeColor="hyperlink"/>
      <w:u w:val="single"/>
    </w:rPr>
  </w:style>
  <w:style w:type="table" w:styleId="MediumList2-Accent1">
    <w:name w:val="Medium List 2 Accent 1"/>
    <w:basedOn w:val="TableNormal"/>
    <w:uiPriority w:val="66"/>
    <w:rsid w:val="007145D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CommentText">
    <w:name w:val="annotation text"/>
    <w:basedOn w:val="Normal"/>
    <w:link w:val="CommentTextChar"/>
    <w:unhideWhenUsed/>
    <w:rsid w:val="007145D1"/>
    <w:pPr>
      <w:spacing w:before="180" w:after="0" w:line="276" w:lineRule="auto"/>
    </w:pPr>
    <w:rPr>
      <w:rFonts w:eastAsiaTheme="minorHAnsi" w:cstheme="minorBidi"/>
    </w:rPr>
  </w:style>
  <w:style w:type="character" w:customStyle="1" w:styleId="CommentTextChar">
    <w:name w:val="Comment Text Char"/>
    <w:basedOn w:val="DefaultParagraphFont"/>
    <w:link w:val="CommentText"/>
    <w:rsid w:val="007145D1"/>
    <w:rPr>
      <w:rFonts w:ascii="Calibri" w:hAnsi="Calibri"/>
      <w:sz w:val="20"/>
      <w:szCs w:val="20"/>
    </w:rPr>
  </w:style>
  <w:style w:type="table" w:styleId="LightShading-Accent1">
    <w:name w:val="Light Shading Accent 1"/>
    <w:basedOn w:val="TableNormal"/>
    <w:uiPriority w:val="60"/>
    <w:rsid w:val="007145D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2">
    <w:name w:val="toc 2"/>
    <w:basedOn w:val="Normal"/>
    <w:next w:val="NCLBodyText"/>
    <w:uiPriority w:val="39"/>
    <w:rsid w:val="007145D1"/>
    <w:pPr>
      <w:spacing w:before="60" w:after="60"/>
      <w:ind w:left="221"/>
    </w:pPr>
    <w:rPr>
      <w:rFonts w:eastAsiaTheme="minorHAnsi" w:cstheme="minorBidi"/>
      <w:sz w:val="22"/>
      <w:szCs w:val="22"/>
    </w:rPr>
  </w:style>
  <w:style w:type="character" w:styleId="CommentReference">
    <w:name w:val="annotation reference"/>
    <w:basedOn w:val="DefaultParagraphFont"/>
    <w:semiHidden/>
    <w:unhideWhenUsed/>
    <w:rsid w:val="007145D1"/>
    <w:rPr>
      <w:sz w:val="16"/>
      <w:szCs w:val="16"/>
    </w:rPr>
  </w:style>
  <w:style w:type="paragraph" w:styleId="Caption">
    <w:name w:val="caption"/>
    <w:basedOn w:val="Normal"/>
    <w:next w:val="NCLBodyText"/>
    <w:uiPriority w:val="8"/>
    <w:unhideWhenUsed/>
    <w:rsid w:val="007145D1"/>
    <w:pPr>
      <w:keepNext/>
      <w:spacing w:before="180" w:after="0" w:line="276" w:lineRule="auto"/>
    </w:pPr>
    <w:rPr>
      <w:rFonts w:eastAsiaTheme="minorHAnsi" w:cstheme="minorBidi"/>
      <w:b/>
      <w:bCs/>
      <w:color w:val="000000" w:themeColor="text1"/>
      <w:szCs w:val="18"/>
    </w:rPr>
  </w:style>
  <w:style w:type="paragraph" w:styleId="TOC4">
    <w:name w:val="toc 4"/>
    <w:basedOn w:val="Normal"/>
    <w:next w:val="NCLBodyText"/>
    <w:uiPriority w:val="39"/>
    <w:semiHidden/>
    <w:rsid w:val="007145D1"/>
    <w:pPr>
      <w:spacing w:before="180" w:after="100" w:line="276" w:lineRule="auto"/>
      <w:ind w:left="660"/>
    </w:pPr>
    <w:rPr>
      <w:rFonts w:eastAsiaTheme="minorEastAsia" w:cstheme="minorBidi"/>
      <w:sz w:val="22"/>
      <w:szCs w:val="22"/>
      <w:lang w:eastAsia="en-GB"/>
    </w:rPr>
  </w:style>
  <w:style w:type="paragraph" w:styleId="TOC5">
    <w:name w:val="toc 5"/>
    <w:basedOn w:val="Normal"/>
    <w:next w:val="NCLBodyText"/>
    <w:uiPriority w:val="39"/>
    <w:semiHidden/>
    <w:rsid w:val="007145D1"/>
    <w:pPr>
      <w:spacing w:before="180" w:after="100" w:line="276" w:lineRule="auto"/>
      <w:ind w:left="880"/>
    </w:pPr>
    <w:rPr>
      <w:rFonts w:eastAsiaTheme="minorEastAsia" w:cstheme="minorBidi"/>
      <w:sz w:val="22"/>
      <w:szCs w:val="22"/>
      <w:lang w:eastAsia="en-GB"/>
    </w:rPr>
  </w:style>
  <w:style w:type="paragraph" w:styleId="TOC6">
    <w:name w:val="toc 6"/>
    <w:basedOn w:val="Normal"/>
    <w:next w:val="Normal"/>
    <w:autoRedefine/>
    <w:uiPriority w:val="39"/>
    <w:semiHidden/>
    <w:rsid w:val="007145D1"/>
    <w:pPr>
      <w:spacing w:before="180" w:after="100" w:line="276" w:lineRule="auto"/>
      <w:ind w:left="1100"/>
    </w:pPr>
    <w:rPr>
      <w:rFonts w:eastAsiaTheme="minorEastAsia" w:cstheme="minorBidi"/>
      <w:sz w:val="22"/>
      <w:szCs w:val="22"/>
      <w:lang w:eastAsia="en-GB"/>
    </w:rPr>
  </w:style>
  <w:style w:type="paragraph" w:styleId="TOC7">
    <w:name w:val="toc 7"/>
    <w:basedOn w:val="Normal"/>
    <w:next w:val="Normal"/>
    <w:autoRedefine/>
    <w:uiPriority w:val="39"/>
    <w:semiHidden/>
    <w:rsid w:val="007145D1"/>
    <w:pPr>
      <w:spacing w:before="180" w:after="100" w:line="276" w:lineRule="auto"/>
      <w:ind w:left="1320"/>
    </w:pPr>
    <w:rPr>
      <w:rFonts w:eastAsiaTheme="minorEastAsia" w:cstheme="minorBidi"/>
      <w:sz w:val="22"/>
      <w:szCs w:val="22"/>
      <w:lang w:eastAsia="en-GB"/>
    </w:rPr>
  </w:style>
  <w:style w:type="paragraph" w:styleId="TOC8">
    <w:name w:val="toc 8"/>
    <w:basedOn w:val="Normal"/>
    <w:next w:val="Normal"/>
    <w:autoRedefine/>
    <w:uiPriority w:val="39"/>
    <w:semiHidden/>
    <w:rsid w:val="007145D1"/>
    <w:pPr>
      <w:spacing w:before="180" w:after="100" w:line="276" w:lineRule="auto"/>
      <w:ind w:left="1540"/>
    </w:pPr>
    <w:rPr>
      <w:rFonts w:eastAsiaTheme="minorEastAsia" w:cstheme="minorBidi"/>
      <w:sz w:val="22"/>
      <w:szCs w:val="22"/>
      <w:lang w:eastAsia="en-GB"/>
    </w:rPr>
  </w:style>
  <w:style w:type="paragraph" w:styleId="TOC9">
    <w:name w:val="toc 9"/>
    <w:basedOn w:val="Normal"/>
    <w:next w:val="Normal"/>
    <w:autoRedefine/>
    <w:uiPriority w:val="39"/>
    <w:semiHidden/>
    <w:rsid w:val="007145D1"/>
    <w:pPr>
      <w:spacing w:before="180" w:after="100" w:line="276" w:lineRule="auto"/>
      <w:ind w:left="1760"/>
    </w:pPr>
    <w:rPr>
      <w:rFonts w:eastAsiaTheme="minorEastAsia" w:cstheme="minorBidi"/>
      <w:sz w:val="22"/>
      <w:szCs w:val="22"/>
      <w:lang w:eastAsia="en-GB"/>
    </w:rPr>
  </w:style>
  <w:style w:type="paragraph" w:styleId="CommentSubject">
    <w:name w:val="annotation subject"/>
    <w:basedOn w:val="CommentText"/>
    <w:next w:val="CommentText"/>
    <w:link w:val="CommentSubjectChar"/>
    <w:uiPriority w:val="99"/>
    <w:semiHidden/>
    <w:unhideWhenUsed/>
    <w:rsid w:val="007145D1"/>
    <w:rPr>
      <w:b/>
      <w:bCs/>
    </w:rPr>
  </w:style>
  <w:style w:type="character" w:customStyle="1" w:styleId="CommentSubjectChar">
    <w:name w:val="Comment Subject Char"/>
    <w:basedOn w:val="CommentTextChar"/>
    <w:link w:val="CommentSubject"/>
    <w:uiPriority w:val="99"/>
    <w:semiHidden/>
    <w:rsid w:val="007145D1"/>
    <w:rPr>
      <w:rFonts w:ascii="Calibri" w:hAnsi="Calibri"/>
      <w:b/>
      <w:bCs/>
      <w:sz w:val="20"/>
      <w:szCs w:val="20"/>
    </w:rPr>
  </w:style>
  <w:style w:type="table" w:styleId="MediumShading1-Accent1">
    <w:name w:val="Medium Shading 1 Accent 1"/>
    <w:basedOn w:val="TableNormal"/>
    <w:uiPriority w:val="63"/>
    <w:rsid w:val="007145D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ableofFigures">
    <w:name w:val="table of figures"/>
    <w:basedOn w:val="Normal"/>
    <w:next w:val="NCLBodyText"/>
    <w:uiPriority w:val="99"/>
    <w:unhideWhenUsed/>
    <w:rsid w:val="007145D1"/>
    <w:pPr>
      <w:spacing w:before="60" w:after="60"/>
    </w:pPr>
    <w:rPr>
      <w:rFonts w:eastAsiaTheme="minorHAnsi" w:cstheme="minorBidi"/>
      <w:sz w:val="22"/>
      <w:szCs w:val="22"/>
    </w:rPr>
  </w:style>
  <w:style w:type="paragraph" w:styleId="ListBullet">
    <w:name w:val="List Bullet"/>
    <w:basedOn w:val="NCLBodyText"/>
    <w:uiPriority w:val="1"/>
    <w:unhideWhenUsed/>
    <w:qFormat/>
    <w:rsid w:val="007145D1"/>
    <w:pPr>
      <w:numPr>
        <w:numId w:val="2"/>
      </w:numPr>
      <w:spacing w:before="0"/>
      <w:contextualSpacing/>
    </w:pPr>
  </w:style>
  <w:style w:type="paragraph" w:styleId="ListBullet2">
    <w:name w:val="List Bullet 2"/>
    <w:basedOn w:val="ListBullet"/>
    <w:uiPriority w:val="1"/>
    <w:unhideWhenUsed/>
    <w:rsid w:val="007145D1"/>
    <w:pPr>
      <w:numPr>
        <w:ilvl w:val="1"/>
      </w:numPr>
    </w:pPr>
  </w:style>
  <w:style w:type="paragraph" w:styleId="ListBullet3">
    <w:name w:val="List Bullet 3"/>
    <w:basedOn w:val="ListBullet"/>
    <w:uiPriority w:val="1"/>
    <w:unhideWhenUsed/>
    <w:rsid w:val="007145D1"/>
    <w:pPr>
      <w:numPr>
        <w:ilvl w:val="2"/>
      </w:numPr>
    </w:pPr>
  </w:style>
  <w:style w:type="paragraph" w:styleId="ListBullet4">
    <w:name w:val="List Bullet 4"/>
    <w:basedOn w:val="ListBullet"/>
    <w:uiPriority w:val="1"/>
    <w:unhideWhenUsed/>
    <w:rsid w:val="007145D1"/>
    <w:pPr>
      <w:numPr>
        <w:ilvl w:val="3"/>
      </w:numPr>
    </w:pPr>
  </w:style>
  <w:style w:type="paragraph" w:styleId="ListBullet5">
    <w:name w:val="List Bullet 5"/>
    <w:basedOn w:val="ListBullet"/>
    <w:uiPriority w:val="1"/>
    <w:unhideWhenUsed/>
    <w:rsid w:val="007145D1"/>
    <w:pPr>
      <w:numPr>
        <w:ilvl w:val="4"/>
      </w:numPr>
    </w:pPr>
  </w:style>
  <w:style w:type="paragraph" w:styleId="ListNumber">
    <w:name w:val="List Number"/>
    <w:basedOn w:val="Normal"/>
    <w:uiPriority w:val="1"/>
    <w:unhideWhenUsed/>
    <w:qFormat/>
    <w:rsid w:val="007145D1"/>
    <w:pPr>
      <w:numPr>
        <w:numId w:val="3"/>
      </w:numPr>
      <w:spacing w:after="0" w:line="276" w:lineRule="auto"/>
      <w:contextualSpacing/>
    </w:pPr>
    <w:rPr>
      <w:rFonts w:eastAsiaTheme="minorHAnsi" w:cstheme="minorBidi"/>
      <w:sz w:val="22"/>
      <w:szCs w:val="22"/>
    </w:rPr>
  </w:style>
  <w:style w:type="paragraph" w:styleId="ListNumber2">
    <w:name w:val="List Number 2"/>
    <w:basedOn w:val="Normal"/>
    <w:uiPriority w:val="1"/>
    <w:unhideWhenUsed/>
    <w:rsid w:val="007145D1"/>
    <w:pPr>
      <w:numPr>
        <w:ilvl w:val="1"/>
        <w:numId w:val="3"/>
      </w:numPr>
      <w:spacing w:after="0" w:line="276" w:lineRule="auto"/>
      <w:contextualSpacing/>
    </w:pPr>
    <w:rPr>
      <w:rFonts w:eastAsiaTheme="minorHAnsi" w:cstheme="minorBidi"/>
      <w:sz w:val="22"/>
      <w:szCs w:val="22"/>
    </w:rPr>
  </w:style>
  <w:style w:type="paragraph" w:styleId="ListNumber3">
    <w:name w:val="List Number 3"/>
    <w:basedOn w:val="Normal"/>
    <w:uiPriority w:val="1"/>
    <w:unhideWhenUsed/>
    <w:rsid w:val="007145D1"/>
    <w:pPr>
      <w:numPr>
        <w:ilvl w:val="2"/>
        <w:numId w:val="3"/>
      </w:numPr>
      <w:spacing w:after="0" w:line="276" w:lineRule="auto"/>
      <w:contextualSpacing/>
    </w:pPr>
    <w:rPr>
      <w:rFonts w:eastAsiaTheme="minorHAnsi" w:cstheme="minorBidi"/>
      <w:sz w:val="22"/>
      <w:szCs w:val="22"/>
    </w:rPr>
  </w:style>
  <w:style w:type="paragraph" w:customStyle="1" w:styleId="NCLBodyText">
    <w:name w:val="NCL Body Text"/>
    <w:basedOn w:val="Normal"/>
    <w:link w:val="NCLBodyTextChar"/>
    <w:qFormat/>
    <w:rsid w:val="00F6177F"/>
    <w:pPr>
      <w:spacing w:before="60" w:after="0"/>
      <w:jc w:val="both"/>
    </w:pPr>
    <w:rPr>
      <w:rFonts w:eastAsiaTheme="minorHAnsi" w:cs="Calibri"/>
      <w:sz w:val="22"/>
      <w:szCs w:val="22"/>
    </w:rPr>
  </w:style>
  <w:style w:type="character" w:customStyle="1" w:styleId="NCLBodyTextChar">
    <w:name w:val="NCL Body Text Char"/>
    <w:basedOn w:val="DefaultParagraphFont"/>
    <w:link w:val="NCLBodyText"/>
    <w:rsid w:val="00F6177F"/>
    <w:rPr>
      <w:rFonts w:ascii="Calibri" w:hAnsi="Calibri" w:cs="Calibri"/>
    </w:rPr>
  </w:style>
  <w:style w:type="paragraph" w:customStyle="1" w:styleId="NCLHeading1">
    <w:name w:val="NCL Heading 1"/>
    <w:basedOn w:val="Heading1"/>
    <w:next w:val="NCLBodyText"/>
    <w:link w:val="NCLHeading1Char"/>
    <w:qFormat/>
    <w:rsid w:val="00D46B50"/>
    <w:pPr>
      <w:numPr>
        <w:numId w:val="4"/>
      </w:numPr>
      <w:shd w:val="clear" w:color="auto" w:fill="548DD4" w:themeFill="text2" w:themeFillTint="99"/>
      <w:spacing w:before="240" w:after="120" w:line="240" w:lineRule="auto"/>
    </w:pPr>
    <w:rPr>
      <w:color w:val="FFFFFF" w:themeColor="background1"/>
    </w:rPr>
  </w:style>
  <w:style w:type="character" w:customStyle="1" w:styleId="NCLHeading1Char">
    <w:name w:val="NCL Heading 1 Char"/>
    <w:basedOn w:val="Heading1Char"/>
    <w:link w:val="NCLHeading1"/>
    <w:rsid w:val="00D46B50"/>
    <w:rPr>
      <w:rFonts w:ascii="Calibri" w:eastAsiaTheme="majorEastAsia" w:hAnsi="Calibri" w:cstheme="majorBidi"/>
      <w:b/>
      <w:bCs/>
      <w:color w:val="FFFFFF" w:themeColor="background1"/>
      <w:sz w:val="28"/>
      <w:szCs w:val="28"/>
      <w:shd w:val="clear" w:color="auto" w:fill="548DD4" w:themeFill="text2" w:themeFillTint="99"/>
    </w:rPr>
  </w:style>
  <w:style w:type="paragraph" w:customStyle="1" w:styleId="NCLHeading2">
    <w:name w:val="NCL Heading 2"/>
    <w:basedOn w:val="Heading2"/>
    <w:next w:val="NCLBodyText"/>
    <w:link w:val="NCLHeading2Char"/>
    <w:qFormat/>
    <w:rsid w:val="007C4B50"/>
    <w:pPr>
      <w:numPr>
        <w:numId w:val="4"/>
      </w:numPr>
      <w:spacing w:before="120" w:after="60"/>
      <w:jc w:val="both"/>
    </w:pPr>
    <w:rPr>
      <w:color w:val="000000" w:themeColor="text1"/>
    </w:rPr>
  </w:style>
  <w:style w:type="character" w:customStyle="1" w:styleId="NCLHeading2Char">
    <w:name w:val="NCL Heading 2 Char"/>
    <w:basedOn w:val="Heading2Char"/>
    <w:link w:val="NCLHeading2"/>
    <w:rsid w:val="007C4B50"/>
    <w:rPr>
      <w:rFonts w:ascii="Calibri" w:eastAsiaTheme="majorEastAsia" w:hAnsi="Calibri" w:cstheme="majorBidi"/>
      <w:b/>
      <w:bCs/>
      <w:color w:val="000000" w:themeColor="text1"/>
      <w:sz w:val="24"/>
      <w:szCs w:val="26"/>
    </w:rPr>
  </w:style>
  <w:style w:type="paragraph" w:customStyle="1" w:styleId="NCLHeading3">
    <w:name w:val="NCL Heading 3"/>
    <w:basedOn w:val="Heading3"/>
    <w:next w:val="NCLBodyText"/>
    <w:link w:val="NCLHeading3Char"/>
    <w:qFormat/>
    <w:rsid w:val="007C4B50"/>
    <w:pPr>
      <w:numPr>
        <w:numId w:val="4"/>
      </w:numPr>
      <w:spacing w:before="120" w:after="60"/>
    </w:pPr>
    <w:rPr>
      <w:rFonts w:ascii="Calibri" w:hAnsi="Calibri"/>
      <w:b w:val="0"/>
      <w:color w:val="000000" w:themeColor="text1"/>
    </w:rPr>
  </w:style>
  <w:style w:type="character" w:customStyle="1" w:styleId="NCLHeading3Char">
    <w:name w:val="NCL Heading 3 Char"/>
    <w:basedOn w:val="Heading3Char"/>
    <w:link w:val="NCLHeading3"/>
    <w:rsid w:val="007C4B50"/>
    <w:rPr>
      <w:rFonts w:ascii="Calibri" w:eastAsiaTheme="majorEastAsia" w:hAnsi="Calibri" w:cstheme="majorBidi"/>
      <w:b w:val="0"/>
      <w:bCs/>
      <w:color w:val="000000" w:themeColor="text1"/>
    </w:rPr>
  </w:style>
  <w:style w:type="paragraph" w:customStyle="1" w:styleId="NCLSubsection">
    <w:name w:val="NCL Subsection"/>
    <w:basedOn w:val="Heading4"/>
    <w:next w:val="NCLBodyText"/>
    <w:link w:val="NCLSubsectionChar"/>
    <w:qFormat/>
    <w:rsid w:val="007C4B50"/>
    <w:pPr>
      <w:spacing w:before="120" w:after="60"/>
    </w:pPr>
    <w:rPr>
      <w:rFonts w:ascii="Calibri" w:hAnsi="Calibri"/>
      <w:b w:val="0"/>
      <w:color w:val="000000" w:themeColor="text1"/>
      <w:u w:val="single"/>
    </w:rPr>
  </w:style>
  <w:style w:type="character" w:customStyle="1" w:styleId="NCLSubsectionChar">
    <w:name w:val="NCL Subsection Char"/>
    <w:basedOn w:val="Heading4Char"/>
    <w:link w:val="NCLSubsection"/>
    <w:rsid w:val="007C4B50"/>
    <w:rPr>
      <w:rFonts w:ascii="Calibri" w:eastAsiaTheme="majorEastAsia" w:hAnsi="Calibri" w:cstheme="majorBidi"/>
      <w:b w:val="0"/>
      <w:bCs/>
      <w:i/>
      <w:iCs/>
      <w:color w:val="000000" w:themeColor="text1"/>
      <w:u w:val="single"/>
    </w:rPr>
  </w:style>
  <w:style w:type="paragraph" w:customStyle="1" w:styleId="NCLTableheading">
    <w:name w:val="NCL Table heading"/>
    <w:basedOn w:val="Heading5"/>
    <w:next w:val="NCLBodyText"/>
    <w:link w:val="NCLTableheadingChar"/>
    <w:qFormat/>
    <w:rsid w:val="007145D1"/>
    <w:pPr>
      <w:numPr>
        <w:numId w:val="4"/>
      </w:numPr>
      <w:spacing w:before="240" w:after="180"/>
    </w:pPr>
    <w:rPr>
      <w:rFonts w:ascii="Calibri" w:hAnsi="Calibri"/>
      <w:b/>
      <w:color w:val="000000"/>
    </w:rPr>
  </w:style>
  <w:style w:type="character" w:customStyle="1" w:styleId="NCLTableheadingChar">
    <w:name w:val="NCL Table heading Char"/>
    <w:basedOn w:val="Heading5Char"/>
    <w:link w:val="NCLTableheading"/>
    <w:rsid w:val="007145D1"/>
    <w:rPr>
      <w:rFonts w:ascii="Calibri" w:eastAsiaTheme="majorEastAsia" w:hAnsi="Calibri" w:cstheme="majorBidi"/>
      <w:b/>
      <w:color w:val="000000"/>
    </w:rPr>
  </w:style>
  <w:style w:type="numbering" w:customStyle="1" w:styleId="ReportHeadings">
    <w:name w:val="Report Headings"/>
    <w:uiPriority w:val="99"/>
    <w:rsid w:val="007145D1"/>
    <w:pPr>
      <w:numPr>
        <w:numId w:val="4"/>
      </w:numPr>
    </w:pPr>
  </w:style>
  <w:style w:type="paragraph" w:customStyle="1" w:styleId="ReportNonTOCHeading">
    <w:name w:val="Report NonTOC Heading"/>
    <w:basedOn w:val="NCLBodyText"/>
    <w:next w:val="NCLBodyText"/>
    <w:link w:val="ReportNonTOCHeadingChar"/>
    <w:rsid w:val="007145D1"/>
    <w:pPr>
      <w:keepNext/>
    </w:pPr>
    <w:rPr>
      <w:b/>
      <w:color w:val="17365D" w:themeColor="text2" w:themeShade="BF"/>
      <w:sz w:val="28"/>
    </w:rPr>
  </w:style>
  <w:style w:type="character" w:customStyle="1" w:styleId="ReportNonTOCHeadingChar">
    <w:name w:val="Report NonTOC Heading Char"/>
    <w:basedOn w:val="DefaultParagraphFont"/>
    <w:link w:val="ReportNonTOCHeading"/>
    <w:rsid w:val="007145D1"/>
    <w:rPr>
      <w:rFonts w:ascii="Calibri" w:hAnsi="Calibri" w:cs="Calibri"/>
      <w:b/>
      <w:color w:val="17365D" w:themeColor="text2" w:themeShade="BF"/>
      <w:sz w:val="28"/>
    </w:rPr>
  </w:style>
  <w:style w:type="paragraph" w:styleId="FootnoteText">
    <w:name w:val="footnote text"/>
    <w:basedOn w:val="Normal"/>
    <w:link w:val="FootnoteTextChar"/>
    <w:uiPriority w:val="99"/>
    <w:rsid w:val="007145D1"/>
    <w:pPr>
      <w:spacing w:before="180" w:after="0" w:line="276" w:lineRule="auto"/>
    </w:pPr>
    <w:rPr>
      <w:rFonts w:eastAsiaTheme="minorHAnsi" w:cstheme="minorBidi"/>
    </w:rPr>
  </w:style>
  <w:style w:type="character" w:customStyle="1" w:styleId="FootnoteTextChar">
    <w:name w:val="Footnote Text Char"/>
    <w:basedOn w:val="DefaultParagraphFont"/>
    <w:link w:val="FootnoteText"/>
    <w:uiPriority w:val="99"/>
    <w:rsid w:val="007145D1"/>
    <w:rPr>
      <w:rFonts w:ascii="Calibri" w:hAnsi="Calibri"/>
      <w:sz w:val="20"/>
      <w:szCs w:val="20"/>
    </w:rPr>
  </w:style>
  <w:style w:type="character" w:styleId="FootnoteReference">
    <w:name w:val="footnote reference"/>
    <w:basedOn w:val="DefaultParagraphFont"/>
    <w:uiPriority w:val="99"/>
    <w:rsid w:val="007145D1"/>
    <w:rPr>
      <w:vertAlign w:val="superscript"/>
    </w:rPr>
  </w:style>
  <w:style w:type="paragraph" w:styleId="BodyText">
    <w:name w:val="Body Text"/>
    <w:basedOn w:val="Normal"/>
    <w:link w:val="BodyTextChar"/>
    <w:uiPriority w:val="99"/>
    <w:unhideWhenUsed/>
    <w:rsid w:val="007145D1"/>
    <w:pPr>
      <w:spacing w:before="180" w:after="0" w:line="276" w:lineRule="auto"/>
    </w:pPr>
    <w:rPr>
      <w:rFonts w:eastAsiaTheme="minorHAnsi" w:cstheme="minorBidi"/>
      <w:sz w:val="22"/>
      <w:szCs w:val="22"/>
    </w:rPr>
  </w:style>
  <w:style w:type="character" w:customStyle="1" w:styleId="BodyTextChar">
    <w:name w:val="Body Text Char"/>
    <w:basedOn w:val="DefaultParagraphFont"/>
    <w:link w:val="BodyText"/>
    <w:uiPriority w:val="99"/>
    <w:rsid w:val="007145D1"/>
    <w:rPr>
      <w:rFonts w:ascii="Calibri" w:hAnsi="Calibri"/>
    </w:rPr>
  </w:style>
  <w:style w:type="table" w:customStyle="1" w:styleId="ReportSummaryBox">
    <w:name w:val="Report_Summary_Box"/>
    <w:basedOn w:val="TableNormal"/>
    <w:uiPriority w:val="99"/>
    <w:rsid w:val="007145D1"/>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shd w:val="clear" w:color="auto" w:fill="BFBFBF" w:themeFill="background1" w:themeFillShade="BF"/>
    </w:tcPr>
  </w:style>
  <w:style w:type="paragraph" w:customStyle="1" w:styleId="NCLTableFootnote">
    <w:name w:val="NCL Table Footnote"/>
    <w:basedOn w:val="NCLBodyText"/>
    <w:next w:val="NCLBodyText"/>
    <w:link w:val="NCLTableFootnoteChar"/>
    <w:uiPriority w:val="3"/>
    <w:qFormat/>
    <w:rsid w:val="007145D1"/>
    <w:pPr>
      <w:spacing w:before="0" w:after="480"/>
      <w:contextualSpacing/>
    </w:pPr>
    <w:rPr>
      <w:sz w:val="18"/>
    </w:rPr>
  </w:style>
  <w:style w:type="character" w:customStyle="1" w:styleId="NCLTableFootnoteChar">
    <w:name w:val="NCL Table Footnote Char"/>
    <w:basedOn w:val="NCLBodyTextChar"/>
    <w:link w:val="NCLTableFootnote"/>
    <w:uiPriority w:val="3"/>
    <w:rsid w:val="007145D1"/>
    <w:rPr>
      <w:rFonts w:ascii="Calibri" w:hAnsi="Calibri" w:cs="Calibri"/>
      <w:sz w:val="18"/>
    </w:rPr>
  </w:style>
  <w:style w:type="paragraph" w:customStyle="1" w:styleId="ReportHeading6">
    <w:name w:val="Report Heading 6"/>
    <w:basedOn w:val="Heading6"/>
    <w:next w:val="NCLBodyText"/>
    <w:rsid w:val="007145D1"/>
    <w:pPr>
      <w:numPr>
        <w:numId w:val="4"/>
      </w:numPr>
      <w:spacing w:before="240" w:after="180"/>
    </w:pPr>
    <w:rPr>
      <w:rFonts w:ascii="Calibri" w:hAnsi="Calibri"/>
      <w:color w:val="1F497D" w:themeColor="text2"/>
    </w:rPr>
  </w:style>
  <w:style w:type="paragraph" w:styleId="Revision">
    <w:name w:val="Revision"/>
    <w:hidden/>
    <w:uiPriority w:val="99"/>
    <w:semiHidden/>
    <w:rsid w:val="00EE6750"/>
    <w:pPr>
      <w:spacing w:after="0" w:line="240" w:lineRule="auto"/>
    </w:pPr>
    <w:rPr>
      <w:rFonts w:ascii="Calibri" w:hAnsi="Calibri"/>
    </w:rPr>
  </w:style>
  <w:style w:type="paragraph" w:customStyle="1" w:styleId="ReportTag">
    <w:name w:val="Report Tag"/>
    <w:basedOn w:val="NCLBodyText"/>
    <w:uiPriority w:val="3"/>
    <w:rsid w:val="007145D1"/>
    <w:pPr>
      <w:spacing w:before="0"/>
      <w:jc w:val="right"/>
    </w:pPr>
    <w:rPr>
      <w:color w:val="595959" w:themeColor="text1" w:themeTint="A6"/>
      <w:sz w:val="72"/>
      <w:szCs w:val="72"/>
    </w:rPr>
  </w:style>
  <w:style w:type="paragraph" w:customStyle="1" w:styleId="ReportTitle">
    <w:name w:val="Report Title"/>
    <w:basedOn w:val="NCLBodyText"/>
    <w:uiPriority w:val="3"/>
    <w:rsid w:val="00A0078A"/>
    <w:pPr>
      <w:spacing w:before="0"/>
    </w:pPr>
    <w:rPr>
      <w:color w:val="17365D" w:themeColor="text2" w:themeShade="BF"/>
      <w:sz w:val="48"/>
      <w:szCs w:val="48"/>
    </w:rPr>
  </w:style>
  <w:style w:type="paragraph" w:customStyle="1" w:styleId="NCLTableText">
    <w:name w:val="NCL Table Text"/>
    <w:basedOn w:val="NCLBodyText"/>
    <w:uiPriority w:val="3"/>
    <w:qFormat/>
    <w:rsid w:val="007145D1"/>
    <w:pPr>
      <w:spacing w:after="60"/>
    </w:pPr>
    <w:rPr>
      <w:sz w:val="20"/>
    </w:rPr>
  </w:style>
  <w:style w:type="paragraph" w:customStyle="1" w:styleId="ReportFrontPageTitle">
    <w:name w:val="Report Front Page Title"/>
    <w:basedOn w:val="NCLBodyText"/>
    <w:uiPriority w:val="3"/>
    <w:rsid w:val="007145D1"/>
    <w:pPr>
      <w:spacing w:before="0"/>
    </w:pPr>
    <w:rPr>
      <w:color w:val="17365D" w:themeColor="text2" w:themeShade="BF"/>
      <w:sz w:val="48"/>
      <w:szCs w:val="48"/>
    </w:rPr>
  </w:style>
  <w:style w:type="paragraph" w:customStyle="1" w:styleId="ReportSummaryBoxHeading">
    <w:name w:val="Report Summary Box Heading"/>
    <w:basedOn w:val="NCLBodyText"/>
    <w:uiPriority w:val="3"/>
    <w:rsid w:val="007145D1"/>
    <w:pPr>
      <w:spacing w:after="120"/>
    </w:pPr>
    <w:rPr>
      <w:b/>
      <w:i/>
    </w:rPr>
  </w:style>
  <w:style w:type="character" w:styleId="FollowedHyperlink">
    <w:name w:val="FollowedHyperlink"/>
    <w:basedOn w:val="DefaultParagraphFont"/>
    <w:uiPriority w:val="99"/>
    <w:semiHidden/>
    <w:unhideWhenUsed/>
    <w:rsid w:val="007145D1"/>
    <w:rPr>
      <w:color w:val="800080" w:themeColor="followedHyperlink"/>
      <w:u w:val="single"/>
    </w:rPr>
  </w:style>
  <w:style w:type="numbering" w:customStyle="1" w:styleId="ListBullets">
    <w:name w:val="List Bullets"/>
    <w:uiPriority w:val="99"/>
    <w:rsid w:val="007145D1"/>
    <w:pPr>
      <w:numPr>
        <w:numId w:val="2"/>
      </w:numPr>
    </w:pPr>
  </w:style>
  <w:style w:type="numbering" w:customStyle="1" w:styleId="ListNumbers">
    <w:name w:val="List Numbers"/>
    <w:uiPriority w:val="99"/>
    <w:rsid w:val="007145D1"/>
    <w:pPr>
      <w:numPr>
        <w:numId w:val="3"/>
      </w:numPr>
    </w:pPr>
  </w:style>
  <w:style w:type="table" w:customStyle="1" w:styleId="ReportTable">
    <w:name w:val="Report_Table"/>
    <w:basedOn w:val="TableNormal"/>
    <w:uiPriority w:val="99"/>
    <w:rsid w:val="00544450"/>
    <w:pPr>
      <w:spacing w:before="60" w:after="60" w:line="240" w:lineRule="auto"/>
      <w:jc w:val="center"/>
    </w:pPr>
    <w:rPr>
      <w:rFonts w:ascii="Calibri" w:hAnsi="Calibri"/>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Theme="minorHAnsi" w:hAnsiTheme="minorHAnsi"/>
        <w:b/>
        <w:sz w:val="20"/>
      </w:rPr>
      <w:tblPr/>
      <w:trPr>
        <w:cantSplit/>
      </w:trPr>
      <w:tcPr>
        <w:shd w:val="clear" w:color="auto" w:fill="BFBFBF" w:themeFill="background1" w:themeFillShade="BF"/>
      </w:tcPr>
    </w:tblStylePr>
    <w:tblStylePr w:type="firstCol">
      <w:pPr>
        <w:jc w:val="left"/>
      </w:pPr>
      <w:rPr>
        <w:rFonts w:asciiTheme="minorHAnsi" w:hAnsiTheme="minorHAnsi"/>
        <w:sz w:val="20"/>
      </w:rPr>
    </w:tblStylePr>
  </w:style>
  <w:style w:type="character" w:styleId="PlaceholderText">
    <w:name w:val="Placeholder Text"/>
    <w:basedOn w:val="DefaultParagraphFont"/>
    <w:uiPriority w:val="99"/>
    <w:semiHidden/>
    <w:rsid w:val="00325A5B"/>
    <w:rPr>
      <w:color w:val="808080"/>
    </w:rPr>
  </w:style>
  <w:style w:type="paragraph" w:customStyle="1" w:styleId="NCLAppendix">
    <w:name w:val="NCL Appendix"/>
    <w:basedOn w:val="NCLHeading1"/>
    <w:link w:val="NCLAppendixChar"/>
    <w:qFormat/>
    <w:rsid w:val="004C79B4"/>
    <w:pPr>
      <w:numPr>
        <w:numId w:val="0"/>
      </w:numPr>
      <w:ind w:left="567" w:hanging="567"/>
    </w:pPr>
  </w:style>
  <w:style w:type="character" w:customStyle="1" w:styleId="NCLAppendixChar">
    <w:name w:val="NCL Appendix Char"/>
    <w:basedOn w:val="NCLHeading1Char"/>
    <w:link w:val="NCLAppendix"/>
    <w:rsid w:val="004C79B4"/>
    <w:rPr>
      <w:rFonts w:ascii="Calibri" w:eastAsiaTheme="majorEastAsia" w:hAnsi="Calibri" w:cstheme="majorBidi"/>
      <w:b/>
      <w:bCs/>
      <w:color w:val="365F91" w:themeColor="accent1" w:themeShade="BF"/>
      <w:sz w:val="28"/>
      <w:szCs w:val="28"/>
      <w:shd w:val="clear" w:color="auto" w:fill="548DD4" w:themeFill="text2" w:themeFillTint="99"/>
    </w:rPr>
  </w:style>
  <w:style w:type="paragraph" w:customStyle="1" w:styleId="ReportHeading1">
    <w:name w:val="Report Heading 1"/>
    <w:basedOn w:val="Heading1"/>
    <w:next w:val="Normal"/>
    <w:link w:val="ReportHeading1Char"/>
    <w:rsid w:val="008962F6"/>
    <w:pPr>
      <w:numPr>
        <w:numId w:val="0"/>
      </w:numPr>
      <w:ind w:left="851" w:hanging="851"/>
    </w:pPr>
    <w:rPr>
      <w:color w:val="17365D" w:themeColor="text2" w:themeShade="BF"/>
      <w:sz w:val="32"/>
    </w:rPr>
  </w:style>
  <w:style w:type="character" w:customStyle="1" w:styleId="ReportHeading1Char">
    <w:name w:val="Report Heading 1 Char"/>
    <w:basedOn w:val="Heading1Char"/>
    <w:link w:val="ReportHeading1"/>
    <w:rsid w:val="008962F6"/>
    <w:rPr>
      <w:rFonts w:ascii="Calibri" w:eastAsiaTheme="majorEastAsia" w:hAnsi="Calibri" w:cstheme="majorBidi"/>
      <w:b/>
      <w:bCs/>
      <w:color w:val="17365D" w:themeColor="text2" w:themeShade="BF"/>
      <w:sz w:val="32"/>
      <w:szCs w:val="28"/>
    </w:rPr>
  </w:style>
  <w:style w:type="paragraph" w:customStyle="1" w:styleId="ReportHeading2">
    <w:name w:val="Report Heading 2"/>
    <w:basedOn w:val="Heading2"/>
    <w:next w:val="Normal"/>
    <w:link w:val="ReportHeading2Char"/>
    <w:rsid w:val="008962F6"/>
    <w:pPr>
      <w:numPr>
        <w:ilvl w:val="0"/>
        <w:numId w:val="0"/>
      </w:numPr>
      <w:spacing w:before="240" w:after="180"/>
      <w:ind w:left="851" w:hanging="851"/>
      <w:jc w:val="both"/>
    </w:pPr>
    <w:rPr>
      <w:color w:val="000000" w:themeColor="text1"/>
      <w:sz w:val="28"/>
    </w:rPr>
  </w:style>
  <w:style w:type="character" w:customStyle="1" w:styleId="ReportHeading2Char">
    <w:name w:val="Report Heading 2 Char"/>
    <w:basedOn w:val="Heading2Char"/>
    <w:link w:val="ReportHeading2"/>
    <w:rsid w:val="008962F6"/>
    <w:rPr>
      <w:rFonts w:ascii="Calibri" w:eastAsiaTheme="majorEastAsia" w:hAnsi="Calibri" w:cstheme="majorBidi"/>
      <w:b/>
      <w:bCs/>
      <w:color w:val="000000" w:themeColor="text1"/>
      <w:sz w:val="28"/>
      <w:szCs w:val="26"/>
    </w:rPr>
  </w:style>
  <w:style w:type="paragraph" w:customStyle="1" w:styleId="ReportHeading4">
    <w:name w:val="Report Heading 4"/>
    <w:basedOn w:val="Heading4"/>
    <w:next w:val="Normal"/>
    <w:link w:val="ReportHeading4Char"/>
    <w:rsid w:val="008962F6"/>
    <w:pPr>
      <w:tabs>
        <w:tab w:val="num" w:pos="851"/>
      </w:tabs>
      <w:spacing w:before="240" w:after="180"/>
      <w:ind w:left="851" w:hanging="851"/>
    </w:pPr>
    <w:rPr>
      <w:rFonts w:ascii="Calibri" w:hAnsi="Calibri"/>
      <w:color w:val="000000" w:themeColor="text1"/>
    </w:rPr>
  </w:style>
  <w:style w:type="character" w:customStyle="1" w:styleId="ReportHeading4Char">
    <w:name w:val="Report Heading 4 Char"/>
    <w:basedOn w:val="Heading4Char"/>
    <w:link w:val="ReportHeading4"/>
    <w:rsid w:val="008962F6"/>
    <w:rPr>
      <w:rFonts w:ascii="Calibri" w:eastAsiaTheme="majorEastAsia" w:hAnsi="Calibri" w:cstheme="majorBidi"/>
      <w:b/>
      <w:bCs/>
      <w:i/>
      <w:iCs/>
      <w:color w:val="000000" w:themeColor="text1"/>
    </w:rPr>
  </w:style>
  <w:style w:type="paragraph" w:customStyle="1" w:styleId="ReportHeading5">
    <w:name w:val="Report Heading 5"/>
    <w:basedOn w:val="Heading5"/>
    <w:next w:val="Normal"/>
    <w:rsid w:val="008962F6"/>
    <w:pPr>
      <w:numPr>
        <w:ilvl w:val="0"/>
        <w:numId w:val="0"/>
      </w:numPr>
      <w:spacing w:before="240" w:after="180"/>
    </w:pPr>
    <w:rPr>
      <w:rFonts w:ascii="Calibri" w:hAnsi="Calibri"/>
      <w:b/>
      <w:color w:val="000000"/>
    </w:rPr>
  </w:style>
  <w:style w:type="paragraph" w:styleId="NormalWeb">
    <w:name w:val="Normal (Web)"/>
    <w:basedOn w:val="Normal"/>
    <w:uiPriority w:val="99"/>
    <w:semiHidden/>
    <w:unhideWhenUsed/>
    <w:rsid w:val="006274B8"/>
    <w:pPr>
      <w:spacing w:before="100" w:beforeAutospacing="1" w:after="100" w:afterAutospacing="1"/>
    </w:pPr>
    <w:rPr>
      <w:rFonts w:ascii="Times New Roman" w:eastAsiaTheme="minorEastAsia" w:hAnsi="Times New Roman"/>
      <w:sz w:val="24"/>
      <w:szCs w:val="24"/>
      <w:lang w:eastAsia="en-GB"/>
    </w:rPr>
  </w:style>
  <w:style w:type="paragraph" w:styleId="Title">
    <w:name w:val="Title"/>
    <w:basedOn w:val="Normal"/>
    <w:link w:val="TitleChar"/>
    <w:rsid w:val="00D46B50"/>
    <w:pPr>
      <w:spacing w:after="0"/>
      <w:jc w:val="center"/>
    </w:pPr>
    <w:rPr>
      <w:rFonts w:ascii="Times New Roman" w:hAnsi="Times New Roman"/>
      <w:b/>
      <w:sz w:val="24"/>
      <w:u w:val="single"/>
      <w:lang w:eastAsia="en-GB"/>
    </w:rPr>
  </w:style>
  <w:style w:type="character" w:customStyle="1" w:styleId="TitleChar">
    <w:name w:val="Title Char"/>
    <w:basedOn w:val="DefaultParagraphFont"/>
    <w:link w:val="Title"/>
    <w:rsid w:val="00D46B50"/>
    <w:rPr>
      <w:rFonts w:ascii="Times New Roman" w:eastAsia="Times New Roman" w:hAnsi="Times New Roman" w:cs="Times New Roman"/>
      <w:b/>
      <w:sz w:val="24"/>
      <w:szCs w:val="20"/>
      <w:u w:val="single"/>
      <w:lang w:eastAsia="en-GB"/>
    </w:rPr>
  </w:style>
  <w:style w:type="paragraph" w:customStyle="1" w:styleId="NormalSCG">
    <w:name w:val="Normal_SCG"/>
    <w:basedOn w:val="Normal"/>
    <w:link w:val="NormalSCGChar"/>
    <w:qFormat/>
    <w:rsid w:val="00D46B50"/>
    <w:pPr>
      <w:tabs>
        <w:tab w:val="left" w:pos="-180"/>
      </w:tabs>
      <w:spacing w:after="0"/>
      <w:ind w:left="-426" w:right="-514"/>
      <w:jc w:val="both"/>
    </w:pPr>
    <w:rPr>
      <w:rFonts w:asciiTheme="minorHAnsi" w:hAnsiTheme="minorHAnsi"/>
      <w:sz w:val="22"/>
      <w:szCs w:val="22"/>
    </w:rPr>
  </w:style>
  <w:style w:type="character" w:customStyle="1" w:styleId="NormalSCGChar">
    <w:name w:val="Normal_SCG Char"/>
    <w:basedOn w:val="DefaultParagraphFont"/>
    <w:link w:val="NormalSCG"/>
    <w:rsid w:val="00D46B50"/>
    <w:rPr>
      <w:rFonts w:eastAsia="Times New Roman" w:cs="Times New Roman"/>
    </w:rPr>
  </w:style>
  <w:style w:type="character" w:styleId="UnresolvedMention">
    <w:name w:val="Unresolved Mention"/>
    <w:basedOn w:val="DefaultParagraphFont"/>
    <w:uiPriority w:val="99"/>
    <w:semiHidden/>
    <w:unhideWhenUsed/>
    <w:rsid w:val="00AD7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57386">
      <w:bodyDiv w:val="1"/>
      <w:marLeft w:val="0"/>
      <w:marRight w:val="0"/>
      <w:marTop w:val="0"/>
      <w:marBottom w:val="0"/>
      <w:divBdr>
        <w:top w:val="none" w:sz="0" w:space="0" w:color="auto"/>
        <w:left w:val="none" w:sz="0" w:space="0" w:color="auto"/>
        <w:bottom w:val="none" w:sz="0" w:space="0" w:color="auto"/>
        <w:right w:val="none" w:sz="0" w:space="0" w:color="auto"/>
      </w:divBdr>
    </w:div>
    <w:div w:id="504781967">
      <w:bodyDiv w:val="1"/>
      <w:marLeft w:val="0"/>
      <w:marRight w:val="0"/>
      <w:marTop w:val="0"/>
      <w:marBottom w:val="0"/>
      <w:divBdr>
        <w:top w:val="none" w:sz="0" w:space="0" w:color="auto"/>
        <w:left w:val="none" w:sz="0" w:space="0" w:color="auto"/>
        <w:bottom w:val="none" w:sz="0" w:space="0" w:color="auto"/>
        <w:right w:val="none" w:sz="0" w:space="0" w:color="auto"/>
      </w:divBdr>
    </w:div>
    <w:div w:id="517237362">
      <w:bodyDiv w:val="1"/>
      <w:marLeft w:val="0"/>
      <w:marRight w:val="0"/>
      <w:marTop w:val="0"/>
      <w:marBottom w:val="0"/>
      <w:divBdr>
        <w:top w:val="none" w:sz="0" w:space="0" w:color="auto"/>
        <w:left w:val="none" w:sz="0" w:space="0" w:color="auto"/>
        <w:bottom w:val="none" w:sz="0" w:space="0" w:color="auto"/>
        <w:right w:val="none" w:sz="0" w:space="0" w:color="auto"/>
      </w:divBdr>
    </w:div>
    <w:div w:id="823472431">
      <w:bodyDiv w:val="1"/>
      <w:marLeft w:val="0"/>
      <w:marRight w:val="0"/>
      <w:marTop w:val="0"/>
      <w:marBottom w:val="0"/>
      <w:divBdr>
        <w:top w:val="none" w:sz="0" w:space="0" w:color="auto"/>
        <w:left w:val="none" w:sz="0" w:space="0" w:color="auto"/>
        <w:bottom w:val="none" w:sz="0" w:space="0" w:color="auto"/>
        <w:right w:val="none" w:sz="0" w:space="0" w:color="auto"/>
      </w:divBdr>
    </w:div>
    <w:div w:id="848566913">
      <w:bodyDiv w:val="1"/>
      <w:marLeft w:val="0"/>
      <w:marRight w:val="0"/>
      <w:marTop w:val="0"/>
      <w:marBottom w:val="0"/>
      <w:divBdr>
        <w:top w:val="none" w:sz="0" w:space="0" w:color="auto"/>
        <w:left w:val="none" w:sz="0" w:space="0" w:color="auto"/>
        <w:bottom w:val="none" w:sz="0" w:space="0" w:color="auto"/>
        <w:right w:val="none" w:sz="0" w:space="0" w:color="auto"/>
      </w:divBdr>
    </w:div>
    <w:div w:id="894050586">
      <w:bodyDiv w:val="1"/>
      <w:marLeft w:val="0"/>
      <w:marRight w:val="0"/>
      <w:marTop w:val="0"/>
      <w:marBottom w:val="0"/>
      <w:divBdr>
        <w:top w:val="none" w:sz="0" w:space="0" w:color="auto"/>
        <w:left w:val="none" w:sz="0" w:space="0" w:color="auto"/>
        <w:bottom w:val="none" w:sz="0" w:space="0" w:color="auto"/>
        <w:right w:val="none" w:sz="0" w:space="0" w:color="auto"/>
      </w:divBdr>
    </w:div>
    <w:div w:id="944656103">
      <w:bodyDiv w:val="1"/>
      <w:marLeft w:val="0"/>
      <w:marRight w:val="0"/>
      <w:marTop w:val="0"/>
      <w:marBottom w:val="0"/>
      <w:divBdr>
        <w:top w:val="none" w:sz="0" w:space="0" w:color="auto"/>
        <w:left w:val="none" w:sz="0" w:space="0" w:color="auto"/>
        <w:bottom w:val="none" w:sz="0" w:space="0" w:color="auto"/>
        <w:right w:val="none" w:sz="0" w:space="0" w:color="auto"/>
      </w:divBdr>
    </w:div>
    <w:div w:id="953095197">
      <w:bodyDiv w:val="1"/>
      <w:marLeft w:val="0"/>
      <w:marRight w:val="0"/>
      <w:marTop w:val="0"/>
      <w:marBottom w:val="0"/>
      <w:divBdr>
        <w:top w:val="none" w:sz="0" w:space="0" w:color="auto"/>
        <w:left w:val="none" w:sz="0" w:space="0" w:color="auto"/>
        <w:bottom w:val="none" w:sz="0" w:space="0" w:color="auto"/>
        <w:right w:val="none" w:sz="0" w:space="0" w:color="auto"/>
      </w:divBdr>
    </w:div>
    <w:div w:id="1059086281">
      <w:bodyDiv w:val="1"/>
      <w:marLeft w:val="0"/>
      <w:marRight w:val="0"/>
      <w:marTop w:val="0"/>
      <w:marBottom w:val="0"/>
      <w:divBdr>
        <w:top w:val="none" w:sz="0" w:space="0" w:color="auto"/>
        <w:left w:val="none" w:sz="0" w:space="0" w:color="auto"/>
        <w:bottom w:val="none" w:sz="0" w:space="0" w:color="auto"/>
        <w:right w:val="none" w:sz="0" w:space="0" w:color="auto"/>
      </w:divBdr>
    </w:div>
    <w:div w:id="1101611634">
      <w:bodyDiv w:val="1"/>
      <w:marLeft w:val="0"/>
      <w:marRight w:val="0"/>
      <w:marTop w:val="0"/>
      <w:marBottom w:val="0"/>
      <w:divBdr>
        <w:top w:val="none" w:sz="0" w:space="0" w:color="auto"/>
        <w:left w:val="none" w:sz="0" w:space="0" w:color="auto"/>
        <w:bottom w:val="none" w:sz="0" w:space="0" w:color="auto"/>
        <w:right w:val="none" w:sz="0" w:space="0" w:color="auto"/>
      </w:divBdr>
    </w:div>
    <w:div w:id="1146124768">
      <w:bodyDiv w:val="1"/>
      <w:marLeft w:val="0"/>
      <w:marRight w:val="0"/>
      <w:marTop w:val="0"/>
      <w:marBottom w:val="0"/>
      <w:divBdr>
        <w:top w:val="none" w:sz="0" w:space="0" w:color="auto"/>
        <w:left w:val="none" w:sz="0" w:space="0" w:color="auto"/>
        <w:bottom w:val="none" w:sz="0" w:space="0" w:color="auto"/>
        <w:right w:val="none" w:sz="0" w:space="0" w:color="auto"/>
      </w:divBdr>
    </w:div>
    <w:div w:id="1150748999">
      <w:bodyDiv w:val="1"/>
      <w:marLeft w:val="0"/>
      <w:marRight w:val="0"/>
      <w:marTop w:val="0"/>
      <w:marBottom w:val="0"/>
      <w:divBdr>
        <w:top w:val="none" w:sz="0" w:space="0" w:color="auto"/>
        <w:left w:val="none" w:sz="0" w:space="0" w:color="auto"/>
        <w:bottom w:val="none" w:sz="0" w:space="0" w:color="auto"/>
        <w:right w:val="none" w:sz="0" w:space="0" w:color="auto"/>
      </w:divBdr>
    </w:div>
    <w:div w:id="1420444671">
      <w:bodyDiv w:val="1"/>
      <w:marLeft w:val="0"/>
      <w:marRight w:val="0"/>
      <w:marTop w:val="0"/>
      <w:marBottom w:val="0"/>
      <w:divBdr>
        <w:top w:val="none" w:sz="0" w:space="0" w:color="auto"/>
        <w:left w:val="none" w:sz="0" w:space="0" w:color="auto"/>
        <w:bottom w:val="none" w:sz="0" w:space="0" w:color="auto"/>
        <w:right w:val="none" w:sz="0" w:space="0" w:color="auto"/>
      </w:divBdr>
    </w:div>
    <w:div w:id="1508012618">
      <w:bodyDiv w:val="1"/>
      <w:marLeft w:val="0"/>
      <w:marRight w:val="0"/>
      <w:marTop w:val="0"/>
      <w:marBottom w:val="0"/>
      <w:divBdr>
        <w:top w:val="none" w:sz="0" w:space="0" w:color="auto"/>
        <w:left w:val="none" w:sz="0" w:space="0" w:color="auto"/>
        <w:bottom w:val="none" w:sz="0" w:space="0" w:color="auto"/>
        <w:right w:val="none" w:sz="0" w:space="0" w:color="auto"/>
      </w:divBdr>
    </w:div>
    <w:div w:id="1664046497">
      <w:bodyDiv w:val="1"/>
      <w:marLeft w:val="0"/>
      <w:marRight w:val="0"/>
      <w:marTop w:val="0"/>
      <w:marBottom w:val="0"/>
      <w:divBdr>
        <w:top w:val="none" w:sz="0" w:space="0" w:color="auto"/>
        <w:left w:val="none" w:sz="0" w:space="0" w:color="auto"/>
        <w:bottom w:val="none" w:sz="0" w:space="0" w:color="auto"/>
        <w:right w:val="none" w:sz="0" w:space="0" w:color="auto"/>
      </w:divBdr>
    </w:div>
    <w:div w:id="1735278165">
      <w:bodyDiv w:val="1"/>
      <w:marLeft w:val="0"/>
      <w:marRight w:val="0"/>
      <w:marTop w:val="0"/>
      <w:marBottom w:val="0"/>
      <w:divBdr>
        <w:top w:val="none" w:sz="0" w:space="0" w:color="auto"/>
        <w:left w:val="none" w:sz="0" w:space="0" w:color="auto"/>
        <w:bottom w:val="none" w:sz="0" w:space="0" w:color="auto"/>
        <w:right w:val="none" w:sz="0" w:space="0" w:color="auto"/>
      </w:divBdr>
    </w:div>
    <w:div w:id="1750689251">
      <w:bodyDiv w:val="1"/>
      <w:marLeft w:val="0"/>
      <w:marRight w:val="0"/>
      <w:marTop w:val="0"/>
      <w:marBottom w:val="0"/>
      <w:divBdr>
        <w:top w:val="none" w:sz="0" w:space="0" w:color="auto"/>
        <w:left w:val="none" w:sz="0" w:space="0" w:color="auto"/>
        <w:bottom w:val="none" w:sz="0" w:space="0" w:color="auto"/>
        <w:right w:val="none" w:sz="0" w:space="0" w:color="auto"/>
      </w:divBdr>
    </w:div>
    <w:div w:id="1839533830">
      <w:bodyDiv w:val="1"/>
      <w:marLeft w:val="0"/>
      <w:marRight w:val="0"/>
      <w:marTop w:val="0"/>
      <w:marBottom w:val="0"/>
      <w:divBdr>
        <w:top w:val="none" w:sz="0" w:space="0" w:color="auto"/>
        <w:left w:val="none" w:sz="0" w:space="0" w:color="auto"/>
        <w:bottom w:val="none" w:sz="0" w:space="0" w:color="auto"/>
        <w:right w:val="none" w:sz="0" w:space="0" w:color="auto"/>
      </w:divBdr>
    </w:div>
    <w:div w:id="194487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ff.cnwl.nhs.uk/application/files/3216/6513/8632/Methadone_Guidelines_Palliative_Care.pdf" TargetMode="External"/><Relationship Id="rId18" Type="http://schemas.openxmlformats.org/officeDocument/2006/relationships/hyperlink" Target="https://doi.org/10.1002/psb.959"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tel:020%203317%205777" TargetMode="External"/><Relationship Id="rId7" Type="http://schemas.openxmlformats.org/officeDocument/2006/relationships/settings" Target="settings.xml"/><Relationship Id="rId12" Type="http://schemas.openxmlformats.org/officeDocument/2006/relationships/hyperlink" Target="https://staff.cnwl.nhs.uk/application/files/3216/6513/8632/Methadone_Guidelines_Palliative_Care.pdf" TargetMode="External"/><Relationship Id="rId17" Type="http://schemas.openxmlformats.org/officeDocument/2006/relationships/hyperlink" Target="https://bnf.nice.org.uk/drugs/methadone-hydrochlorid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medicines.org.uk/emc/" TargetMode="External"/><Relationship Id="rId20" Type="http://schemas.openxmlformats.org/officeDocument/2006/relationships/hyperlink" Target="https://staff.cnwl.nhs.uk/application/files/3216/6513/8632/Methadone_Guidelines_Palliative_Car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taff.cnwl.nhs.uk/application/files/3216/6513/8632/Methadone_Guidelines_Palliative_Care.pdf" TargetMode="External"/><Relationship Id="rId23" Type="http://schemas.openxmlformats.org/officeDocument/2006/relationships/hyperlink" Target="tel:020%203447%207140" TargetMode="External"/><Relationship Id="rId10" Type="http://schemas.openxmlformats.org/officeDocument/2006/relationships/endnotes" Target="endnotes.xml"/><Relationship Id="rId19" Type="http://schemas.openxmlformats.org/officeDocument/2006/relationships/hyperlink" Target="https://jpalliativecare.com/view-pdf/?article=9a46733d664af888427f8770c4d5e91fwAMchVpVA/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icines.org.uk/emc/" TargetMode="External"/><Relationship Id="rId22" Type="http://schemas.openxmlformats.org/officeDocument/2006/relationships/hyperlink" Target="tel:020%203317%205777"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rps\Desktop\NHS\(ClinS)%20Pharmacy%20Department%20-%20MEP%20and%20JFC%20-%20MEP\JFC\Templates\NCL%20JFC%20Shared%20Care%20Guideline%20Template_v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0904F1CA799A4EB2B8E1B37AAB5F88" ma:contentTypeVersion="14" ma:contentTypeDescription="Create a new document." ma:contentTypeScope="" ma:versionID="bdc6f49b99f8292c351139f851ddb608">
  <xsd:schema xmlns:xsd="http://www.w3.org/2001/XMLSchema" xmlns:xs="http://www.w3.org/2001/XMLSchema" xmlns:p="http://schemas.microsoft.com/office/2006/metadata/properties" xmlns:ns1="http://schemas.microsoft.com/sharepoint/v3" xmlns:ns2="de37781b-99aa-4df2-92c5-14938be939e3" xmlns:ns3="c3ed8bc8-98dc-4f3f-bb05-b9d1322e6f3e" targetNamespace="http://schemas.microsoft.com/office/2006/metadata/properties" ma:root="true" ma:fieldsID="2f1227ec761c6f793b06b29b10f03659" ns1:_="" ns2:_="" ns3:_="">
    <xsd:import namespace="http://schemas.microsoft.com/sharepoint/v3"/>
    <xsd:import namespace="de37781b-99aa-4df2-92c5-14938be939e3"/>
    <xsd:import namespace="c3ed8bc8-98dc-4f3f-bb05-b9d1322e6f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37781b-99aa-4df2-92c5-14938be9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d8bc8-98dc-4f3f-bb05-b9d1322e6f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de37781b-99aa-4df2-92c5-14938be939e3" xsi:nil="true"/>
    <_ip_UnifiedCompliancePolicyUIAction xmlns="http://schemas.microsoft.com/sharepoint/v3" xsi:nil="true"/>
    <_ip_UnifiedCompliancePolicyProperties xmlns="http://schemas.microsoft.com/sharepoint/v3" xsi:nil="true"/>
    <lcf76f155ced4ddcb4097134ff3c332f xmlns="de37781b-99aa-4df2-92c5-14938be939e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B1435-A961-454F-B70B-43F3DE329929}">
  <ds:schemaRefs>
    <ds:schemaRef ds:uri="http://schemas.microsoft.com/sharepoint/v3/contenttype/forms"/>
  </ds:schemaRefs>
</ds:datastoreItem>
</file>

<file path=customXml/itemProps2.xml><?xml version="1.0" encoding="utf-8"?>
<ds:datastoreItem xmlns:ds="http://schemas.openxmlformats.org/officeDocument/2006/customXml" ds:itemID="{BDDFA615-BE5D-4DBB-A978-B68C7B710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37781b-99aa-4df2-92c5-14938be939e3"/>
    <ds:schemaRef ds:uri="c3ed8bc8-98dc-4f3f-bb05-b9d1322e6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866A7F-9802-4292-8511-A855721FCF69}">
  <ds:schemaRefs>
    <ds:schemaRef ds:uri="http://schemas.microsoft.com/office/2006/metadata/properties"/>
    <ds:schemaRef ds:uri="http://schemas.microsoft.com/office/infopath/2007/PartnerControls"/>
    <ds:schemaRef ds:uri="de37781b-99aa-4df2-92c5-14938be939e3"/>
    <ds:schemaRef ds:uri="http://schemas.microsoft.com/sharepoint/v3"/>
  </ds:schemaRefs>
</ds:datastoreItem>
</file>

<file path=customXml/itemProps4.xml><?xml version="1.0" encoding="utf-8"?>
<ds:datastoreItem xmlns:ds="http://schemas.openxmlformats.org/officeDocument/2006/customXml" ds:itemID="{6DD89F67-B07F-481B-88FF-48BC9E5C757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NCL JFC Shared Care Guideline Template_v4.1.dotx</Template>
  <TotalTime>4</TotalTime>
  <Pages>1</Pages>
  <Words>4800</Words>
  <Characters>27362</Characters>
  <Application>Microsoft Office Word</Application>
  <DocSecurity>0</DocSecurity>
  <Lines>228</Lines>
  <Paragraphs>64</Paragraphs>
  <ScaleCrop>false</ScaleCrop>
  <Company>Abacus International</Company>
  <LinksUpToDate>false</LinksUpToDate>
  <CharactersWithSpaces>32098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&lt;&lt;Add Title. Not more than 4 lines. Drop font size as necessary to fit in box&gt;&gt;</dc:title>
  <dc:subject>….</dc:subject>
  <dc:creator>Gurps</dc:creator>
  <cp:lastModifiedBy>MARU, Saloni (UNIVERSITY COLLEGE LONDON HOSPITALS NHS FOUNDATION TRUST)</cp:lastModifiedBy>
  <cp:revision>19</cp:revision>
  <cp:lastPrinted>2023-12-04T09:28:00Z</cp:lastPrinted>
  <dcterms:created xsi:type="dcterms:W3CDTF">2023-05-03T17:11:00Z</dcterms:created>
  <dcterms:modified xsi:type="dcterms:W3CDTF">2023-12-04T09:28:00Z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0x0101002D0904F1CA799A4EB2B8E1B37AAB5F88</vt:lpwstr>
  </property>
  <property fmtid="{D5CDD505-2E9C-101B-9397-08002B2CF9AE}" pid="3" name="GrammarlyDocumentId">
    <vt:lpwstr>71e9526745f706ab05c344c259cbef86275c61bb8eb0a61ff54118ada4cc51dc</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