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1238" w14:textId="77777777" w:rsidR="0033552D" w:rsidRDefault="00A66BEB" w:rsidP="00AD78BC">
      <w:pPr>
        <w:pStyle w:val="NCLBodyText"/>
        <w:spacing w:before="0"/>
        <w:jc w:val="right"/>
      </w:pPr>
      <w:r>
        <w:rPr>
          <w:noProof/>
          <w:lang w:eastAsia="en-GB"/>
        </w:rPr>
        <w:drawing>
          <wp:inline distT="0" distB="0" distL="0" distR="0" wp14:anchorId="63564FBB" wp14:editId="76A14F07">
            <wp:extent cx="889200" cy="360000"/>
            <wp:effectExtent l="0" t="0" r="635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9200" cy="360000"/>
                    </a:xfrm>
                    <a:prstGeom prst="rect">
                      <a:avLst/>
                    </a:prstGeom>
                  </pic:spPr>
                </pic:pic>
              </a:graphicData>
            </a:graphic>
          </wp:inline>
        </w:drawing>
      </w:r>
    </w:p>
    <w:p w14:paraId="426CAD95" w14:textId="77777777" w:rsidR="00FB29AA" w:rsidRDefault="00FB29AA" w:rsidP="00AD78BC">
      <w:pPr>
        <w:pStyle w:val="NCLBodyText"/>
        <w:spacing w:before="0"/>
        <w:jc w:val="right"/>
      </w:pPr>
    </w:p>
    <w:p w14:paraId="5E4C12A8" w14:textId="77777777" w:rsidR="0074256D" w:rsidRDefault="0074256D" w:rsidP="00AD78BC">
      <w:pPr>
        <w:pStyle w:val="NCLBodyText"/>
        <w:spacing w:before="0"/>
        <w:jc w:val="right"/>
      </w:pPr>
    </w:p>
    <w:p w14:paraId="2774AC98" w14:textId="77777777" w:rsidR="008A5E15" w:rsidRPr="001D3047" w:rsidRDefault="00A3435B" w:rsidP="00AD78BC">
      <w:pPr>
        <w:pStyle w:val="NCLBodyText"/>
        <w:spacing w:before="0"/>
        <w:jc w:val="right"/>
        <w:rPr>
          <w:rFonts w:ascii="Arial" w:hAnsi="Arial" w:cs="Arial"/>
          <w:b/>
          <w:color w:val="0072C6"/>
          <w:sz w:val="24"/>
        </w:rPr>
      </w:pPr>
      <w:r w:rsidRPr="001D3047">
        <w:rPr>
          <w:rFonts w:ascii="Arial" w:hAnsi="Arial" w:cs="Arial"/>
          <w:b/>
          <w:color w:val="0072C6"/>
          <w:sz w:val="24"/>
        </w:rPr>
        <w:t>N</w:t>
      </w:r>
      <w:r w:rsidR="00CF04B0" w:rsidRPr="001D3047">
        <w:rPr>
          <w:rFonts w:ascii="Arial" w:hAnsi="Arial" w:cs="Arial"/>
          <w:b/>
          <w:color w:val="0072C6"/>
          <w:sz w:val="24"/>
        </w:rPr>
        <w:t>orth Central London</w:t>
      </w:r>
    </w:p>
    <w:p w14:paraId="420E1CD5" w14:textId="77777777" w:rsidR="008A5E15" w:rsidRDefault="00CF04B0" w:rsidP="00AD78BC">
      <w:pPr>
        <w:pStyle w:val="NCLBodyText"/>
        <w:spacing w:before="0"/>
        <w:jc w:val="right"/>
        <w:rPr>
          <w:rFonts w:ascii="Arial" w:hAnsi="Arial" w:cs="Arial"/>
          <w:b/>
          <w:color w:val="0072C6"/>
          <w:sz w:val="24"/>
        </w:rPr>
      </w:pPr>
      <w:r w:rsidRPr="001D3047">
        <w:rPr>
          <w:rFonts w:ascii="Arial" w:hAnsi="Arial" w:cs="Arial"/>
          <w:b/>
          <w:color w:val="0072C6"/>
          <w:sz w:val="24"/>
        </w:rPr>
        <w:t>Joint Formulary Committee</w:t>
      </w:r>
    </w:p>
    <w:tbl>
      <w:tblPr>
        <w:tblpPr w:leftFromText="180" w:rightFromText="180" w:vertAnchor="text" w:horzAnchor="margin" w:tblpY="313"/>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548DD4" w:themeFill="text2" w:themeFillTint="99"/>
        <w:tblLook w:val="0000" w:firstRow="0" w:lastRow="0" w:firstColumn="0" w:lastColumn="0" w:noHBand="0" w:noVBand="0"/>
      </w:tblPr>
      <w:tblGrid>
        <w:gridCol w:w="9302"/>
      </w:tblGrid>
      <w:tr w:rsidR="00130070" w14:paraId="792E83DA" w14:textId="77777777" w:rsidTr="00130070">
        <w:tc>
          <w:tcPr>
            <w:tcW w:w="9302" w:type="dxa"/>
            <w:tcBorders>
              <w:top w:val="single" w:sz="12" w:space="0" w:color="C0C0C0"/>
              <w:left w:val="single" w:sz="12" w:space="0" w:color="C0C0C0"/>
              <w:bottom w:val="single" w:sz="12" w:space="0" w:color="C0C0C0"/>
              <w:right w:val="single" w:sz="12" w:space="0" w:color="C0C0C0"/>
            </w:tcBorders>
            <w:shd w:val="clear" w:color="auto" w:fill="548DD4" w:themeFill="text2" w:themeFillTint="99"/>
            <w:tcMar>
              <w:top w:w="57" w:type="dxa"/>
              <w:left w:w="57" w:type="dxa"/>
              <w:bottom w:w="57" w:type="dxa"/>
              <w:right w:w="57" w:type="dxa"/>
            </w:tcMar>
            <w:vAlign w:val="center"/>
          </w:tcPr>
          <w:p w14:paraId="46FECC32" w14:textId="77777777" w:rsidR="00130070" w:rsidRPr="00D46B50" w:rsidRDefault="00130070" w:rsidP="00130070">
            <w:pPr>
              <w:spacing w:after="0"/>
              <w:jc w:val="center"/>
              <w:rPr>
                <w:rFonts w:cs="Arial"/>
                <w:b/>
                <w:color w:val="FFFFFF" w:themeColor="background1"/>
                <w:spacing w:val="30"/>
                <w:sz w:val="36"/>
                <w:szCs w:val="22"/>
              </w:rPr>
            </w:pPr>
            <w:r w:rsidRPr="438C350F">
              <w:rPr>
                <w:rFonts w:cs="Arial"/>
                <w:b/>
                <w:bCs/>
                <w:color w:val="FFFFFF" w:themeColor="background1"/>
                <w:spacing w:val="30"/>
                <w:sz w:val="36"/>
                <w:szCs w:val="36"/>
              </w:rPr>
              <w:t>Shared Care Guideline</w:t>
            </w:r>
          </w:p>
          <w:p w14:paraId="37EC80E4" w14:textId="7DC5B723" w:rsidR="00130070" w:rsidRDefault="003C4C03" w:rsidP="00130070">
            <w:pPr>
              <w:spacing w:after="0"/>
              <w:jc w:val="center"/>
            </w:pPr>
            <w:proofErr w:type="spellStart"/>
            <w:r>
              <w:rPr>
                <w:rFonts w:cs="Arial"/>
                <w:b/>
                <w:bCs/>
                <w:color w:val="FFFFFF" w:themeColor="background1"/>
                <w:sz w:val="36"/>
                <w:szCs w:val="36"/>
              </w:rPr>
              <w:t>Lokelma</w:t>
            </w:r>
            <w:proofErr w:type="spellEnd"/>
            <w:r>
              <w:rPr>
                <w:rFonts w:cs="Arial"/>
                <w:b/>
                <w:bCs/>
                <w:color w:val="FFFFFF" w:themeColor="background1"/>
                <w:sz w:val="36"/>
                <w:szCs w:val="36"/>
              </w:rPr>
              <w:t xml:space="preserve"> (Sodium </w:t>
            </w:r>
            <w:proofErr w:type="spellStart"/>
            <w:r>
              <w:rPr>
                <w:rFonts w:cs="Arial"/>
                <w:b/>
                <w:bCs/>
                <w:color w:val="FFFFFF" w:themeColor="background1"/>
                <w:sz w:val="36"/>
                <w:szCs w:val="36"/>
              </w:rPr>
              <w:t>Ziroconium</w:t>
            </w:r>
            <w:proofErr w:type="spellEnd"/>
            <w:r w:rsidR="00D606AA">
              <w:rPr>
                <w:rFonts w:cs="Arial"/>
                <w:b/>
                <w:bCs/>
                <w:color w:val="FFFFFF" w:themeColor="background1"/>
                <w:sz w:val="36"/>
                <w:szCs w:val="36"/>
              </w:rPr>
              <w:t xml:space="preserve"> Cyclosilicate</w:t>
            </w:r>
            <w:r>
              <w:rPr>
                <w:rFonts w:cs="Arial"/>
                <w:b/>
                <w:bCs/>
                <w:color w:val="FFFFFF" w:themeColor="background1"/>
                <w:sz w:val="36"/>
                <w:szCs w:val="36"/>
              </w:rPr>
              <w:t xml:space="preserve">) and </w:t>
            </w:r>
            <w:proofErr w:type="spellStart"/>
            <w:r>
              <w:rPr>
                <w:rFonts w:cs="Arial"/>
                <w:b/>
                <w:bCs/>
                <w:color w:val="FFFFFF" w:themeColor="background1"/>
                <w:sz w:val="36"/>
                <w:szCs w:val="36"/>
              </w:rPr>
              <w:t>V</w:t>
            </w:r>
            <w:r w:rsidR="008B0763">
              <w:rPr>
                <w:rFonts w:cs="Arial"/>
                <w:b/>
                <w:bCs/>
                <w:color w:val="FFFFFF" w:themeColor="background1"/>
                <w:sz w:val="36"/>
                <w:szCs w:val="36"/>
              </w:rPr>
              <w:t>e</w:t>
            </w:r>
            <w:r>
              <w:rPr>
                <w:rFonts w:cs="Arial"/>
                <w:b/>
                <w:bCs/>
                <w:color w:val="FFFFFF" w:themeColor="background1"/>
                <w:sz w:val="36"/>
                <w:szCs w:val="36"/>
              </w:rPr>
              <w:t>lt</w:t>
            </w:r>
            <w:r w:rsidR="003243DF">
              <w:rPr>
                <w:rFonts w:cs="Arial"/>
                <w:b/>
                <w:bCs/>
                <w:color w:val="FFFFFF" w:themeColor="background1"/>
                <w:sz w:val="36"/>
                <w:szCs w:val="36"/>
              </w:rPr>
              <w:t>a</w:t>
            </w:r>
            <w:r>
              <w:rPr>
                <w:rFonts w:cs="Arial"/>
                <w:b/>
                <w:bCs/>
                <w:color w:val="FFFFFF" w:themeColor="background1"/>
                <w:sz w:val="36"/>
                <w:szCs w:val="36"/>
              </w:rPr>
              <w:t>ssa</w:t>
            </w:r>
            <w:proofErr w:type="spellEnd"/>
            <w:r>
              <w:rPr>
                <w:rFonts w:cs="Arial"/>
                <w:b/>
                <w:bCs/>
                <w:color w:val="FFFFFF" w:themeColor="background1"/>
                <w:sz w:val="36"/>
                <w:szCs w:val="36"/>
              </w:rPr>
              <w:t xml:space="preserve"> (</w:t>
            </w:r>
            <w:proofErr w:type="spellStart"/>
            <w:r>
              <w:rPr>
                <w:rFonts w:cs="Arial"/>
                <w:b/>
                <w:bCs/>
                <w:color w:val="FFFFFF" w:themeColor="background1"/>
                <w:sz w:val="36"/>
                <w:szCs w:val="36"/>
              </w:rPr>
              <w:t>Pat</w:t>
            </w:r>
            <w:r w:rsidR="00854630">
              <w:rPr>
                <w:rFonts w:cs="Arial"/>
                <w:b/>
                <w:bCs/>
                <w:color w:val="FFFFFF" w:themeColor="background1"/>
                <w:sz w:val="36"/>
                <w:szCs w:val="36"/>
              </w:rPr>
              <w:t>i</w:t>
            </w:r>
            <w:r>
              <w:rPr>
                <w:rFonts w:cs="Arial"/>
                <w:b/>
                <w:bCs/>
                <w:color w:val="FFFFFF" w:themeColor="background1"/>
                <w:sz w:val="36"/>
                <w:szCs w:val="36"/>
              </w:rPr>
              <w:t>romer</w:t>
            </w:r>
            <w:proofErr w:type="spellEnd"/>
            <w:r>
              <w:rPr>
                <w:rFonts w:cs="Arial"/>
                <w:b/>
                <w:bCs/>
                <w:color w:val="FFFFFF" w:themeColor="background1"/>
                <w:sz w:val="36"/>
                <w:szCs w:val="36"/>
              </w:rPr>
              <w:t xml:space="preserve"> Calcium) </w:t>
            </w:r>
          </w:p>
          <w:p w14:paraId="071985CB" w14:textId="4E4A6E24" w:rsidR="00130070" w:rsidRPr="004C79B4" w:rsidRDefault="00130070" w:rsidP="00130070">
            <w:pPr>
              <w:spacing w:after="0"/>
              <w:jc w:val="center"/>
              <w:rPr>
                <w:rFonts w:cs="Arial"/>
                <w:b/>
                <w:color w:val="333333"/>
                <w:spacing w:val="30"/>
                <w:sz w:val="36"/>
                <w:szCs w:val="22"/>
              </w:rPr>
            </w:pPr>
            <w:r w:rsidRPr="00D46B50">
              <w:rPr>
                <w:rFonts w:cs="Arial"/>
                <w:b/>
                <w:color w:val="FFFFFF" w:themeColor="background1"/>
                <w:spacing w:val="30"/>
                <w:sz w:val="36"/>
                <w:szCs w:val="22"/>
              </w:rPr>
              <w:t>T</w:t>
            </w:r>
            <w:r>
              <w:rPr>
                <w:rFonts w:cs="Arial"/>
                <w:b/>
                <w:color w:val="FFFFFF" w:themeColor="background1"/>
                <w:spacing w:val="30"/>
                <w:sz w:val="36"/>
                <w:szCs w:val="22"/>
              </w:rPr>
              <w:t xml:space="preserve">reatment of </w:t>
            </w:r>
            <w:r w:rsidR="003C4C03">
              <w:rPr>
                <w:rFonts w:cs="Arial"/>
                <w:b/>
                <w:color w:val="FFFFFF" w:themeColor="background1"/>
                <w:spacing w:val="30"/>
                <w:sz w:val="36"/>
                <w:szCs w:val="22"/>
              </w:rPr>
              <w:t>hyperkalaemia</w:t>
            </w:r>
          </w:p>
        </w:tc>
      </w:tr>
    </w:tbl>
    <w:p w14:paraId="3274FA83" w14:textId="77777777" w:rsidR="00D46B50" w:rsidRPr="001D3047" w:rsidRDefault="00D46B50" w:rsidP="00AD78BC">
      <w:pPr>
        <w:pStyle w:val="NCLBodyText"/>
        <w:spacing w:before="0"/>
        <w:jc w:val="right"/>
        <w:rPr>
          <w:rFonts w:ascii="Arial" w:hAnsi="Arial" w:cs="Arial"/>
          <w:b/>
          <w:color w:val="0072C6"/>
          <w:sz w:val="24"/>
        </w:rPr>
      </w:pPr>
    </w:p>
    <w:p w14:paraId="4CBB32FB" w14:textId="77777777" w:rsidR="008A5E15" w:rsidRDefault="008A5E15" w:rsidP="008A5E15">
      <w:pPr>
        <w:pStyle w:val="Header"/>
      </w:pPr>
    </w:p>
    <w:p w14:paraId="2D6129DE" w14:textId="77777777" w:rsidR="00367357" w:rsidRPr="00130070" w:rsidRDefault="00367357" w:rsidP="00F6177F">
      <w:pPr>
        <w:pStyle w:val="NCLBodyText"/>
        <w:rPr>
          <w:sz w:val="20"/>
          <w:szCs w:val="20"/>
        </w:rPr>
      </w:pPr>
    </w:p>
    <w:p w14:paraId="03900178" w14:textId="01EFCB11" w:rsidR="00D46B50" w:rsidRPr="00130070" w:rsidRDefault="00D46B50" w:rsidP="00D46B50">
      <w:pPr>
        <w:pStyle w:val="NCLBodyText"/>
        <w:rPr>
          <w:sz w:val="20"/>
          <w:szCs w:val="20"/>
        </w:rPr>
      </w:pPr>
      <w:r w:rsidRPr="117DD635">
        <w:rPr>
          <w:sz w:val="20"/>
          <w:szCs w:val="20"/>
        </w:rPr>
        <w:t xml:space="preserve">Dear </w:t>
      </w:r>
      <w:r w:rsidR="7F96C52B" w:rsidRPr="117DD635">
        <w:rPr>
          <w:sz w:val="20"/>
          <w:szCs w:val="20"/>
        </w:rPr>
        <w:t>Primary Care Prescriber.</w:t>
      </w:r>
    </w:p>
    <w:p w14:paraId="46950793" w14:textId="1D86870C" w:rsidR="00D46B50" w:rsidRPr="00130070" w:rsidRDefault="00D46B50" w:rsidP="00D46B50">
      <w:pPr>
        <w:pStyle w:val="NCLBodyText"/>
        <w:rPr>
          <w:sz w:val="20"/>
          <w:szCs w:val="20"/>
        </w:rPr>
      </w:pPr>
      <w:r w:rsidRPr="00130070">
        <w:rPr>
          <w:sz w:val="20"/>
          <w:szCs w:val="20"/>
        </w:rPr>
        <w:t xml:space="preserve">The information in </w:t>
      </w:r>
      <w:r w:rsidR="003C22FE" w:rsidRPr="4E34C8D1">
        <w:rPr>
          <w:sz w:val="20"/>
          <w:szCs w:val="20"/>
        </w:rPr>
        <w:t>this</w:t>
      </w:r>
      <w:r w:rsidRPr="00130070">
        <w:rPr>
          <w:sz w:val="20"/>
          <w:szCs w:val="20"/>
        </w:rPr>
        <w:t xml:space="preserve"> shared care guideline has been developed in consultation with Primary Care</w:t>
      </w:r>
      <w:r w:rsidR="003B31B5" w:rsidRPr="4E34C8D1">
        <w:rPr>
          <w:sz w:val="20"/>
          <w:szCs w:val="20"/>
        </w:rPr>
        <w:t>,</w:t>
      </w:r>
      <w:r w:rsidRPr="4E34C8D1">
        <w:rPr>
          <w:sz w:val="20"/>
          <w:szCs w:val="20"/>
        </w:rPr>
        <w:t xml:space="preserve"> </w:t>
      </w:r>
      <w:r w:rsidR="0029202D" w:rsidRPr="4E34C8D1">
        <w:rPr>
          <w:sz w:val="20"/>
          <w:szCs w:val="20"/>
        </w:rPr>
        <w:t>with agreement</w:t>
      </w:r>
      <w:r w:rsidRPr="00130070">
        <w:rPr>
          <w:sz w:val="20"/>
          <w:szCs w:val="20"/>
        </w:rPr>
        <w:t xml:space="preserve"> that shared care</w:t>
      </w:r>
      <w:r w:rsidR="003B31B5" w:rsidRPr="4E34C8D1">
        <w:rPr>
          <w:sz w:val="20"/>
          <w:szCs w:val="20"/>
        </w:rPr>
        <w:t xml:space="preserve"> is appropriate</w:t>
      </w:r>
      <w:r w:rsidRPr="00130070">
        <w:rPr>
          <w:sz w:val="20"/>
          <w:szCs w:val="20"/>
        </w:rPr>
        <w:t xml:space="preserve">. </w:t>
      </w:r>
    </w:p>
    <w:p w14:paraId="3E30F92B" w14:textId="5ADBC5F7" w:rsidR="00130070" w:rsidRPr="00130070" w:rsidRDefault="00D46B50" w:rsidP="00130070">
      <w:pPr>
        <w:pStyle w:val="NCLBodyText"/>
        <w:rPr>
          <w:sz w:val="20"/>
          <w:szCs w:val="20"/>
        </w:rPr>
      </w:pPr>
      <w:r w:rsidRPr="074FFE4A">
        <w:rPr>
          <w:sz w:val="20"/>
          <w:szCs w:val="20"/>
        </w:rPr>
        <w:t xml:space="preserve">Sharing of care assumes communication between the specialist, </w:t>
      </w:r>
      <w:r w:rsidR="3E00A946" w:rsidRPr="074FFE4A">
        <w:rPr>
          <w:sz w:val="20"/>
          <w:szCs w:val="20"/>
        </w:rPr>
        <w:t xml:space="preserve">primary care </w:t>
      </w:r>
      <w:r w:rsidR="3E00A946" w:rsidRPr="4E34C8D1">
        <w:rPr>
          <w:sz w:val="20"/>
          <w:szCs w:val="20"/>
        </w:rPr>
        <w:t>prescriber</w:t>
      </w:r>
      <w:r w:rsidRPr="074FFE4A">
        <w:rPr>
          <w:sz w:val="20"/>
          <w:szCs w:val="20"/>
        </w:rPr>
        <w:t xml:space="preserve"> and patient. The intention to share care should be explained to the patient by the </w:t>
      </w:r>
      <w:r w:rsidR="0CF61C7D" w:rsidRPr="4E34C8D1">
        <w:rPr>
          <w:sz w:val="20"/>
          <w:szCs w:val="20"/>
        </w:rPr>
        <w:t>specialist</w:t>
      </w:r>
      <w:r w:rsidR="0CF61C7D" w:rsidRPr="074FFE4A">
        <w:rPr>
          <w:sz w:val="20"/>
          <w:szCs w:val="20"/>
        </w:rPr>
        <w:t xml:space="preserve"> clinician</w:t>
      </w:r>
      <w:r w:rsidRPr="074FFE4A">
        <w:rPr>
          <w:sz w:val="20"/>
          <w:szCs w:val="20"/>
        </w:rPr>
        <w:t xml:space="preserve"> when treatment is initiated. It is important that patients are consulted about treatment and </w:t>
      </w:r>
      <w:proofErr w:type="gramStart"/>
      <w:r w:rsidRPr="074FFE4A">
        <w:rPr>
          <w:sz w:val="20"/>
          <w:szCs w:val="20"/>
        </w:rPr>
        <w:t>are in agreement</w:t>
      </w:r>
      <w:proofErr w:type="gramEnd"/>
      <w:r w:rsidRPr="074FFE4A">
        <w:rPr>
          <w:sz w:val="20"/>
          <w:szCs w:val="20"/>
        </w:rPr>
        <w:t xml:space="preserve"> with it.</w:t>
      </w:r>
      <w:r w:rsidR="00130070" w:rsidRPr="074FFE4A">
        <w:rPr>
          <w:sz w:val="20"/>
          <w:szCs w:val="20"/>
        </w:rPr>
        <w:t xml:space="preserve"> </w:t>
      </w:r>
    </w:p>
    <w:p w14:paraId="72EB7465" w14:textId="3BF9C6FA" w:rsidR="00217A87" w:rsidRPr="00130070" w:rsidRDefault="00217A87" w:rsidP="00130070">
      <w:pPr>
        <w:pStyle w:val="NCLBodyText"/>
        <w:rPr>
          <w:sz w:val="20"/>
          <w:szCs w:val="20"/>
        </w:rPr>
      </w:pPr>
      <w:r w:rsidRPr="54E3825D">
        <w:rPr>
          <w:sz w:val="20"/>
          <w:szCs w:val="20"/>
        </w:rPr>
        <w:t xml:space="preserve">Further information on shared care, including out of area referrals, can be found in the NCL Interface Prescribing Guidance. </w:t>
      </w:r>
    </w:p>
    <w:p w14:paraId="20FB2F89" w14:textId="46368364" w:rsidR="00D46B50" w:rsidRPr="00F6699A" w:rsidRDefault="76C84076" w:rsidP="54E3825D">
      <w:pPr>
        <w:pStyle w:val="NCLHeading1"/>
        <w:numPr>
          <w:ilvl w:val="0"/>
          <w:numId w:val="0"/>
        </w:numPr>
        <w:jc w:val="both"/>
      </w:pPr>
      <w:r>
        <w:t>Shared Care Guideline</w:t>
      </w:r>
    </w:p>
    <w:tbl>
      <w:tblPr>
        <w:tblW w:w="10404"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3636"/>
        <w:gridCol w:w="151"/>
        <w:gridCol w:w="1550"/>
        <w:gridCol w:w="423"/>
        <w:gridCol w:w="3199"/>
      </w:tblGrid>
      <w:tr w:rsidR="00C11E23" w:rsidRPr="00B22880" w14:paraId="6105DDAE" w14:textId="77777777" w:rsidTr="00B562C7">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FFFFFF" w:themeFill="background1"/>
          </w:tcPr>
          <w:p w14:paraId="132A4CF8" w14:textId="498BBB7D" w:rsidR="00C11E23" w:rsidRPr="009D3CF9" w:rsidRDefault="00762D48" w:rsidP="00E671CC">
            <w:pPr>
              <w:pStyle w:val="paragraph"/>
              <w:spacing w:before="0" w:beforeAutospacing="0" w:after="0" w:afterAutospacing="0"/>
              <w:rPr>
                <w:rStyle w:val="normaltextrun"/>
                <w:rFonts w:asciiTheme="minorHAnsi" w:hAnsiTheme="minorHAnsi" w:cstheme="minorHAnsi"/>
                <w:b/>
                <w:bCs/>
                <w:sz w:val="22"/>
                <w:szCs w:val="22"/>
                <w:lang w:val="en-AU"/>
              </w:rPr>
            </w:pPr>
            <w:r w:rsidRPr="009D3CF9">
              <w:rPr>
                <w:rStyle w:val="normaltextrun"/>
                <w:rFonts w:asciiTheme="minorHAnsi" w:hAnsiTheme="minorHAnsi" w:cstheme="minorHAnsi"/>
                <w:b/>
                <w:bCs/>
                <w:sz w:val="22"/>
                <w:szCs w:val="22"/>
                <w:lang w:val="en-AU"/>
              </w:rPr>
              <w:t>Indication</w:t>
            </w:r>
          </w:p>
        </w:tc>
        <w:tc>
          <w:tcPr>
            <w:tcW w:w="8993" w:type="dxa"/>
            <w:gridSpan w:val="5"/>
            <w:tcBorders>
              <w:top w:val="single" w:sz="6" w:space="0" w:color="auto"/>
              <w:left w:val="single" w:sz="6" w:space="0" w:color="auto"/>
              <w:bottom w:val="single" w:sz="6" w:space="0" w:color="auto"/>
              <w:right w:val="single" w:sz="6" w:space="0" w:color="auto"/>
            </w:tcBorders>
            <w:shd w:val="clear" w:color="auto" w:fill="auto"/>
          </w:tcPr>
          <w:p w14:paraId="493C92DE" w14:textId="6431A296" w:rsidR="003F6BEE" w:rsidRPr="007774D2" w:rsidRDefault="00762D48" w:rsidP="00762D48">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7774D2">
              <w:rPr>
                <w:rStyle w:val="normaltextrun"/>
                <w:rFonts w:asciiTheme="minorHAnsi" w:eastAsiaTheme="majorEastAsia" w:hAnsiTheme="minorHAnsi" w:cstheme="minorHAnsi"/>
                <w:color w:val="000000"/>
                <w:sz w:val="22"/>
                <w:szCs w:val="22"/>
              </w:rPr>
              <w:t>As per local formulary agreement</w:t>
            </w:r>
            <w:r w:rsidRPr="00B562C7">
              <w:rPr>
                <w:rStyle w:val="normaltextrun"/>
                <w:rFonts w:asciiTheme="minorHAnsi" w:eastAsiaTheme="majorEastAsia" w:hAnsiTheme="minorHAnsi" w:cstheme="minorHAnsi"/>
                <w:i/>
                <w:iCs/>
                <w:sz w:val="22"/>
                <w:szCs w:val="22"/>
              </w:rPr>
              <w:t>,</w:t>
            </w:r>
            <w:r w:rsidR="003C4C03" w:rsidRPr="00B562C7">
              <w:rPr>
                <w:rStyle w:val="normaltextrun"/>
                <w:rFonts w:asciiTheme="minorHAnsi" w:eastAsiaTheme="majorEastAsia" w:hAnsiTheme="minorHAnsi" w:cstheme="minorHAnsi"/>
                <w:i/>
                <w:iCs/>
                <w:sz w:val="22"/>
                <w:szCs w:val="22"/>
              </w:rPr>
              <w:t xml:space="preserve"> </w:t>
            </w:r>
            <w:proofErr w:type="spellStart"/>
            <w:r w:rsidR="003C4C03" w:rsidRPr="007774D2">
              <w:rPr>
                <w:rStyle w:val="normaltextrun"/>
                <w:rFonts w:asciiTheme="minorHAnsi" w:eastAsiaTheme="majorEastAsia" w:hAnsiTheme="minorHAnsi" w:cstheme="minorHAnsi"/>
                <w:sz w:val="22"/>
                <w:szCs w:val="22"/>
              </w:rPr>
              <w:t>Lokelma</w:t>
            </w:r>
            <w:proofErr w:type="spellEnd"/>
            <w:r w:rsidR="003C4C03" w:rsidRPr="007774D2">
              <w:rPr>
                <w:rStyle w:val="normaltextrun"/>
                <w:rFonts w:asciiTheme="minorHAnsi" w:eastAsiaTheme="majorEastAsia" w:hAnsiTheme="minorHAnsi" w:cstheme="minorHAnsi"/>
                <w:sz w:val="22"/>
                <w:szCs w:val="22"/>
              </w:rPr>
              <w:t xml:space="preserve"> and </w:t>
            </w:r>
            <w:proofErr w:type="spellStart"/>
            <w:r w:rsidR="003243DF">
              <w:rPr>
                <w:rStyle w:val="normaltextrun"/>
                <w:rFonts w:asciiTheme="minorHAnsi" w:eastAsiaTheme="majorEastAsia" w:hAnsiTheme="minorHAnsi" w:cstheme="minorHAnsi"/>
                <w:sz w:val="22"/>
                <w:szCs w:val="22"/>
              </w:rPr>
              <w:t>Veltassa</w:t>
            </w:r>
            <w:proofErr w:type="spellEnd"/>
            <w:r w:rsidR="003C4C03" w:rsidRPr="007774D2">
              <w:rPr>
                <w:rStyle w:val="normaltextrun"/>
                <w:rFonts w:asciiTheme="minorHAnsi" w:eastAsiaTheme="majorEastAsia" w:hAnsiTheme="minorHAnsi" w:cstheme="minorHAnsi"/>
                <w:sz w:val="22"/>
                <w:szCs w:val="22"/>
              </w:rPr>
              <w:t xml:space="preserve"> </w:t>
            </w:r>
            <w:r w:rsidR="003C4C03" w:rsidRPr="007774D2">
              <w:rPr>
                <w:rStyle w:val="normaltextrun"/>
                <w:rFonts w:asciiTheme="minorHAnsi" w:eastAsiaTheme="majorEastAsia" w:hAnsiTheme="minorHAnsi" w:cstheme="minorHAnsi"/>
                <w:color w:val="000000"/>
                <w:sz w:val="22"/>
                <w:szCs w:val="22"/>
              </w:rPr>
              <w:t>are both potassium binders</w:t>
            </w:r>
            <w:r w:rsidRPr="007774D2">
              <w:rPr>
                <w:rStyle w:val="normaltextrun"/>
                <w:rFonts w:asciiTheme="minorHAnsi" w:eastAsiaTheme="majorEastAsia" w:hAnsiTheme="minorHAnsi" w:cstheme="minorHAnsi"/>
                <w:color w:val="000000"/>
                <w:sz w:val="22"/>
                <w:szCs w:val="22"/>
              </w:rPr>
              <w:t xml:space="preserve"> recommended </w:t>
            </w:r>
            <w:r w:rsidR="003F6BEE" w:rsidRPr="007774D2">
              <w:rPr>
                <w:rStyle w:val="normaltextrun"/>
                <w:rFonts w:asciiTheme="minorHAnsi" w:eastAsiaTheme="majorEastAsia" w:hAnsiTheme="minorHAnsi" w:cstheme="minorHAnsi"/>
                <w:color w:val="000000"/>
                <w:sz w:val="22"/>
                <w:szCs w:val="22"/>
              </w:rPr>
              <w:t xml:space="preserve">for the treatment of adults with hyperkalaemia in line with </w:t>
            </w:r>
            <w:hyperlink r:id="rId12" w:history="1">
              <w:r w:rsidR="003C4C03" w:rsidRPr="007774D2">
                <w:rPr>
                  <w:rStyle w:val="Hyperlink"/>
                  <w:rFonts w:asciiTheme="minorHAnsi" w:eastAsiaTheme="majorEastAsia" w:hAnsiTheme="minorHAnsi" w:cstheme="minorHAnsi"/>
                  <w:sz w:val="22"/>
                  <w:szCs w:val="22"/>
                </w:rPr>
                <w:t>NICE TA599</w:t>
              </w:r>
            </w:hyperlink>
            <w:r w:rsidR="003C4C03" w:rsidRPr="007774D2">
              <w:rPr>
                <w:rStyle w:val="normaltextrun"/>
                <w:rFonts w:asciiTheme="minorHAnsi" w:eastAsiaTheme="majorEastAsia" w:hAnsiTheme="minorHAnsi" w:cstheme="minorHAnsi"/>
                <w:color w:val="000000"/>
                <w:sz w:val="22"/>
                <w:szCs w:val="22"/>
              </w:rPr>
              <w:t xml:space="preserve"> and </w:t>
            </w:r>
            <w:hyperlink r:id="rId13" w:history="1">
              <w:r w:rsidR="003C4C03" w:rsidRPr="007774D2">
                <w:rPr>
                  <w:rStyle w:val="Hyperlink"/>
                  <w:rFonts w:asciiTheme="minorHAnsi" w:eastAsiaTheme="majorEastAsia" w:hAnsiTheme="minorHAnsi" w:cstheme="minorHAnsi"/>
                  <w:sz w:val="22"/>
                  <w:szCs w:val="22"/>
                </w:rPr>
                <w:t>NICE TA623</w:t>
              </w:r>
            </w:hyperlink>
            <w:r w:rsidR="003F6BEE" w:rsidRPr="007774D2">
              <w:rPr>
                <w:rStyle w:val="normaltextrun"/>
                <w:rFonts w:asciiTheme="minorHAnsi" w:eastAsiaTheme="majorEastAsia" w:hAnsiTheme="minorHAnsi" w:cstheme="minorHAnsi"/>
                <w:color w:val="000000"/>
                <w:sz w:val="22"/>
                <w:szCs w:val="22"/>
              </w:rPr>
              <w:t xml:space="preserve"> (i.e., for people with persistent hyperkalaemia and chronic kidney disease stage 3b to 5 or heart failure, if they have confirmed serum potassium level of </w:t>
            </w:r>
            <w:proofErr w:type="spellStart"/>
            <w:r w:rsidR="003F6BEE" w:rsidRPr="007774D2">
              <w:rPr>
                <w:rStyle w:val="normaltextrun"/>
                <w:rFonts w:asciiTheme="minorHAnsi" w:eastAsiaTheme="majorEastAsia" w:hAnsiTheme="minorHAnsi" w:cstheme="minorHAnsi"/>
                <w:color w:val="000000"/>
                <w:sz w:val="22"/>
                <w:szCs w:val="22"/>
              </w:rPr>
              <w:t>atleast</w:t>
            </w:r>
            <w:proofErr w:type="spellEnd"/>
            <w:r w:rsidR="003F6BEE" w:rsidRPr="007774D2">
              <w:rPr>
                <w:rStyle w:val="normaltextrun"/>
                <w:rFonts w:asciiTheme="minorHAnsi" w:eastAsiaTheme="majorEastAsia" w:hAnsiTheme="minorHAnsi" w:cstheme="minorHAnsi"/>
                <w:color w:val="000000"/>
                <w:sz w:val="22"/>
                <w:szCs w:val="22"/>
              </w:rPr>
              <w:t xml:space="preserve"> 6.0 mmol/litre, are not taking an optimised dosage of renin-angiotensin-aldosterone system (RAAS) inhibitor due to hyperkalaemia, and are not on dialysis).</w:t>
            </w:r>
          </w:p>
          <w:p w14:paraId="09F82FE2" w14:textId="77777777" w:rsidR="003F6BEE" w:rsidRPr="007774D2" w:rsidRDefault="003F6BEE" w:rsidP="00762D48">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17593A4B" w14:textId="65A285E6" w:rsidR="001C67DB" w:rsidRPr="007774D2" w:rsidRDefault="001C67DB" w:rsidP="00762D48">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roofErr w:type="spellStart"/>
            <w:r w:rsidRPr="007774D2">
              <w:rPr>
                <w:rStyle w:val="normaltextrun"/>
                <w:rFonts w:asciiTheme="minorHAnsi" w:eastAsiaTheme="majorEastAsia" w:hAnsiTheme="minorHAnsi" w:cstheme="minorHAnsi"/>
                <w:color w:val="000000"/>
                <w:sz w:val="22"/>
                <w:szCs w:val="22"/>
              </w:rPr>
              <w:t>Lokelma</w:t>
            </w:r>
            <w:proofErr w:type="spellEnd"/>
            <w:r w:rsidRPr="007774D2">
              <w:rPr>
                <w:rStyle w:val="normaltextrun"/>
                <w:rFonts w:asciiTheme="minorHAnsi" w:eastAsiaTheme="majorEastAsia" w:hAnsiTheme="minorHAnsi" w:cstheme="minorHAnsi"/>
                <w:color w:val="000000"/>
                <w:sz w:val="22"/>
                <w:szCs w:val="22"/>
              </w:rPr>
              <w:t xml:space="preserve"> and </w:t>
            </w:r>
            <w:proofErr w:type="spellStart"/>
            <w:r w:rsidR="003243DF">
              <w:rPr>
                <w:rStyle w:val="normaltextrun"/>
                <w:rFonts w:asciiTheme="minorHAnsi" w:eastAsiaTheme="majorEastAsia" w:hAnsiTheme="minorHAnsi" w:cstheme="minorHAnsi"/>
                <w:color w:val="000000"/>
                <w:sz w:val="22"/>
                <w:szCs w:val="22"/>
              </w:rPr>
              <w:t>Veltassa</w:t>
            </w:r>
            <w:proofErr w:type="spellEnd"/>
            <w:r w:rsidRPr="007774D2">
              <w:rPr>
                <w:rStyle w:val="normaltextrun"/>
                <w:rFonts w:asciiTheme="minorHAnsi" w:eastAsiaTheme="majorEastAsia" w:hAnsiTheme="minorHAnsi" w:cstheme="minorHAnsi"/>
                <w:color w:val="000000"/>
                <w:sz w:val="22"/>
                <w:szCs w:val="22"/>
              </w:rPr>
              <w:t xml:space="preserve"> are used for other indications on the NCL Joint Formulary, but these are restricted to hospital only.</w:t>
            </w:r>
          </w:p>
          <w:p w14:paraId="1FD0FA82" w14:textId="77777777" w:rsidR="00B22880" w:rsidRPr="007774D2" w:rsidRDefault="00B22880" w:rsidP="00762D48">
            <w:pPr>
              <w:pStyle w:val="paragraph"/>
              <w:spacing w:before="0" w:beforeAutospacing="0" w:after="0" w:afterAutospacing="0"/>
              <w:textAlignment w:val="baseline"/>
              <w:rPr>
                <w:rFonts w:asciiTheme="minorHAnsi" w:hAnsiTheme="minorHAnsi" w:cstheme="minorHAnsi"/>
                <w:sz w:val="22"/>
                <w:szCs w:val="22"/>
              </w:rPr>
            </w:pPr>
          </w:p>
          <w:p w14:paraId="58D791EC" w14:textId="22EA3686" w:rsidR="00C11E23" w:rsidRPr="009D3CF9" w:rsidRDefault="6D5608A9" w:rsidP="00CA4D20">
            <w:pPr>
              <w:pStyle w:val="paragraph"/>
              <w:spacing w:before="0" w:beforeAutospacing="0" w:after="0" w:afterAutospacing="0"/>
              <w:textAlignment w:val="baseline"/>
              <w:rPr>
                <w:rFonts w:asciiTheme="minorHAnsi" w:hAnsiTheme="minorHAnsi" w:cstheme="minorHAnsi"/>
              </w:rPr>
            </w:pPr>
            <w:r w:rsidRPr="007774D2">
              <w:rPr>
                <w:rStyle w:val="normaltextrun"/>
                <w:rFonts w:asciiTheme="minorHAnsi" w:eastAsiaTheme="majorEastAsia" w:hAnsiTheme="minorHAnsi" w:cstheme="minorBidi"/>
                <w:color w:val="000000"/>
                <w:sz w:val="22"/>
                <w:szCs w:val="22"/>
              </w:rPr>
              <w:t xml:space="preserve">Treatment should be initiated by a clinician with expertise in the treatment of </w:t>
            </w:r>
            <w:r w:rsidR="001C67DB" w:rsidRPr="007774D2">
              <w:rPr>
                <w:rStyle w:val="normaltextrun"/>
                <w:rFonts w:asciiTheme="minorHAnsi" w:eastAsiaTheme="majorEastAsia" w:hAnsiTheme="minorHAnsi" w:cstheme="minorBidi"/>
                <w:color w:val="000000"/>
                <w:sz w:val="22"/>
                <w:szCs w:val="22"/>
              </w:rPr>
              <w:t>hyperkalaemia in the above patient groups, who will consider contraindications</w:t>
            </w:r>
            <w:r w:rsidR="00AA46DE" w:rsidRPr="007774D2">
              <w:rPr>
                <w:rStyle w:val="normaltextrun"/>
                <w:rFonts w:asciiTheme="minorHAnsi" w:eastAsiaTheme="majorEastAsia" w:hAnsiTheme="minorHAnsi" w:cstheme="minorBidi"/>
                <w:color w:val="000000"/>
                <w:sz w:val="22"/>
                <w:szCs w:val="22"/>
              </w:rPr>
              <w:t xml:space="preserve"> for </w:t>
            </w:r>
            <w:hyperlink r:id="rId14" w:history="1">
              <w:proofErr w:type="spellStart"/>
              <w:r w:rsidR="00AA46DE" w:rsidRPr="007774D2">
                <w:rPr>
                  <w:rStyle w:val="Hyperlink"/>
                  <w:rFonts w:asciiTheme="minorHAnsi" w:eastAsiaTheme="majorEastAsia" w:hAnsiTheme="minorHAnsi" w:cstheme="minorBidi"/>
                  <w:sz w:val="22"/>
                  <w:szCs w:val="22"/>
                </w:rPr>
                <w:t>Lokelma</w:t>
              </w:r>
              <w:proofErr w:type="spellEnd"/>
            </w:hyperlink>
            <w:r w:rsidR="00AA46DE" w:rsidRPr="007774D2">
              <w:rPr>
                <w:rStyle w:val="normaltextrun"/>
                <w:rFonts w:asciiTheme="minorHAnsi" w:eastAsiaTheme="majorEastAsia" w:hAnsiTheme="minorHAnsi" w:cstheme="minorBidi"/>
                <w:color w:val="000000"/>
                <w:sz w:val="22"/>
                <w:szCs w:val="22"/>
              </w:rPr>
              <w:t xml:space="preserve"> and </w:t>
            </w:r>
            <w:hyperlink r:id="rId15" w:history="1">
              <w:proofErr w:type="spellStart"/>
              <w:r w:rsidR="003243DF">
                <w:rPr>
                  <w:rStyle w:val="Hyperlink"/>
                  <w:rFonts w:asciiTheme="minorHAnsi" w:eastAsiaTheme="majorEastAsia" w:hAnsiTheme="minorHAnsi" w:cstheme="minorBidi"/>
                  <w:sz w:val="22"/>
                  <w:szCs w:val="22"/>
                </w:rPr>
                <w:t>Veltassa</w:t>
              </w:r>
              <w:proofErr w:type="spellEnd"/>
            </w:hyperlink>
            <w:r w:rsidR="00AA46DE" w:rsidRPr="007774D2">
              <w:rPr>
                <w:rStyle w:val="normaltextrun"/>
                <w:rFonts w:asciiTheme="minorHAnsi" w:eastAsiaTheme="majorEastAsia" w:hAnsiTheme="minorHAnsi" w:cstheme="minorBidi"/>
                <w:color w:val="000000"/>
                <w:sz w:val="22"/>
                <w:szCs w:val="22"/>
              </w:rPr>
              <w:t xml:space="preserve">, as well as cautions for </w:t>
            </w:r>
            <w:hyperlink r:id="rId16" w:anchor="cautions" w:history="1">
              <w:proofErr w:type="spellStart"/>
              <w:r w:rsidR="00AA46DE" w:rsidRPr="007774D2">
                <w:rPr>
                  <w:rStyle w:val="Hyperlink"/>
                  <w:rFonts w:asciiTheme="minorHAnsi" w:eastAsiaTheme="majorEastAsia" w:hAnsiTheme="minorHAnsi" w:cstheme="minorBidi"/>
                  <w:sz w:val="22"/>
                  <w:szCs w:val="22"/>
                </w:rPr>
                <w:t>Lokelma</w:t>
              </w:r>
              <w:proofErr w:type="spellEnd"/>
            </w:hyperlink>
            <w:r w:rsidR="00AA46DE" w:rsidRPr="007774D2">
              <w:rPr>
                <w:rStyle w:val="normaltextrun"/>
                <w:rFonts w:asciiTheme="minorHAnsi" w:eastAsiaTheme="majorEastAsia" w:hAnsiTheme="minorHAnsi" w:cstheme="minorBidi"/>
                <w:color w:val="000000"/>
                <w:sz w:val="22"/>
                <w:szCs w:val="22"/>
              </w:rPr>
              <w:t xml:space="preserve"> and </w:t>
            </w:r>
            <w:hyperlink r:id="rId17" w:anchor="cautions" w:history="1">
              <w:proofErr w:type="spellStart"/>
              <w:r w:rsidR="003243DF">
                <w:rPr>
                  <w:rStyle w:val="Hyperlink"/>
                  <w:rFonts w:asciiTheme="minorHAnsi" w:eastAsiaTheme="majorEastAsia" w:hAnsiTheme="minorHAnsi" w:cstheme="minorBidi"/>
                  <w:sz w:val="22"/>
                  <w:szCs w:val="22"/>
                </w:rPr>
                <w:t>Veltassa</w:t>
              </w:r>
              <w:proofErr w:type="spellEnd"/>
            </w:hyperlink>
            <w:r w:rsidR="00056458" w:rsidRPr="00B562C7">
              <w:rPr>
                <w:rStyle w:val="normaltextrun"/>
                <w:rFonts w:eastAsiaTheme="majorEastAsia"/>
                <w:color w:val="000000"/>
                <w:sz w:val="22"/>
                <w:szCs w:val="22"/>
              </w:rPr>
              <w:t>.</w:t>
            </w:r>
          </w:p>
        </w:tc>
      </w:tr>
      <w:tr w:rsidR="00C11E23" w:rsidRPr="00B22880" w14:paraId="4DFA1639" w14:textId="77777777" w:rsidTr="00B562C7">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FFFFFF" w:themeFill="background1"/>
          </w:tcPr>
          <w:p w14:paraId="77E5CCB0" w14:textId="117B1A13" w:rsidR="00C11E23" w:rsidRPr="009D3CF9" w:rsidRDefault="00C11E23" w:rsidP="00E671CC">
            <w:pPr>
              <w:pStyle w:val="paragraph"/>
              <w:spacing w:before="0" w:beforeAutospacing="0" w:after="0" w:afterAutospacing="0"/>
              <w:rPr>
                <w:rStyle w:val="normaltextrun"/>
                <w:rFonts w:asciiTheme="minorHAnsi" w:hAnsiTheme="minorHAnsi" w:cstheme="minorHAnsi"/>
                <w:b/>
                <w:bCs/>
                <w:sz w:val="22"/>
                <w:szCs w:val="22"/>
                <w:lang w:val="en-AU"/>
              </w:rPr>
            </w:pPr>
            <w:r w:rsidRPr="009D3CF9">
              <w:rPr>
                <w:rStyle w:val="normaltextrun"/>
                <w:rFonts w:asciiTheme="minorHAnsi" w:hAnsiTheme="minorHAnsi" w:cstheme="minorHAnsi"/>
                <w:b/>
                <w:bCs/>
                <w:sz w:val="22"/>
                <w:szCs w:val="22"/>
                <w:lang w:val="en-AU"/>
              </w:rPr>
              <w:t>Shared Care criteria</w:t>
            </w:r>
          </w:p>
        </w:tc>
        <w:tc>
          <w:tcPr>
            <w:tcW w:w="8993" w:type="dxa"/>
            <w:gridSpan w:val="5"/>
            <w:tcBorders>
              <w:top w:val="single" w:sz="6" w:space="0" w:color="auto"/>
              <w:left w:val="single" w:sz="6" w:space="0" w:color="auto"/>
              <w:bottom w:val="single" w:sz="6" w:space="0" w:color="auto"/>
              <w:right w:val="single" w:sz="6" w:space="0" w:color="auto"/>
            </w:tcBorders>
            <w:shd w:val="clear" w:color="auto" w:fill="auto"/>
          </w:tcPr>
          <w:p w14:paraId="63ADD082" w14:textId="75C64C27" w:rsidR="00056458" w:rsidRPr="007774D2" w:rsidRDefault="00056458" w:rsidP="009D3CF9">
            <w:pPr>
              <w:pStyle w:val="NCLBodyText"/>
              <w:rPr>
                <w:rFonts w:asciiTheme="minorHAnsi" w:hAnsiTheme="minorHAnsi" w:cstheme="minorHAnsi"/>
              </w:rPr>
            </w:pPr>
            <w:r w:rsidRPr="007774D2">
              <w:rPr>
                <w:rFonts w:asciiTheme="minorHAnsi" w:hAnsiTheme="minorHAnsi" w:cstheme="minorHAnsi"/>
              </w:rPr>
              <w:t>P</w:t>
            </w:r>
            <w:r w:rsidRPr="007774D2">
              <w:t xml:space="preserve">atients who are stabilised on </w:t>
            </w:r>
            <w:proofErr w:type="spellStart"/>
            <w:r w:rsidRPr="007774D2">
              <w:t>Lokelma</w:t>
            </w:r>
            <w:proofErr w:type="spellEnd"/>
            <w:r w:rsidRPr="007774D2">
              <w:t xml:space="preserve"> and </w:t>
            </w:r>
            <w:proofErr w:type="spellStart"/>
            <w:r w:rsidR="003243DF">
              <w:t>Veltassa</w:t>
            </w:r>
            <w:proofErr w:type="spellEnd"/>
            <w:r w:rsidRPr="007774D2">
              <w:t xml:space="preserve"> in line with </w:t>
            </w:r>
            <w:hyperlink r:id="rId18" w:history="1">
              <w:r w:rsidRPr="007774D2">
                <w:rPr>
                  <w:rStyle w:val="Hyperlink"/>
                </w:rPr>
                <w:t>NICE TA599</w:t>
              </w:r>
            </w:hyperlink>
            <w:r w:rsidRPr="007774D2">
              <w:t xml:space="preserve"> and </w:t>
            </w:r>
            <w:hyperlink r:id="rId19" w:history="1">
              <w:r w:rsidRPr="007774D2">
                <w:rPr>
                  <w:rStyle w:val="Hyperlink"/>
                </w:rPr>
                <w:t>NICE TA623</w:t>
              </w:r>
            </w:hyperlink>
            <w:r w:rsidRPr="007774D2">
              <w:t>, and have been monitored appropriately at baseline and after initiation of treatment with no problems identified during this period.</w:t>
            </w:r>
          </w:p>
          <w:p w14:paraId="45EA70E7" w14:textId="66F9CDB9" w:rsidR="00C11E23" w:rsidRPr="009D3CF9" w:rsidRDefault="00C11E23" w:rsidP="009D3CF9">
            <w:pPr>
              <w:pStyle w:val="NCLBodyText"/>
              <w:rPr>
                <w:rStyle w:val="eop"/>
                <w:rFonts w:asciiTheme="minorHAnsi" w:hAnsiTheme="minorHAnsi" w:cstheme="minorHAnsi"/>
              </w:rPr>
            </w:pPr>
            <w:r w:rsidRPr="007774D2">
              <w:rPr>
                <w:rFonts w:asciiTheme="minorHAnsi" w:hAnsiTheme="minorHAnsi" w:cstheme="minorHAnsi"/>
              </w:rPr>
              <w:t xml:space="preserve">Once a patient has been stabilised on treatment </w:t>
            </w:r>
            <w:r w:rsidR="00CA4D20" w:rsidRPr="007774D2">
              <w:rPr>
                <w:rFonts w:asciiTheme="minorHAnsi" w:hAnsiTheme="minorHAnsi" w:cstheme="minorHAnsi"/>
              </w:rPr>
              <w:t xml:space="preserve">for </w:t>
            </w:r>
            <w:r w:rsidR="00B562C7">
              <w:rPr>
                <w:rFonts w:asciiTheme="minorHAnsi" w:hAnsiTheme="minorHAnsi" w:cstheme="minorHAnsi"/>
              </w:rPr>
              <w:t>three</w:t>
            </w:r>
            <w:r w:rsidRPr="007774D2">
              <w:rPr>
                <w:rFonts w:asciiTheme="minorHAnsi" w:hAnsiTheme="minorHAnsi" w:cstheme="minorHAnsi"/>
              </w:rPr>
              <w:t xml:space="preserve"> months, a shared care arrangement with </w:t>
            </w:r>
            <w:r w:rsidR="00A86BD8" w:rsidRPr="007774D2">
              <w:rPr>
                <w:rFonts w:asciiTheme="minorHAnsi" w:hAnsiTheme="minorHAnsi" w:cstheme="minorHAnsi"/>
              </w:rPr>
              <w:t>you</w:t>
            </w:r>
            <w:r w:rsidRPr="007774D2">
              <w:rPr>
                <w:rFonts w:asciiTheme="minorHAnsi" w:hAnsiTheme="minorHAnsi" w:cstheme="minorHAnsi"/>
              </w:rPr>
              <w:t xml:space="preserve"> will be requested.</w:t>
            </w:r>
            <w:r w:rsidRPr="009D3CF9">
              <w:rPr>
                <w:rFonts w:asciiTheme="minorHAnsi" w:hAnsiTheme="minorHAnsi" w:cstheme="minorHAnsi"/>
              </w:rPr>
              <w:t xml:space="preserve"> </w:t>
            </w:r>
          </w:p>
        </w:tc>
      </w:tr>
      <w:tr w:rsidR="00E02BEF" w:rsidRPr="00B22880" w14:paraId="43A17E35" w14:textId="77777777" w:rsidTr="00B562C7">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FFFFFF" w:themeFill="background1"/>
          </w:tcPr>
          <w:p w14:paraId="7FA630EC" w14:textId="77777777" w:rsidR="00E02BEF" w:rsidRPr="009D3CF9" w:rsidRDefault="00E02BEF" w:rsidP="00E671CC">
            <w:pPr>
              <w:pStyle w:val="paragraph"/>
              <w:spacing w:before="0" w:beforeAutospacing="0" w:after="0" w:afterAutospacing="0"/>
              <w:rPr>
                <w:rStyle w:val="eop"/>
                <w:rFonts w:asciiTheme="minorHAnsi" w:hAnsiTheme="minorHAnsi" w:cstheme="minorHAnsi"/>
                <w:sz w:val="22"/>
                <w:szCs w:val="22"/>
              </w:rPr>
            </w:pPr>
            <w:r w:rsidRPr="009D3CF9">
              <w:rPr>
                <w:rStyle w:val="normaltextrun"/>
                <w:rFonts w:asciiTheme="minorHAnsi" w:hAnsiTheme="minorHAnsi" w:cstheme="minorHAnsi"/>
                <w:b/>
                <w:bCs/>
                <w:sz w:val="22"/>
                <w:szCs w:val="22"/>
                <w:lang w:val="en-AU"/>
              </w:rPr>
              <w:t>Dose</w:t>
            </w:r>
          </w:p>
          <w:p w14:paraId="25AFD907" w14:textId="77777777" w:rsidR="00E02BEF" w:rsidRPr="009D3CF9" w:rsidRDefault="00E02BEF" w:rsidP="00E671CC">
            <w:pPr>
              <w:pStyle w:val="paragraph"/>
              <w:spacing w:before="0" w:beforeAutospacing="0" w:after="0" w:afterAutospacing="0"/>
              <w:textAlignment w:val="baseline"/>
              <w:rPr>
                <w:rStyle w:val="normaltextrun"/>
                <w:rFonts w:asciiTheme="minorHAnsi" w:hAnsiTheme="minorHAnsi" w:cstheme="minorHAnsi"/>
                <w:b/>
                <w:bCs/>
                <w:sz w:val="22"/>
                <w:szCs w:val="22"/>
                <w:lang w:val="en-AU"/>
              </w:rPr>
            </w:pPr>
            <w:r w:rsidRPr="009D3CF9">
              <w:rPr>
                <w:rStyle w:val="eop"/>
                <w:rFonts w:asciiTheme="minorHAnsi" w:hAnsiTheme="minorHAnsi" w:cstheme="minorHAnsi"/>
                <w:sz w:val="22"/>
                <w:szCs w:val="22"/>
              </w:rPr>
              <w:t> </w:t>
            </w:r>
          </w:p>
        </w:tc>
        <w:tc>
          <w:tcPr>
            <w:tcW w:w="8993" w:type="dxa"/>
            <w:gridSpan w:val="5"/>
            <w:tcBorders>
              <w:top w:val="single" w:sz="6" w:space="0" w:color="auto"/>
              <w:left w:val="single" w:sz="6" w:space="0" w:color="auto"/>
              <w:bottom w:val="single" w:sz="6" w:space="0" w:color="auto"/>
              <w:right w:val="single" w:sz="6" w:space="0" w:color="auto"/>
            </w:tcBorders>
            <w:shd w:val="clear" w:color="auto" w:fill="auto"/>
          </w:tcPr>
          <w:p w14:paraId="4AB9D296" w14:textId="1433CDD3" w:rsidR="00EE162F" w:rsidRDefault="00E02BEF" w:rsidP="007A21AB">
            <w:pPr>
              <w:pStyle w:val="paragraph"/>
              <w:spacing w:before="0" w:after="0"/>
              <w:rPr>
                <w:rStyle w:val="normaltextrun"/>
                <w:rFonts w:asciiTheme="minorHAnsi" w:hAnsiTheme="minorHAnsi" w:cstheme="minorHAnsi"/>
                <w:b/>
                <w:bCs/>
                <w:sz w:val="22"/>
                <w:szCs w:val="22"/>
                <w:u w:val="single"/>
                <w:lang w:val="en-AU"/>
              </w:rPr>
            </w:pPr>
            <w:r w:rsidRPr="009D3CF9">
              <w:rPr>
                <w:rStyle w:val="normaltextrun"/>
                <w:rFonts w:asciiTheme="minorHAnsi" w:hAnsiTheme="minorHAnsi" w:cstheme="minorHAnsi"/>
                <w:b/>
                <w:bCs/>
                <w:sz w:val="22"/>
                <w:szCs w:val="22"/>
                <w:u w:val="single"/>
                <w:lang w:val="en-AU"/>
              </w:rPr>
              <w:t>Initial stabilisation (by specialist team): </w:t>
            </w:r>
          </w:p>
          <w:p w14:paraId="31D72FF1" w14:textId="7B83830D" w:rsidR="00766039" w:rsidRPr="007774D2" w:rsidRDefault="00766039" w:rsidP="00766039">
            <w:pPr>
              <w:pStyle w:val="paragraph"/>
              <w:spacing w:before="0" w:after="0"/>
              <w:rPr>
                <w:rStyle w:val="normaltextrun"/>
                <w:rFonts w:asciiTheme="minorHAnsi" w:hAnsiTheme="minorHAnsi" w:cstheme="minorHAnsi"/>
                <w:sz w:val="22"/>
                <w:szCs w:val="22"/>
                <w:lang w:val="en-AU"/>
              </w:rPr>
            </w:pPr>
            <w:r w:rsidRPr="007774D2">
              <w:rPr>
                <w:rStyle w:val="normaltextrun"/>
                <w:rFonts w:asciiTheme="minorHAnsi" w:hAnsiTheme="minorHAnsi" w:cstheme="minorHAnsi"/>
                <w:sz w:val="22"/>
                <w:szCs w:val="22"/>
                <w:lang w:val="en-AU"/>
              </w:rPr>
              <w:t xml:space="preserve">The recommended starting dose of Lokelma is 10g, administered three times a day orally as a suspension in water. </w:t>
            </w:r>
          </w:p>
          <w:p w14:paraId="2949E9E5" w14:textId="4C75B8DA" w:rsidR="00EE162F" w:rsidRPr="007774D2" w:rsidRDefault="00766039" w:rsidP="00766039">
            <w:pPr>
              <w:pStyle w:val="paragraph"/>
              <w:spacing w:before="0" w:after="0"/>
              <w:rPr>
                <w:rStyle w:val="normaltextrun"/>
                <w:rFonts w:asciiTheme="minorHAnsi" w:hAnsiTheme="minorHAnsi" w:cstheme="minorHAnsi"/>
                <w:sz w:val="22"/>
                <w:szCs w:val="22"/>
                <w:lang w:val="en-AU"/>
              </w:rPr>
            </w:pPr>
            <w:r w:rsidRPr="007774D2">
              <w:rPr>
                <w:rStyle w:val="normaltextrun"/>
                <w:rFonts w:asciiTheme="minorHAnsi" w:hAnsiTheme="minorHAnsi" w:cstheme="minorHAnsi"/>
                <w:sz w:val="22"/>
                <w:szCs w:val="22"/>
                <w:lang w:val="en-AU"/>
              </w:rPr>
              <w:lastRenderedPageBreak/>
              <w:t xml:space="preserve">The recommended starting dose of </w:t>
            </w:r>
            <w:proofErr w:type="spellStart"/>
            <w:r w:rsidR="003243DF">
              <w:rPr>
                <w:rStyle w:val="normaltextrun"/>
                <w:rFonts w:asciiTheme="minorHAnsi" w:hAnsiTheme="minorHAnsi" w:cstheme="minorHAnsi"/>
                <w:sz w:val="22"/>
                <w:szCs w:val="22"/>
                <w:lang w:val="en-AU"/>
              </w:rPr>
              <w:t>Veltassa</w:t>
            </w:r>
            <w:proofErr w:type="spellEnd"/>
            <w:r w:rsidRPr="007774D2">
              <w:rPr>
                <w:rStyle w:val="normaltextrun"/>
                <w:rFonts w:asciiTheme="minorHAnsi" w:hAnsiTheme="minorHAnsi" w:cstheme="minorHAnsi"/>
                <w:sz w:val="22"/>
                <w:szCs w:val="22"/>
                <w:lang w:val="en-AU"/>
              </w:rPr>
              <w:t xml:space="preserve"> is 8.4g once daily and the maximum dose is 25.2g. The dose can be increased or decreased after a minimum interval of 1 week based on serum potassium levels. </w:t>
            </w:r>
          </w:p>
          <w:p w14:paraId="28B230F4" w14:textId="5D7EF876" w:rsidR="00766039" w:rsidRPr="007774D2" w:rsidRDefault="00766039" w:rsidP="00E671CC">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r w:rsidRPr="007774D2">
              <w:rPr>
                <w:rStyle w:val="normaltextrun"/>
                <w:rFonts w:asciiTheme="minorHAnsi" w:hAnsiTheme="minorHAnsi" w:cstheme="minorHAnsi"/>
                <w:sz w:val="22"/>
                <w:szCs w:val="22"/>
                <w:lang w:val="en-AU"/>
              </w:rPr>
              <w:t xml:space="preserve">When normokalaemia is achieved, </w:t>
            </w:r>
            <w:r w:rsidR="00CD297A" w:rsidRPr="007774D2">
              <w:rPr>
                <w:rStyle w:val="normaltextrun"/>
                <w:rFonts w:asciiTheme="minorHAnsi" w:hAnsiTheme="minorHAnsi" w:cstheme="minorHAnsi"/>
                <w:sz w:val="22"/>
                <w:szCs w:val="22"/>
                <w:lang w:val="en-AU"/>
              </w:rPr>
              <w:t>a</w:t>
            </w:r>
            <w:r w:rsidRPr="007774D2">
              <w:rPr>
                <w:rStyle w:val="normaltextrun"/>
                <w:rFonts w:asciiTheme="minorHAnsi" w:hAnsiTheme="minorHAnsi" w:cstheme="minorHAnsi"/>
                <w:sz w:val="22"/>
                <w:szCs w:val="22"/>
                <w:lang w:val="en-AU"/>
              </w:rPr>
              <w:t xml:space="preserve"> maintenance regimen should be </w:t>
            </w:r>
            <w:r w:rsidR="00EE162F" w:rsidRPr="007774D2">
              <w:rPr>
                <w:rStyle w:val="normaltextrun"/>
                <w:rFonts w:asciiTheme="minorHAnsi" w:hAnsiTheme="minorHAnsi" w:cstheme="minorHAnsi"/>
                <w:sz w:val="22"/>
                <w:szCs w:val="22"/>
                <w:lang w:val="en-AU"/>
              </w:rPr>
              <w:t>followed (see below).</w:t>
            </w:r>
          </w:p>
          <w:p w14:paraId="4513B46F" w14:textId="77777777" w:rsidR="00CD297A" w:rsidRDefault="00CD297A" w:rsidP="00E671CC">
            <w:pPr>
              <w:pStyle w:val="paragraph"/>
              <w:spacing w:before="0" w:beforeAutospacing="0" w:after="0" w:afterAutospacing="0"/>
              <w:jc w:val="both"/>
              <w:textAlignment w:val="baseline"/>
              <w:rPr>
                <w:rStyle w:val="normaltextrun"/>
                <w:rFonts w:asciiTheme="minorHAnsi" w:hAnsiTheme="minorHAnsi" w:cstheme="minorHAnsi"/>
                <w:b/>
                <w:bCs/>
                <w:sz w:val="22"/>
                <w:szCs w:val="22"/>
                <w:u w:val="single"/>
                <w:lang w:val="en-AU"/>
              </w:rPr>
            </w:pPr>
          </w:p>
          <w:p w14:paraId="5F667E73" w14:textId="6E7F677E" w:rsidR="00E02BEF" w:rsidRPr="009D3CF9" w:rsidRDefault="00E02BEF" w:rsidP="00E671CC">
            <w:pPr>
              <w:pStyle w:val="paragraph"/>
              <w:spacing w:before="0" w:beforeAutospacing="0" w:after="0" w:afterAutospacing="0"/>
              <w:jc w:val="both"/>
              <w:textAlignment w:val="baseline"/>
              <w:rPr>
                <w:rFonts w:asciiTheme="minorHAnsi" w:hAnsiTheme="minorHAnsi" w:cstheme="minorHAnsi"/>
                <w:sz w:val="22"/>
                <w:szCs w:val="22"/>
              </w:rPr>
            </w:pPr>
            <w:r w:rsidRPr="009D3CF9">
              <w:rPr>
                <w:rStyle w:val="normaltextrun"/>
                <w:rFonts w:asciiTheme="minorHAnsi" w:hAnsiTheme="minorHAnsi" w:cstheme="minorHAnsi"/>
                <w:b/>
                <w:bCs/>
                <w:sz w:val="22"/>
                <w:szCs w:val="22"/>
                <w:u w:val="single"/>
                <w:lang w:val="en-AU"/>
              </w:rPr>
              <w:t>Maintenance dose:</w:t>
            </w:r>
            <w:r w:rsidRPr="009D3CF9">
              <w:rPr>
                <w:rStyle w:val="eop"/>
                <w:rFonts w:asciiTheme="minorHAnsi" w:hAnsiTheme="minorHAnsi" w:cstheme="minorHAnsi"/>
                <w:sz w:val="22"/>
                <w:szCs w:val="22"/>
              </w:rPr>
              <w:t> </w:t>
            </w:r>
          </w:p>
          <w:p w14:paraId="7A0DDADD" w14:textId="226BCDC1" w:rsidR="00E02BEF" w:rsidRDefault="00E02BEF" w:rsidP="00E671CC">
            <w:pPr>
              <w:pStyle w:val="paragraph"/>
              <w:spacing w:before="0" w:beforeAutospacing="0" w:after="0" w:afterAutospacing="0"/>
              <w:jc w:val="both"/>
              <w:textAlignment w:val="baseline"/>
              <w:rPr>
                <w:rStyle w:val="eop"/>
                <w:rFonts w:asciiTheme="minorHAnsi" w:hAnsiTheme="minorHAnsi" w:cstheme="minorHAnsi"/>
                <w:sz w:val="22"/>
                <w:szCs w:val="22"/>
              </w:rPr>
            </w:pPr>
          </w:p>
          <w:p w14:paraId="76D5B9E7" w14:textId="7AB92BD6" w:rsidR="00E32E0B" w:rsidRPr="007774D2" w:rsidRDefault="00E32E0B" w:rsidP="00E671CC">
            <w:pPr>
              <w:pStyle w:val="paragraph"/>
              <w:spacing w:before="0" w:beforeAutospacing="0" w:after="0" w:afterAutospacing="0"/>
              <w:jc w:val="both"/>
              <w:textAlignment w:val="baseline"/>
              <w:rPr>
                <w:rStyle w:val="eop"/>
                <w:rFonts w:asciiTheme="minorHAnsi" w:hAnsiTheme="minorHAnsi" w:cstheme="minorHAnsi"/>
                <w:sz w:val="22"/>
                <w:szCs w:val="22"/>
              </w:rPr>
            </w:pPr>
            <w:r w:rsidRPr="007774D2">
              <w:rPr>
                <w:rStyle w:val="eop"/>
                <w:rFonts w:asciiTheme="minorHAnsi" w:hAnsiTheme="minorHAnsi" w:cstheme="minorHAnsi"/>
                <w:sz w:val="22"/>
                <w:szCs w:val="22"/>
              </w:rPr>
              <w:t>The table below outlines the action taken for when serum potassium levels are both in and out of range. It also highlight</w:t>
            </w:r>
            <w:r w:rsidR="008B0763" w:rsidRPr="007774D2">
              <w:rPr>
                <w:rStyle w:val="eop"/>
                <w:rFonts w:asciiTheme="minorHAnsi" w:hAnsiTheme="minorHAnsi" w:cstheme="minorHAnsi"/>
                <w:sz w:val="22"/>
                <w:szCs w:val="22"/>
              </w:rPr>
              <w:t>s there is no dose adjustments for patients with either renal or hepatic impairment.</w:t>
            </w:r>
          </w:p>
          <w:p w14:paraId="25512423" w14:textId="77777777" w:rsidR="00E32E0B" w:rsidRPr="00B562C7" w:rsidRDefault="00E32E0B" w:rsidP="00E671CC">
            <w:pPr>
              <w:pStyle w:val="paragraph"/>
              <w:spacing w:before="0" w:beforeAutospacing="0" w:after="0" w:afterAutospacing="0"/>
              <w:jc w:val="both"/>
              <w:textAlignment w:val="baseline"/>
              <w:rPr>
                <w:rStyle w:val="eop"/>
                <w:rFonts w:asciiTheme="minorHAnsi" w:hAnsiTheme="minorHAnsi" w:cstheme="minorHAnsi"/>
                <w:sz w:val="22"/>
                <w:szCs w:val="22"/>
              </w:rPr>
            </w:pPr>
          </w:p>
          <w:tbl>
            <w:tblPr>
              <w:tblStyle w:val="TableGrid"/>
              <w:tblW w:w="8701" w:type="dxa"/>
              <w:tblLook w:val="04A0" w:firstRow="1" w:lastRow="0" w:firstColumn="1" w:lastColumn="0" w:noHBand="0" w:noVBand="1"/>
            </w:tblPr>
            <w:tblGrid>
              <w:gridCol w:w="1711"/>
              <w:gridCol w:w="4047"/>
              <w:gridCol w:w="2943"/>
            </w:tblGrid>
            <w:tr w:rsidR="00E32E0B" w14:paraId="1BD07EF6" w14:textId="77777777" w:rsidTr="00B562C7">
              <w:trPr>
                <w:trHeight w:val="570"/>
              </w:trPr>
              <w:tc>
                <w:tcPr>
                  <w:tcW w:w="1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F9CA41" w14:textId="77777777" w:rsidR="00E32E0B" w:rsidRDefault="00E32E0B" w:rsidP="00E32E0B">
                  <w:pPr>
                    <w:rPr>
                      <w:rFonts w:cs="Calibri"/>
                      <w:b/>
                      <w:bCs/>
                      <w:sz w:val="22"/>
                    </w:rPr>
                  </w:pPr>
                  <w:r>
                    <w:rPr>
                      <w:rFonts w:cs="Calibri"/>
                      <w:b/>
                      <w:bCs/>
                      <w:sz w:val="22"/>
                    </w:rPr>
                    <w:t>Serum potassium</w:t>
                  </w:r>
                </w:p>
                <w:p w14:paraId="55D106CA" w14:textId="77777777" w:rsidR="00E32E0B" w:rsidRDefault="00E32E0B" w:rsidP="00E32E0B">
                  <w:pPr>
                    <w:rPr>
                      <w:rFonts w:cs="Calibri"/>
                      <w:b/>
                      <w:bCs/>
                      <w:sz w:val="22"/>
                    </w:rPr>
                  </w:pPr>
                  <w:r>
                    <w:rPr>
                      <w:rFonts w:cs="Calibri"/>
                      <w:b/>
                      <w:bCs/>
                      <w:sz w:val="22"/>
                    </w:rPr>
                    <w:t>(</w:t>
                  </w:r>
                  <w:r>
                    <w:rPr>
                      <w:rFonts w:cs="Calibri"/>
                      <w:sz w:val="22"/>
                    </w:rPr>
                    <w:t>mmol/L)</w:t>
                  </w:r>
                </w:p>
              </w:tc>
              <w:tc>
                <w:tcPr>
                  <w:tcW w:w="40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FE51CB" w14:textId="77777777" w:rsidR="00E32E0B" w:rsidRDefault="00E32E0B" w:rsidP="00E32E0B">
                  <w:pPr>
                    <w:rPr>
                      <w:rFonts w:cs="Calibri"/>
                      <w:b/>
                      <w:bCs/>
                      <w:sz w:val="22"/>
                    </w:rPr>
                  </w:pPr>
                  <w:r>
                    <w:rPr>
                      <w:rFonts w:cs="Calibri"/>
                      <w:b/>
                      <w:bCs/>
                      <w:sz w:val="22"/>
                    </w:rPr>
                    <w:t>Action</w:t>
                  </w:r>
                </w:p>
              </w:tc>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94AD7E" w14:textId="77777777" w:rsidR="00E32E0B" w:rsidRDefault="00E32E0B" w:rsidP="00E32E0B">
                  <w:pPr>
                    <w:rPr>
                      <w:rFonts w:cs="Calibri"/>
                      <w:b/>
                      <w:bCs/>
                      <w:sz w:val="22"/>
                    </w:rPr>
                  </w:pPr>
                  <w:r>
                    <w:rPr>
                      <w:rFonts w:cs="Calibri"/>
                      <w:b/>
                      <w:bCs/>
                      <w:sz w:val="22"/>
                    </w:rPr>
                    <w:t>Special considerations</w:t>
                  </w:r>
                </w:p>
              </w:tc>
            </w:tr>
            <w:tr w:rsidR="00E32E0B" w14:paraId="3B1AEEAE" w14:textId="77777777" w:rsidTr="00B562C7">
              <w:trPr>
                <w:trHeight w:val="1086"/>
              </w:trPr>
              <w:tc>
                <w:tcPr>
                  <w:tcW w:w="171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8A36215" w14:textId="77777777" w:rsidR="00E32E0B" w:rsidRDefault="00E32E0B" w:rsidP="00E32E0B">
                  <w:pPr>
                    <w:rPr>
                      <w:rFonts w:cs="Calibri"/>
                      <w:sz w:val="22"/>
                    </w:rPr>
                  </w:pPr>
                  <w:r>
                    <w:rPr>
                      <w:rFonts w:cs="Calibri"/>
                      <w:sz w:val="22"/>
                      <w:u w:val="single"/>
                    </w:rPr>
                    <w:t>&lt;</w:t>
                  </w:r>
                  <w:r>
                    <w:rPr>
                      <w:rFonts w:cs="Calibri"/>
                      <w:sz w:val="22"/>
                    </w:rPr>
                    <w:t>3.8</w:t>
                  </w:r>
                </w:p>
              </w:tc>
              <w:tc>
                <w:tcPr>
                  <w:tcW w:w="404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EF69ABE" w14:textId="77777777" w:rsidR="00E32E0B" w:rsidRDefault="00E32E0B" w:rsidP="00E32E0B">
                  <w:pPr>
                    <w:rPr>
                      <w:rFonts w:cs="Calibri"/>
                      <w:sz w:val="22"/>
                    </w:rPr>
                  </w:pPr>
                  <w:r>
                    <w:rPr>
                      <w:rFonts w:cs="Calibri"/>
                      <w:sz w:val="22"/>
                    </w:rPr>
                    <w:t xml:space="preserve">Consider reducing dose of potassium binder (sodium zirconium by 5g/day or </w:t>
                  </w:r>
                  <w:proofErr w:type="spellStart"/>
                  <w:r>
                    <w:rPr>
                      <w:rFonts w:cs="Calibri"/>
                      <w:sz w:val="22"/>
                    </w:rPr>
                    <w:t>patiromer</w:t>
                  </w:r>
                  <w:proofErr w:type="spellEnd"/>
                  <w:r>
                    <w:rPr>
                      <w:rFonts w:cs="Calibri"/>
                      <w:sz w:val="22"/>
                    </w:rPr>
                    <w:t xml:space="preserve"> by 8.4g/day, if on lowest doses consider alternate days (unlicensed) or discontinue.  Re check potassium within 2 weeks</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9B4010" w14:textId="77777777" w:rsidR="00E32E0B" w:rsidRDefault="00E32E0B" w:rsidP="00E32E0B">
                  <w:pPr>
                    <w:rPr>
                      <w:rFonts w:cs="Calibri"/>
                      <w:sz w:val="22"/>
                    </w:rPr>
                  </w:pPr>
                  <w:r>
                    <w:rPr>
                      <w:rFonts w:cs="Calibri"/>
                      <w:b/>
                      <w:sz w:val="22"/>
                    </w:rPr>
                    <w:t>Renal impairment</w:t>
                  </w:r>
                  <w:r>
                    <w:rPr>
                      <w:rFonts w:cs="Calibri"/>
                      <w:sz w:val="22"/>
                    </w:rPr>
                    <w:t xml:space="preserve">: No dose adjustment </w:t>
                  </w:r>
                  <w:proofErr w:type="gramStart"/>
                  <w:r>
                    <w:rPr>
                      <w:rFonts w:cs="Calibri"/>
                      <w:sz w:val="22"/>
                    </w:rPr>
                    <w:t>required</w:t>
                  </w:r>
                  <w:proofErr w:type="gramEnd"/>
                  <w:r>
                    <w:rPr>
                      <w:rFonts w:cs="Calibri"/>
                      <w:sz w:val="22"/>
                    </w:rPr>
                    <w:t xml:space="preserve"> </w:t>
                  </w:r>
                </w:p>
                <w:p w14:paraId="5FF5AC3B" w14:textId="77777777" w:rsidR="00E32E0B" w:rsidRDefault="00E32E0B" w:rsidP="00E32E0B">
                  <w:pPr>
                    <w:rPr>
                      <w:rFonts w:cs="Calibri"/>
                      <w:sz w:val="22"/>
                    </w:rPr>
                  </w:pPr>
                </w:p>
                <w:p w14:paraId="6EDD4E8A" w14:textId="77777777" w:rsidR="00E32E0B" w:rsidRDefault="00E32E0B" w:rsidP="00E32E0B">
                  <w:pPr>
                    <w:rPr>
                      <w:rFonts w:cs="Calibri"/>
                      <w:sz w:val="22"/>
                    </w:rPr>
                  </w:pPr>
                  <w:r>
                    <w:rPr>
                      <w:rFonts w:cs="Calibri"/>
                      <w:b/>
                      <w:sz w:val="22"/>
                    </w:rPr>
                    <w:t>Hepatic impairment:</w:t>
                  </w:r>
                  <w:r>
                    <w:rPr>
                      <w:rFonts w:cs="Calibri"/>
                      <w:sz w:val="22"/>
                    </w:rPr>
                    <w:t xml:space="preserve"> No dose adjustment required</w:t>
                  </w:r>
                </w:p>
              </w:tc>
            </w:tr>
            <w:tr w:rsidR="00E32E0B" w14:paraId="10E6F1AE" w14:textId="77777777" w:rsidTr="00B562C7">
              <w:trPr>
                <w:trHeight w:val="373"/>
              </w:trPr>
              <w:tc>
                <w:tcPr>
                  <w:tcW w:w="171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3436E71" w14:textId="77777777" w:rsidR="00E32E0B" w:rsidRDefault="00E32E0B" w:rsidP="00E32E0B">
                  <w:pPr>
                    <w:rPr>
                      <w:rFonts w:cs="Calibri"/>
                      <w:sz w:val="22"/>
                    </w:rPr>
                  </w:pPr>
                  <w:r>
                    <w:rPr>
                      <w:rFonts w:cs="Calibri"/>
                      <w:sz w:val="22"/>
                    </w:rPr>
                    <w:t xml:space="preserve">&gt;3.8 and </w:t>
                  </w:r>
                  <w:r>
                    <w:rPr>
                      <w:rFonts w:cs="Calibri"/>
                      <w:sz w:val="22"/>
                      <w:u w:val="single"/>
                    </w:rPr>
                    <w:t>&lt;</w:t>
                  </w:r>
                  <w:r>
                    <w:rPr>
                      <w:rFonts w:cs="Calibri"/>
                      <w:sz w:val="22"/>
                    </w:rPr>
                    <w:t>5.1</w:t>
                  </w:r>
                </w:p>
              </w:tc>
              <w:tc>
                <w:tcPr>
                  <w:tcW w:w="404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CF0A7BD" w14:textId="77777777" w:rsidR="00E32E0B" w:rsidRDefault="00E32E0B" w:rsidP="00E32E0B">
                  <w:pPr>
                    <w:rPr>
                      <w:rFonts w:cs="Calibri"/>
                      <w:sz w:val="22"/>
                    </w:rPr>
                  </w:pPr>
                  <w:r>
                    <w:rPr>
                      <w:rFonts w:cs="Calibri"/>
                      <w:sz w:val="22"/>
                    </w:rPr>
                    <w:t>No change required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FCA76" w14:textId="77777777" w:rsidR="00E32E0B" w:rsidRDefault="00E32E0B" w:rsidP="00E32E0B">
                  <w:pPr>
                    <w:spacing w:after="0"/>
                    <w:rPr>
                      <w:rFonts w:cs="Calibri"/>
                      <w:sz w:val="22"/>
                    </w:rPr>
                  </w:pPr>
                </w:p>
              </w:tc>
            </w:tr>
            <w:tr w:rsidR="00E32E0B" w14:paraId="66D6FCC8" w14:textId="77777777" w:rsidTr="00B562C7">
              <w:trPr>
                <w:trHeight w:val="1281"/>
              </w:trPr>
              <w:tc>
                <w:tcPr>
                  <w:tcW w:w="171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6D24767" w14:textId="77777777" w:rsidR="00E32E0B" w:rsidRDefault="00E32E0B" w:rsidP="00E32E0B">
                  <w:pPr>
                    <w:rPr>
                      <w:rFonts w:cs="Calibri"/>
                      <w:sz w:val="22"/>
                    </w:rPr>
                  </w:pPr>
                  <w:r>
                    <w:rPr>
                      <w:rFonts w:cs="Calibri"/>
                      <w:sz w:val="22"/>
                    </w:rPr>
                    <w:t>&gt;5.1 and &lt;6.5</w:t>
                  </w:r>
                </w:p>
              </w:tc>
              <w:tc>
                <w:tcPr>
                  <w:tcW w:w="404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C09EDD2" w14:textId="77777777" w:rsidR="00E32E0B" w:rsidRDefault="00E32E0B" w:rsidP="00E32E0B">
                  <w:pPr>
                    <w:rPr>
                      <w:rFonts w:cs="Calibri"/>
                      <w:sz w:val="22"/>
                    </w:rPr>
                  </w:pPr>
                  <w:r>
                    <w:rPr>
                      <w:rFonts w:cs="Calibri"/>
                      <w:sz w:val="22"/>
                    </w:rPr>
                    <w:t xml:space="preserve">Consider increasing dose of potassium binder (sodium zirconium by 5g/day to a maximum of 10g daily, </w:t>
                  </w:r>
                  <w:proofErr w:type="spellStart"/>
                  <w:r>
                    <w:rPr>
                      <w:rFonts w:cs="Calibri"/>
                      <w:sz w:val="22"/>
                    </w:rPr>
                    <w:t>patiromer</w:t>
                  </w:r>
                  <w:proofErr w:type="spellEnd"/>
                  <w:r>
                    <w:rPr>
                      <w:rFonts w:cs="Calibri"/>
                      <w:sz w:val="22"/>
                    </w:rPr>
                    <w:t xml:space="preserve"> by 8.4g/day to maximum of 25.2g daily.  If at maximum dose, review other causes of hyperkalaemia and if needed consider down titration of RAASi therapy.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55BFE" w14:textId="77777777" w:rsidR="00E32E0B" w:rsidRDefault="00E32E0B" w:rsidP="00E32E0B">
                  <w:pPr>
                    <w:spacing w:after="0"/>
                    <w:rPr>
                      <w:rFonts w:cs="Calibri"/>
                      <w:sz w:val="22"/>
                    </w:rPr>
                  </w:pPr>
                </w:p>
              </w:tc>
            </w:tr>
            <w:tr w:rsidR="00E32E0B" w14:paraId="42F99374" w14:textId="77777777" w:rsidTr="00B562C7">
              <w:trPr>
                <w:trHeight w:val="486"/>
              </w:trPr>
              <w:tc>
                <w:tcPr>
                  <w:tcW w:w="171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0AC78DE" w14:textId="77777777" w:rsidR="00E32E0B" w:rsidRDefault="00E32E0B" w:rsidP="00E32E0B">
                  <w:pPr>
                    <w:rPr>
                      <w:rFonts w:cs="Calibri"/>
                      <w:sz w:val="22"/>
                    </w:rPr>
                  </w:pPr>
                  <w:r>
                    <w:rPr>
                      <w:rFonts w:cs="Calibri"/>
                      <w:sz w:val="22"/>
                    </w:rPr>
                    <w:t>≥6.5</w:t>
                  </w:r>
                </w:p>
              </w:tc>
              <w:tc>
                <w:tcPr>
                  <w:tcW w:w="404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3A5D249" w14:textId="1872477E" w:rsidR="00E32E0B" w:rsidRDefault="00E32E0B" w:rsidP="00E32E0B">
                  <w:pPr>
                    <w:rPr>
                      <w:rFonts w:cs="Calibri"/>
                      <w:sz w:val="22"/>
                    </w:rPr>
                  </w:pPr>
                  <w:r>
                    <w:rPr>
                      <w:rFonts w:cs="Calibri"/>
                      <w:sz w:val="22"/>
                    </w:rPr>
                    <w:t>Refer to hospital for repeat assessment and emergency treatment of acute hyperkalaemia.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11B1B" w14:textId="77777777" w:rsidR="00E32E0B" w:rsidRDefault="00E32E0B" w:rsidP="00E32E0B">
                  <w:pPr>
                    <w:spacing w:after="0"/>
                    <w:rPr>
                      <w:rFonts w:cs="Calibri"/>
                      <w:sz w:val="22"/>
                    </w:rPr>
                  </w:pPr>
                </w:p>
              </w:tc>
            </w:tr>
          </w:tbl>
          <w:p w14:paraId="00924F5E" w14:textId="1CC11E23" w:rsidR="00E02BEF" w:rsidRPr="009D3CF9" w:rsidRDefault="00E02BEF" w:rsidP="00E671CC">
            <w:pPr>
              <w:pStyle w:val="paragraph"/>
              <w:spacing w:before="0" w:beforeAutospacing="0" w:after="0" w:afterAutospacing="0"/>
              <w:jc w:val="both"/>
              <w:textAlignment w:val="baseline"/>
              <w:rPr>
                <w:rFonts w:asciiTheme="minorHAnsi" w:hAnsiTheme="minorHAnsi" w:cstheme="minorHAnsi"/>
                <w:sz w:val="22"/>
                <w:szCs w:val="22"/>
              </w:rPr>
            </w:pPr>
          </w:p>
          <w:p w14:paraId="07FB7F07" w14:textId="77777777" w:rsidR="00E02BEF" w:rsidRPr="007774D2" w:rsidRDefault="00E02BEF" w:rsidP="00E671CC">
            <w:pPr>
              <w:pStyle w:val="paragraph"/>
              <w:spacing w:before="0" w:beforeAutospacing="0" w:after="0" w:afterAutospacing="0"/>
              <w:jc w:val="both"/>
              <w:textAlignment w:val="baseline"/>
              <w:rPr>
                <w:rFonts w:asciiTheme="minorHAnsi" w:hAnsiTheme="minorHAnsi" w:cstheme="minorHAnsi"/>
                <w:sz w:val="22"/>
                <w:szCs w:val="22"/>
              </w:rPr>
            </w:pPr>
            <w:r w:rsidRPr="007774D2">
              <w:rPr>
                <w:rStyle w:val="normaltextrun"/>
                <w:rFonts w:asciiTheme="minorHAnsi" w:hAnsiTheme="minorHAnsi" w:cstheme="minorHAnsi"/>
                <w:b/>
                <w:bCs/>
                <w:sz w:val="22"/>
                <w:szCs w:val="22"/>
                <w:u w:val="single"/>
                <w:lang w:val="en-AU"/>
              </w:rPr>
              <w:t xml:space="preserve">Conditions requiring dose </w:t>
            </w:r>
            <w:proofErr w:type="gramStart"/>
            <w:r w:rsidRPr="007774D2">
              <w:rPr>
                <w:rStyle w:val="normaltextrun"/>
                <w:rFonts w:asciiTheme="minorHAnsi" w:hAnsiTheme="minorHAnsi" w:cstheme="minorHAnsi"/>
                <w:b/>
                <w:bCs/>
                <w:sz w:val="22"/>
                <w:szCs w:val="22"/>
                <w:u w:val="single"/>
                <w:lang w:val="en-AU"/>
              </w:rPr>
              <w:t>adjustment</w:t>
            </w:r>
            <w:proofErr w:type="gramEnd"/>
            <w:r w:rsidRPr="007774D2">
              <w:rPr>
                <w:rStyle w:val="eop"/>
                <w:rFonts w:asciiTheme="minorHAnsi" w:hAnsiTheme="minorHAnsi" w:cstheme="minorHAnsi"/>
                <w:sz w:val="22"/>
                <w:szCs w:val="22"/>
              </w:rPr>
              <w:t> </w:t>
            </w:r>
          </w:p>
          <w:p w14:paraId="5644D3A9" w14:textId="76390CD3" w:rsidR="00E02BEF" w:rsidRPr="007774D2" w:rsidRDefault="731EA39F" w:rsidP="54E3825D">
            <w:pPr>
              <w:pStyle w:val="paragraph"/>
              <w:spacing w:before="0" w:beforeAutospacing="0" w:after="0" w:afterAutospacing="0"/>
              <w:jc w:val="both"/>
              <w:textAlignment w:val="baseline"/>
              <w:rPr>
                <w:rFonts w:asciiTheme="minorHAnsi" w:hAnsiTheme="minorHAnsi" w:cstheme="minorBidi"/>
                <w:sz w:val="22"/>
                <w:szCs w:val="22"/>
              </w:rPr>
            </w:pPr>
            <w:r w:rsidRPr="007774D2">
              <w:rPr>
                <w:rFonts w:asciiTheme="minorHAnsi" w:hAnsiTheme="minorHAnsi" w:cstheme="minorHAnsi"/>
                <w:sz w:val="22"/>
                <w:szCs w:val="22"/>
              </w:rPr>
              <w:t>Further information about prescribing in elderly, children</w:t>
            </w:r>
            <w:r w:rsidR="00B562C7">
              <w:rPr>
                <w:rFonts w:asciiTheme="minorHAnsi" w:hAnsiTheme="minorHAnsi" w:cstheme="minorHAnsi"/>
                <w:sz w:val="22"/>
                <w:szCs w:val="22"/>
              </w:rPr>
              <w:t xml:space="preserve"> and</w:t>
            </w:r>
            <w:r w:rsidRPr="007774D2">
              <w:rPr>
                <w:rFonts w:asciiTheme="minorHAnsi" w:hAnsiTheme="minorHAnsi" w:cstheme="minorHAnsi"/>
                <w:sz w:val="22"/>
                <w:szCs w:val="22"/>
              </w:rPr>
              <w:t xml:space="preserve"> pregnant women</w:t>
            </w:r>
            <w:r w:rsidR="00B562C7">
              <w:rPr>
                <w:rFonts w:asciiTheme="minorHAnsi" w:hAnsiTheme="minorHAnsi" w:cstheme="minorHAnsi"/>
                <w:sz w:val="22"/>
                <w:szCs w:val="22"/>
              </w:rPr>
              <w:t xml:space="preserve"> </w:t>
            </w:r>
            <w:r w:rsidRPr="007774D2">
              <w:rPr>
                <w:rFonts w:asciiTheme="minorHAnsi" w:hAnsiTheme="minorHAnsi" w:cstheme="minorHAnsi"/>
                <w:sz w:val="22"/>
                <w:szCs w:val="22"/>
              </w:rPr>
              <w:t>can be found</w:t>
            </w:r>
            <w:r w:rsidR="00E74C52" w:rsidRPr="007774D2">
              <w:rPr>
                <w:rFonts w:asciiTheme="minorHAnsi" w:hAnsiTheme="minorHAnsi" w:cstheme="minorHAnsi"/>
                <w:sz w:val="22"/>
                <w:szCs w:val="22"/>
              </w:rPr>
              <w:t xml:space="preserve"> for both </w:t>
            </w:r>
            <w:hyperlink r:id="rId20" w:history="1">
              <w:proofErr w:type="spellStart"/>
              <w:r w:rsidR="00E74C52" w:rsidRPr="007774D2">
                <w:rPr>
                  <w:rStyle w:val="Hyperlink"/>
                  <w:rFonts w:asciiTheme="minorHAnsi" w:hAnsiTheme="minorHAnsi" w:cstheme="minorHAnsi"/>
                  <w:sz w:val="22"/>
                  <w:szCs w:val="22"/>
                </w:rPr>
                <w:t>Lokelma</w:t>
              </w:r>
              <w:proofErr w:type="spellEnd"/>
            </w:hyperlink>
            <w:r w:rsidR="00E74C52" w:rsidRPr="007774D2">
              <w:rPr>
                <w:rFonts w:asciiTheme="minorHAnsi" w:hAnsiTheme="minorHAnsi" w:cstheme="minorHAnsi"/>
                <w:sz w:val="22"/>
                <w:szCs w:val="22"/>
              </w:rPr>
              <w:t xml:space="preserve"> and </w:t>
            </w:r>
            <w:hyperlink r:id="rId21" w:history="1">
              <w:proofErr w:type="spellStart"/>
              <w:r w:rsidR="003243DF">
                <w:rPr>
                  <w:rStyle w:val="Hyperlink"/>
                  <w:rFonts w:asciiTheme="minorHAnsi" w:hAnsiTheme="minorHAnsi" w:cstheme="minorHAnsi"/>
                  <w:sz w:val="22"/>
                  <w:szCs w:val="22"/>
                </w:rPr>
                <w:t>Veltassa</w:t>
              </w:r>
              <w:proofErr w:type="spellEnd"/>
            </w:hyperlink>
            <w:r w:rsidR="00464398" w:rsidRPr="007774D2">
              <w:rPr>
                <w:rFonts w:asciiTheme="minorHAnsi" w:hAnsiTheme="minorHAnsi" w:cstheme="minorHAnsi"/>
                <w:sz w:val="22"/>
                <w:szCs w:val="22"/>
              </w:rPr>
              <w:t xml:space="preserve"> by clicking on the links respectively</w:t>
            </w:r>
            <w:r w:rsidR="00E74C52" w:rsidRPr="007774D2">
              <w:rPr>
                <w:rFonts w:asciiTheme="minorHAnsi" w:hAnsiTheme="minorHAnsi" w:cstheme="minorBidi"/>
                <w:sz w:val="22"/>
                <w:szCs w:val="22"/>
              </w:rPr>
              <w:t>.</w:t>
            </w:r>
          </w:p>
          <w:p w14:paraId="2978CE81" w14:textId="77777777" w:rsidR="00E02BEF" w:rsidRPr="007774D2" w:rsidRDefault="00E02BEF" w:rsidP="00E671CC">
            <w:pPr>
              <w:pStyle w:val="paragraph"/>
              <w:spacing w:before="0" w:beforeAutospacing="0" w:after="0" w:afterAutospacing="0"/>
              <w:jc w:val="both"/>
              <w:textAlignment w:val="baseline"/>
              <w:rPr>
                <w:rFonts w:asciiTheme="minorHAnsi" w:hAnsiTheme="minorHAnsi" w:cstheme="minorHAnsi"/>
                <w:sz w:val="22"/>
                <w:szCs w:val="22"/>
              </w:rPr>
            </w:pPr>
          </w:p>
          <w:p w14:paraId="1A96ED67" w14:textId="77777777" w:rsidR="00E02BEF" w:rsidRPr="007774D2" w:rsidRDefault="00E02BEF" w:rsidP="00E671CC">
            <w:pPr>
              <w:pStyle w:val="Default"/>
              <w:rPr>
                <w:rFonts w:asciiTheme="minorHAnsi" w:hAnsiTheme="minorHAnsi" w:cstheme="minorHAnsi"/>
                <w:sz w:val="22"/>
                <w:szCs w:val="22"/>
              </w:rPr>
            </w:pPr>
            <w:r w:rsidRPr="007774D2">
              <w:rPr>
                <w:rFonts w:asciiTheme="minorHAnsi" w:hAnsiTheme="minorHAnsi" w:cstheme="minorHAnsi"/>
                <w:b/>
                <w:sz w:val="22"/>
                <w:szCs w:val="22"/>
                <w:u w:val="single"/>
              </w:rPr>
              <w:t xml:space="preserve">Missed </w:t>
            </w:r>
            <w:proofErr w:type="gramStart"/>
            <w:r w:rsidRPr="007774D2">
              <w:rPr>
                <w:rFonts w:asciiTheme="minorHAnsi" w:hAnsiTheme="minorHAnsi" w:cstheme="minorHAnsi"/>
                <w:b/>
                <w:sz w:val="22"/>
                <w:szCs w:val="22"/>
                <w:u w:val="single"/>
              </w:rPr>
              <w:t>doses</w:t>
            </w:r>
            <w:proofErr w:type="gramEnd"/>
          </w:p>
          <w:p w14:paraId="07C025D2" w14:textId="37ADE0F5" w:rsidR="00E74C52" w:rsidRPr="007774D2" w:rsidRDefault="00E74C52" w:rsidP="00E671CC">
            <w:pPr>
              <w:pStyle w:val="Default"/>
              <w:rPr>
                <w:rFonts w:asciiTheme="minorHAnsi" w:hAnsiTheme="minorHAnsi" w:cstheme="minorHAnsi"/>
                <w:i/>
                <w:color w:val="0070C0"/>
                <w:sz w:val="22"/>
                <w:szCs w:val="22"/>
              </w:rPr>
            </w:pPr>
            <w:r w:rsidRPr="007774D2">
              <w:rPr>
                <w:rFonts w:asciiTheme="minorHAnsi" w:hAnsiTheme="minorHAnsi" w:cstheme="minorHAnsi"/>
                <w:iCs/>
                <w:color w:val="auto"/>
                <w:sz w:val="22"/>
                <w:szCs w:val="22"/>
              </w:rPr>
              <w:t>If a patient misses a dose</w:t>
            </w:r>
            <w:r w:rsidR="00022EAC" w:rsidRPr="007774D2">
              <w:rPr>
                <w:rFonts w:asciiTheme="minorHAnsi" w:hAnsiTheme="minorHAnsi" w:cstheme="minorHAnsi"/>
                <w:iCs/>
                <w:color w:val="auto"/>
                <w:sz w:val="22"/>
                <w:szCs w:val="22"/>
              </w:rPr>
              <w:t>,</w:t>
            </w:r>
            <w:r w:rsidRPr="007774D2">
              <w:rPr>
                <w:rFonts w:asciiTheme="minorHAnsi" w:hAnsiTheme="minorHAnsi" w:cstheme="minorHAnsi"/>
                <w:iCs/>
                <w:color w:val="auto"/>
                <w:sz w:val="22"/>
                <w:szCs w:val="22"/>
              </w:rPr>
              <w:t xml:space="preserve"> they should be instructed to take the next dose at their normal time. The missed dose should not be taken with the next dose</w:t>
            </w:r>
            <w:r w:rsidRPr="007774D2">
              <w:rPr>
                <w:rFonts w:asciiTheme="minorHAnsi" w:hAnsiTheme="minorHAnsi" w:cstheme="minorHAnsi"/>
                <w:i/>
                <w:color w:val="0070C0"/>
                <w:sz w:val="22"/>
                <w:szCs w:val="22"/>
              </w:rPr>
              <w:t>.</w:t>
            </w:r>
          </w:p>
          <w:p w14:paraId="717D1F44" w14:textId="77777777" w:rsidR="00E74C52" w:rsidRDefault="00E74C52" w:rsidP="00E671CC">
            <w:pPr>
              <w:pStyle w:val="Default"/>
              <w:rPr>
                <w:rFonts w:asciiTheme="minorHAnsi" w:hAnsiTheme="minorHAnsi" w:cstheme="minorHAnsi"/>
                <w:i/>
                <w:color w:val="0070C0"/>
                <w:sz w:val="22"/>
                <w:szCs w:val="22"/>
              </w:rPr>
            </w:pPr>
          </w:p>
          <w:p w14:paraId="2B1E4749" w14:textId="082FD2D0" w:rsidR="00E02BEF" w:rsidRPr="009D3CF9" w:rsidRDefault="00E02BEF" w:rsidP="00E671CC">
            <w:pPr>
              <w:pStyle w:val="Default"/>
              <w:rPr>
                <w:rStyle w:val="normaltextrun"/>
                <w:rFonts w:asciiTheme="minorHAnsi" w:hAnsiTheme="minorHAnsi" w:cstheme="minorHAnsi"/>
                <w:b/>
                <w:bCs/>
                <w:sz w:val="22"/>
                <w:szCs w:val="22"/>
                <w:u w:val="single"/>
                <w:lang w:val="en-AU"/>
              </w:rPr>
            </w:pPr>
          </w:p>
        </w:tc>
      </w:tr>
      <w:tr w:rsidR="00B22880" w:rsidRPr="00B22880" w14:paraId="45E6AF9E" w14:textId="77777777" w:rsidTr="00B562C7">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FFFFFF" w:themeFill="background1"/>
          </w:tcPr>
          <w:p w14:paraId="2573840F" w14:textId="77777777" w:rsidR="00E02BEF" w:rsidRPr="009D3CF9" w:rsidRDefault="00E02BEF" w:rsidP="00E671CC">
            <w:pPr>
              <w:pStyle w:val="paragraph"/>
              <w:spacing w:before="0" w:beforeAutospacing="0" w:after="0" w:afterAutospacing="0"/>
              <w:rPr>
                <w:rStyle w:val="normaltextrun"/>
                <w:rFonts w:asciiTheme="minorHAnsi" w:hAnsiTheme="minorHAnsi" w:cstheme="minorHAnsi"/>
                <w:b/>
                <w:bCs/>
                <w:sz w:val="22"/>
                <w:szCs w:val="22"/>
                <w:lang w:val="en-AU"/>
              </w:rPr>
            </w:pPr>
            <w:r w:rsidRPr="009D3CF9">
              <w:rPr>
                <w:rStyle w:val="normaltextrun"/>
                <w:rFonts w:asciiTheme="minorHAnsi" w:hAnsiTheme="minorHAnsi" w:cstheme="minorHAnsi"/>
                <w:b/>
                <w:bCs/>
                <w:sz w:val="22"/>
                <w:szCs w:val="22"/>
                <w:lang w:val="en-AU"/>
              </w:rPr>
              <w:lastRenderedPageBreak/>
              <w:t xml:space="preserve">Duration of treatment </w:t>
            </w:r>
          </w:p>
        </w:tc>
        <w:tc>
          <w:tcPr>
            <w:tcW w:w="8993" w:type="dxa"/>
            <w:gridSpan w:val="5"/>
            <w:tcBorders>
              <w:top w:val="single" w:sz="6" w:space="0" w:color="auto"/>
              <w:left w:val="single" w:sz="6" w:space="0" w:color="auto"/>
              <w:bottom w:val="single" w:sz="6" w:space="0" w:color="auto"/>
              <w:right w:val="single" w:sz="6" w:space="0" w:color="auto"/>
            </w:tcBorders>
            <w:shd w:val="clear" w:color="auto" w:fill="auto"/>
          </w:tcPr>
          <w:p w14:paraId="5B9DEDE4" w14:textId="6E8E75A7" w:rsidR="00E02BEF" w:rsidRPr="00B562C7" w:rsidRDefault="003B122E" w:rsidP="00E671CC">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r w:rsidRPr="003B122E">
              <w:rPr>
                <w:rStyle w:val="normaltextrun"/>
                <w:rFonts w:asciiTheme="minorHAnsi" w:hAnsiTheme="minorHAnsi" w:cstheme="minorHAnsi"/>
                <w:sz w:val="22"/>
                <w:szCs w:val="22"/>
                <w:lang w:val="en-AU"/>
              </w:rPr>
              <w:t>T</w:t>
            </w:r>
            <w:r w:rsidRPr="00B562C7">
              <w:rPr>
                <w:rStyle w:val="normaltextrun"/>
                <w:rFonts w:asciiTheme="minorHAnsi" w:hAnsiTheme="minorHAnsi" w:cstheme="minorHAnsi"/>
                <w:sz w:val="22"/>
                <w:szCs w:val="22"/>
                <w:lang w:val="en-AU"/>
              </w:rPr>
              <w:t>o continue taking until informed otherwise by specialist.</w:t>
            </w:r>
          </w:p>
        </w:tc>
      </w:tr>
      <w:tr w:rsidR="00B22880" w:rsidRPr="00B22880" w14:paraId="4D73FB76" w14:textId="77777777" w:rsidTr="00B562C7">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FFFFFF" w:themeFill="background1"/>
          </w:tcPr>
          <w:p w14:paraId="53B34DC9" w14:textId="77777777" w:rsidR="00E02BEF" w:rsidRPr="009D3CF9" w:rsidRDefault="00E02BEF" w:rsidP="00E671CC">
            <w:pPr>
              <w:pStyle w:val="paragraph"/>
              <w:spacing w:before="0" w:beforeAutospacing="0" w:after="0" w:afterAutospacing="0"/>
              <w:rPr>
                <w:rStyle w:val="normaltextrun"/>
                <w:rFonts w:asciiTheme="minorHAnsi" w:hAnsiTheme="minorHAnsi" w:cstheme="minorHAnsi"/>
                <w:b/>
                <w:bCs/>
                <w:sz w:val="22"/>
                <w:szCs w:val="22"/>
                <w:lang w:val="en-AU"/>
              </w:rPr>
            </w:pPr>
            <w:r w:rsidRPr="009D3CF9">
              <w:rPr>
                <w:rStyle w:val="normaltextrun"/>
                <w:rFonts w:asciiTheme="minorHAnsi" w:hAnsiTheme="minorHAnsi" w:cstheme="minorHAnsi"/>
                <w:b/>
                <w:bCs/>
                <w:sz w:val="22"/>
                <w:szCs w:val="22"/>
                <w:lang w:val="en-AU"/>
              </w:rPr>
              <w:t>Stopping criteria and treatment discontinuation</w:t>
            </w:r>
          </w:p>
        </w:tc>
        <w:tc>
          <w:tcPr>
            <w:tcW w:w="8993" w:type="dxa"/>
            <w:gridSpan w:val="5"/>
            <w:tcBorders>
              <w:top w:val="single" w:sz="6" w:space="0" w:color="auto"/>
              <w:left w:val="single" w:sz="6" w:space="0" w:color="auto"/>
              <w:bottom w:val="single" w:sz="6" w:space="0" w:color="auto"/>
              <w:right w:val="single" w:sz="6" w:space="0" w:color="auto"/>
            </w:tcBorders>
            <w:shd w:val="clear" w:color="auto" w:fill="auto"/>
          </w:tcPr>
          <w:p w14:paraId="4ADB1B54" w14:textId="7EF34FED" w:rsidR="008E6153" w:rsidRPr="00B562C7" w:rsidRDefault="004F568E" w:rsidP="00E671CC">
            <w:pPr>
              <w:pStyle w:val="paragraph"/>
              <w:spacing w:before="0" w:beforeAutospacing="0" w:after="0" w:afterAutospacing="0"/>
              <w:jc w:val="both"/>
              <w:textAlignment w:val="baseline"/>
              <w:rPr>
                <w:rFonts w:asciiTheme="minorHAnsi" w:hAnsiTheme="minorHAnsi" w:cstheme="minorHAnsi"/>
                <w:sz w:val="22"/>
                <w:szCs w:val="22"/>
              </w:rPr>
            </w:pPr>
            <w:r w:rsidRPr="00B562C7">
              <w:rPr>
                <w:rFonts w:asciiTheme="minorHAnsi" w:hAnsiTheme="minorHAnsi" w:cstheme="minorHAnsi"/>
                <w:sz w:val="22"/>
                <w:szCs w:val="22"/>
              </w:rPr>
              <w:t>Treatment should be discontinued</w:t>
            </w:r>
            <w:r w:rsidR="00F60680">
              <w:rPr>
                <w:rFonts w:asciiTheme="minorHAnsi" w:hAnsiTheme="minorHAnsi" w:cstheme="minorHAnsi"/>
                <w:sz w:val="22"/>
                <w:szCs w:val="22"/>
              </w:rPr>
              <w:t xml:space="preserve"> </w:t>
            </w:r>
            <w:r w:rsidR="00F60680">
              <w:rPr>
                <w:rFonts w:asciiTheme="minorHAnsi" w:hAnsiTheme="minorHAnsi"/>
                <w:sz w:val="22"/>
                <w:szCs w:val="22"/>
              </w:rPr>
              <w:t>immediately</w:t>
            </w:r>
            <w:r w:rsidRPr="00B562C7">
              <w:rPr>
                <w:rFonts w:asciiTheme="minorHAnsi" w:hAnsiTheme="minorHAnsi" w:cstheme="minorHAnsi"/>
                <w:sz w:val="22"/>
                <w:szCs w:val="22"/>
              </w:rPr>
              <w:t xml:space="preserve"> due to hypokalaemia (potassium equal to or less than 3.5mmol/L) or hypersensitivity</w:t>
            </w:r>
            <w:r w:rsidR="00E32E0B">
              <w:rPr>
                <w:rFonts w:asciiTheme="minorHAnsi" w:hAnsiTheme="minorHAnsi" w:cstheme="minorHAnsi"/>
                <w:sz w:val="22"/>
                <w:szCs w:val="22"/>
              </w:rPr>
              <w:t xml:space="preserve"> </w:t>
            </w:r>
            <w:r w:rsidR="00E32E0B">
              <w:rPr>
                <w:rFonts w:asciiTheme="minorHAnsi" w:hAnsiTheme="minorHAnsi"/>
                <w:sz w:val="22"/>
                <w:szCs w:val="22"/>
              </w:rPr>
              <w:t xml:space="preserve">to any of the ingredients found in either </w:t>
            </w:r>
            <w:proofErr w:type="spellStart"/>
            <w:r w:rsidR="00E32E0B">
              <w:rPr>
                <w:rFonts w:asciiTheme="minorHAnsi" w:hAnsiTheme="minorHAnsi"/>
                <w:sz w:val="22"/>
                <w:szCs w:val="22"/>
              </w:rPr>
              <w:t>Lokelma</w:t>
            </w:r>
            <w:proofErr w:type="spellEnd"/>
            <w:r w:rsidR="00E32E0B">
              <w:rPr>
                <w:rFonts w:asciiTheme="minorHAnsi" w:hAnsiTheme="minorHAnsi"/>
                <w:sz w:val="22"/>
                <w:szCs w:val="22"/>
              </w:rPr>
              <w:t xml:space="preserve"> or </w:t>
            </w:r>
            <w:proofErr w:type="spellStart"/>
            <w:r w:rsidR="003243DF">
              <w:rPr>
                <w:rFonts w:asciiTheme="minorHAnsi" w:hAnsiTheme="minorHAnsi"/>
                <w:sz w:val="22"/>
                <w:szCs w:val="22"/>
              </w:rPr>
              <w:t>Veltassa</w:t>
            </w:r>
            <w:proofErr w:type="spellEnd"/>
            <w:r w:rsidRPr="00B562C7">
              <w:rPr>
                <w:rFonts w:asciiTheme="minorHAnsi" w:hAnsiTheme="minorHAnsi" w:cstheme="minorHAnsi"/>
                <w:sz w:val="22"/>
                <w:szCs w:val="22"/>
              </w:rPr>
              <w:t>.</w:t>
            </w:r>
          </w:p>
          <w:p w14:paraId="20BC0917" w14:textId="655FC1C4" w:rsidR="008E6153" w:rsidRPr="007A21AB" w:rsidRDefault="008E6153" w:rsidP="00E671CC">
            <w:pPr>
              <w:pStyle w:val="paragraph"/>
              <w:spacing w:before="0" w:beforeAutospacing="0" w:after="0" w:afterAutospacing="0"/>
              <w:jc w:val="both"/>
              <w:textAlignment w:val="baseline"/>
              <w:rPr>
                <w:rStyle w:val="normaltextrun"/>
                <w:rFonts w:asciiTheme="minorHAnsi" w:hAnsiTheme="minorHAnsi" w:cstheme="minorHAnsi"/>
                <w:i/>
                <w:iCs/>
                <w:color w:val="0070C0"/>
                <w:sz w:val="22"/>
                <w:szCs w:val="22"/>
                <w:lang w:val="en-AU"/>
              </w:rPr>
            </w:pPr>
          </w:p>
        </w:tc>
      </w:tr>
      <w:tr w:rsidR="00B22880" w:rsidRPr="00B22880" w14:paraId="3A9E8A0A" w14:textId="77777777" w:rsidTr="00B562C7">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5D18B8" w14:textId="77777777" w:rsidR="00E02BEF" w:rsidRPr="009D3CF9" w:rsidRDefault="00E02BEF" w:rsidP="00E671CC">
            <w:pPr>
              <w:pStyle w:val="paragraph"/>
              <w:spacing w:before="0" w:beforeAutospacing="0" w:after="0" w:afterAutospacing="0"/>
              <w:textAlignment w:val="baseline"/>
              <w:rPr>
                <w:rFonts w:asciiTheme="minorHAnsi" w:hAnsiTheme="minorHAnsi" w:cstheme="minorHAnsi"/>
                <w:sz w:val="22"/>
                <w:szCs w:val="22"/>
              </w:rPr>
            </w:pPr>
            <w:r w:rsidRPr="009D3CF9">
              <w:rPr>
                <w:rStyle w:val="normaltextrun"/>
                <w:rFonts w:asciiTheme="minorHAnsi" w:hAnsiTheme="minorHAnsi" w:cstheme="minorHAnsi"/>
                <w:b/>
                <w:bCs/>
                <w:sz w:val="22"/>
                <w:szCs w:val="22"/>
                <w:lang w:val="en-AU"/>
              </w:rPr>
              <w:lastRenderedPageBreak/>
              <w:t>Baseline monitoring (by specialist)</w:t>
            </w:r>
          </w:p>
        </w:tc>
        <w:tc>
          <w:tcPr>
            <w:tcW w:w="8993" w:type="dxa"/>
            <w:gridSpan w:val="5"/>
            <w:tcBorders>
              <w:top w:val="single" w:sz="6" w:space="0" w:color="auto"/>
              <w:left w:val="single" w:sz="6" w:space="0" w:color="auto"/>
              <w:bottom w:val="single" w:sz="6" w:space="0" w:color="auto"/>
              <w:right w:val="single" w:sz="6" w:space="0" w:color="auto"/>
            </w:tcBorders>
            <w:shd w:val="clear" w:color="auto" w:fill="auto"/>
            <w:hideMark/>
          </w:tcPr>
          <w:p w14:paraId="7589F3C0" w14:textId="77777777" w:rsidR="00E02BEF" w:rsidRPr="009D3CF9" w:rsidRDefault="00E02BEF" w:rsidP="00E671CC">
            <w:pPr>
              <w:pStyle w:val="paragraph"/>
              <w:spacing w:before="0" w:beforeAutospacing="0" w:after="0" w:afterAutospacing="0"/>
              <w:jc w:val="both"/>
              <w:textAlignment w:val="baseline"/>
              <w:rPr>
                <w:rFonts w:asciiTheme="minorHAnsi" w:hAnsiTheme="minorHAnsi" w:cstheme="minorHAnsi"/>
                <w:sz w:val="22"/>
                <w:szCs w:val="22"/>
              </w:rPr>
            </w:pPr>
            <w:r w:rsidRPr="009D3CF9">
              <w:rPr>
                <w:rStyle w:val="normaltextrun"/>
                <w:rFonts w:asciiTheme="minorHAnsi" w:hAnsiTheme="minorHAnsi" w:cstheme="minorHAnsi"/>
                <w:b/>
                <w:bCs/>
                <w:sz w:val="22"/>
                <w:szCs w:val="22"/>
                <w:u w:val="single"/>
                <w:lang w:val="en-AU"/>
              </w:rPr>
              <w:t>Baseline monitoring:</w:t>
            </w:r>
            <w:r w:rsidRPr="009D3CF9">
              <w:rPr>
                <w:rStyle w:val="eop"/>
                <w:rFonts w:asciiTheme="minorHAnsi" w:hAnsiTheme="minorHAnsi" w:cstheme="minorHAnsi"/>
                <w:sz w:val="22"/>
                <w:szCs w:val="22"/>
              </w:rPr>
              <w:t> </w:t>
            </w:r>
          </w:p>
          <w:p w14:paraId="338DBB48" w14:textId="77777777" w:rsidR="00AC4BFF" w:rsidRDefault="00AC4BFF" w:rsidP="00AC4BFF">
            <w:pPr>
              <w:pStyle w:val="paragraph"/>
              <w:spacing w:before="0" w:beforeAutospacing="0" w:after="0" w:afterAutospacing="0"/>
              <w:jc w:val="both"/>
              <w:textAlignment w:val="baseline"/>
              <w:rPr>
                <w:rStyle w:val="eop"/>
                <w:rFonts w:asciiTheme="minorHAnsi" w:hAnsiTheme="minorHAnsi" w:cstheme="minorHAnsi"/>
                <w:sz w:val="22"/>
                <w:szCs w:val="22"/>
              </w:rPr>
            </w:pPr>
          </w:p>
          <w:p w14:paraId="485913B2" w14:textId="249BF258" w:rsidR="00E02BEF" w:rsidRPr="00B562C7" w:rsidRDefault="00AC4BFF" w:rsidP="00B562C7">
            <w:pPr>
              <w:pStyle w:val="paragraph"/>
              <w:numPr>
                <w:ilvl w:val="0"/>
                <w:numId w:val="21"/>
              </w:numPr>
              <w:spacing w:before="0" w:beforeAutospacing="0" w:after="0" w:afterAutospacing="0"/>
              <w:jc w:val="both"/>
              <w:textAlignment w:val="baseline"/>
              <w:rPr>
                <w:rStyle w:val="eop"/>
                <w:rFonts w:asciiTheme="minorHAnsi" w:hAnsiTheme="minorHAnsi" w:cstheme="minorHAnsi"/>
                <w:sz w:val="22"/>
                <w:szCs w:val="22"/>
              </w:rPr>
            </w:pPr>
            <w:r w:rsidRPr="00AC4BFF">
              <w:rPr>
                <w:rStyle w:val="eop"/>
                <w:rFonts w:asciiTheme="minorHAnsi" w:hAnsiTheme="minorHAnsi" w:cstheme="minorHAnsi"/>
                <w:sz w:val="22"/>
                <w:szCs w:val="22"/>
              </w:rPr>
              <w:t>B</w:t>
            </w:r>
            <w:r w:rsidRPr="00B562C7">
              <w:rPr>
                <w:rStyle w:val="eop"/>
                <w:rFonts w:asciiTheme="minorHAnsi" w:hAnsiTheme="minorHAnsi" w:cstheme="minorHAnsi"/>
                <w:sz w:val="22"/>
                <w:szCs w:val="22"/>
              </w:rPr>
              <w:t>efore initiating treatment, a baseline potassium should be measured.</w:t>
            </w:r>
          </w:p>
          <w:p w14:paraId="08EC95E3" w14:textId="6C481257" w:rsidR="00AC4BFF" w:rsidRPr="00AC4BFF" w:rsidRDefault="00AC4BFF" w:rsidP="00B562C7">
            <w:pPr>
              <w:pStyle w:val="paragraph"/>
              <w:numPr>
                <w:ilvl w:val="0"/>
                <w:numId w:val="21"/>
              </w:numPr>
              <w:spacing w:before="0" w:beforeAutospacing="0" w:after="0" w:afterAutospacing="0"/>
              <w:jc w:val="both"/>
              <w:textAlignment w:val="baseline"/>
              <w:rPr>
                <w:rFonts w:asciiTheme="minorHAnsi" w:hAnsiTheme="minorHAnsi" w:cstheme="minorHAnsi"/>
                <w:sz w:val="22"/>
                <w:szCs w:val="22"/>
              </w:rPr>
            </w:pPr>
            <w:r w:rsidRPr="00AC4BFF">
              <w:rPr>
                <w:rFonts w:asciiTheme="minorHAnsi" w:hAnsiTheme="minorHAnsi" w:cstheme="minorHAnsi"/>
                <w:sz w:val="22"/>
                <w:szCs w:val="22"/>
              </w:rPr>
              <w:t xml:space="preserve">For </w:t>
            </w:r>
            <w:proofErr w:type="spellStart"/>
            <w:r w:rsidR="003243DF">
              <w:rPr>
                <w:rFonts w:asciiTheme="minorHAnsi" w:hAnsiTheme="minorHAnsi" w:cstheme="minorHAnsi"/>
                <w:sz w:val="22"/>
                <w:szCs w:val="22"/>
              </w:rPr>
              <w:t>Veltassa</w:t>
            </w:r>
            <w:proofErr w:type="spellEnd"/>
            <w:r w:rsidRPr="00AC4BFF">
              <w:rPr>
                <w:rFonts w:asciiTheme="minorHAnsi" w:hAnsiTheme="minorHAnsi" w:cstheme="minorHAnsi"/>
                <w:sz w:val="22"/>
                <w:szCs w:val="22"/>
              </w:rPr>
              <w:t>, magnesium must also be monitored at least one month after initiation</w:t>
            </w:r>
            <w:r>
              <w:rPr>
                <w:rFonts w:asciiTheme="minorHAnsi" w:hAnsiTheme="minorHAnsi" w:cstheme="minorHAnsi"/>
                <w:sz w:val="22"/>
                <w:szCs w:val="22"/>
              </w:rPr>
              <w:t>.</w:t>
            </w:r>
          </w:p>
          <w:p w14:paraId="151FF67C" w14:textId="3BBC6448" w:rsidR="00E02BEF" w:rsidRPr="009D3CF9" w:rsidRDefault="00E02BEF" w:rsidP="00B562C7">
            <w:pPr>
              <w:pStyle w:val="paragraph"/>
              <w:spacing w:before="0" w:after="0"/>
              <w:jc w:val="both"/>
              <w:textAlignment w:val="baseline"/>
              <w:rPr>
                <w:rFonts w:asciiTheme="minorHAnsi" w:hAnsiTheme="minorHAnsi" w:cstheme="minorHAnsi"/>
                <w:sz w:val="22"/>
                <w:szCs w:val="22"/>
              </w:rPr>
            </w:pPr>
            <w:r w:rsidRPr="009D3CF9">
              <w:rPr>
                <w:rStyle w:val="eop"/>
                <w:rFonts w:asciiTheme="minorHAnsi" w:hAnsiTheme="minorHAnsi" w:cstheme="minorHAnsi"/>
                <w:sz w:val="22"/>
                <w:szCs w:val="22"/>
              </w:rPr>
              <w:t>  </w:t>
            </w:r>
          </w:p>
        </w:tc>
      </w:tr>
      <w:tr w:rsidR="00E02659" w:rsidRPr="00B22880" w14:paraId="1AB32688" w14:textId="77777777" w:rsidTr="00B562C7">
        <w:trPr>
          <w:trHeight w:val="150"/>
        </w:trPr>
        <w:tc>
          <w:tcPr>
            <w:tcW w:w="1411" w:type="dxa"/>
            <w:vMerge w:val="restart"/>
            <w:tcBorders>
              <w:top w:val="single" w:sz="6" w:space="0" w:color="auto"/>
              <w:left w:val="single" w:sz="6" w:space="0" w:color="auto"/>
              <w:right w:val="single" w:sz="6" w:space="0" w:color="auto"/>
            </w:tcBorders>
            <w:shd w:val="clear" w:color="auto" w:fill="FFFFFF" w:themeFill="background1"/>
          </w:tcPr>
          <w:p w14:paraId="4FE5F856" w14:textId="02F7C937" w:rsidR="00B525B3" w:rsidRDefault="00B525B3" w:rsidP="00B525B3">
            <w:pPr>
              <w:pStyle w:val="paragraph"/>
              <w:spacing w:before="0" w:beforeAutospacing="0" w:after="0" w:afterAutospacing="0"/>
              <w:textAlignment w:val="baseline"/>
              <w:rPr>
                <w:rStyle w:val="eop"/>
                <w:rFonts w:asciiTheme="minorHAnsi" w:hAnsiTheme="minorHAnsi" w:cstheme="minorHAnsi"/>
                <w:sz w:val="22"/>
                <w:szCs w:val="22"/>
              </w:rPr>
            </w:pPr>
            <w:r w:rsidRPr="009D3CF9">
              <w:rPr>
                <w:rStyle w:val="normaltextrun"/>
                <w:rFonts w:asciiTheme="minorHAnsi" w:hAnsiTheme="minorHAnsi" w:cstheme="minorHAnsi"/>
                <w:b/>
                <w:bCs/>
                <w:sz w:val="22"/>
                <w:szCs w:val="22"/>
                <w:lang w:val="en-AU"/>
              </w:rPr>
              <w:t>Ongoing monitoring (by primary care clinician)</w:t>
            </w:r>
            <w:r w:rsidRPr="009D3CF9">
              <w:rPr>
                <w:rStyle w:val="eop"/>
                <w:rFonts w:asciiTheme="minorHAnsi" w:hAnsiTheme="minorHAnsi" w:cstheme="minorHAnsi"/>
                <w:sz w:val="22"/>
                <w:szCs w:val="22"/>
              </w:rPr>
              <w:t> </w:t>
            </w:r>
          </w:p>
          <w:p w14:paraId="4BB46F29" w14:textId="77777777" w:rsidR="006A3B1D" w:rsidRDefault="006A3B1D" w:rsidP="00B525B3">
            <w:pPr>
              <w:pStyle w:val="paragraph"/>
              <w:spacing w:before="0" w:beforeAutospacing="0" w:after="0" w:afterAutospacing="0"/>
              <w:textAlignment w:val="baseline"/>
              <w:rPr>
                <w:rStyle w:val="eop"/>
                <w:rFonts w:cstheme="minorHAnsi"/>
              </w:rPr>
            </w:pPr>
          </w:p>
          <w:p w14:paraId="23BB713E" w14:textId="1D05665E" w:rsidR="006A3B1D" w:rsidRPr="009D3CF9" w:rsidRDefault="006A3B1D" w:rsidP="00B525B3">
            <w:pPr>
              <w:pStyle w:val="paragraph"/>
              <w:spacing w:before="0" w:beforeAutospacing="0" w:after="0" w:afterAutospacing="0"/>
              <w:textAlignment w:val="baseline"/>
              <w:rPr>
                <w:rFonts w:asciiTheme="minorHAnsi" w:hAnsiTheme="minorHAnsi" w:cstheme="minorHAnsi"/>
                <w:sz w:val="22"/>
                <w:szCs w:val="22"/>
              </w:rPr>
            </w:pPr>
          </w:p>
          <w:p w14:paraId="6D4CF2F8" w14:textId="455FF3E0" w:rsidR="00B525B3" w:rsidRPr="00BD651C" w:rsidRDefault="00B525B3" w:rsidP="00B525B3">
            <w:pPr>
              <w:pStyle w:val="paragraph"/>
              <w:spacing w:before="0" w:beforeAutospacing="0" w:after="0" w:afterAutospacing="0"/>
              <w:textAlignment w:val="baseline"/>
              <w:rPr>
                <w:rStyle w:val="normaltextrun"/>
                <w:rFonts w:asciiTheme="minorHAnsi" w:hAnsiTheme="minorHAnsi" w:cstheme="minorHAnsi"/>
                <w:b/>
                <w:bCs/>
                <w:i/>
                <w:iCs/>
                <w:sz w:val="22"/>
                <w:szCs w:val="22"/>
                <w:lang w:val="en-AU"/>
              </w:rPr>
            </w:pPr>
          </w:p>
        </w:tc>
        <w:tc>
          <w:tcPr>
            <w:tcW w:w="3787" w:type="dxa"/>
            <w:gridSpan w:val="2"/>
            <w:tcBorders>
              <w:top w:val="single" w:sz="6" w:space="0" w:color="auto"/>
              <w:left w:val="single" w:sz="6" w:space="0" w:color="auto"/>
              <w:bottom w:val="single" w:sz="6" w:space="0" w:color="auto"/>
              <w:right w:val="single" w:sz="6" w:space="0" w:color="auto"/>
            </w:tcBorders>
            <w:shd w:val="clear" w:color="auto" w:fill="auto"/>
          </w:tcPr>
          <w:p w14:paraId="09D5A09A" w14:textId="21E7921D" w:rsidR="00B525B3" w:rsidRPr="009D3CF9" w:rsidRDefault="00B525B3" w:rsidP="009D3CF9">
            <w:pPr>
              <w:pStyle w:val="paragraph"/>
              <w:spacing w:before="0" w:beforeAutospacing="0" w:after="0" w:afterAutospacing="0"/>
              <w:jc w:val="center"/>
              <w:textAlignment w:val="baseline"/>
              <w:rPr>
                <w:rStyle w:val="normaltextrun"/>
                <w:rFonts w:asciiTheme="minorHAnsi" w:hAnsiTheme="minorHAnsi" w:cstheme="minorHAnsi"/>
                <w:b/>
                <w:bCs/>
                <w:sz w:val="22"/>
                <w:szCs w:val="22"/>
                <w:u w:val="single"/>
                <w:lang w:val="en-AU"/>
              </w:rPr>
            </w:pPr>
            <w:r w:rsidRPr="009D3CF9">
              <w:rPr>
                <w:rStyle w:val="normaltextrun"/>
                <w:rFonts w:asciiTheme="minorHAnsi" w:hAnsiTheme="minorHAnsi" w:cstheme="minorHAnsi"/>
                <w:b/>
                <w:bCs/>
                <w:sz w:val="22"/>
                <w:szCs w:val="22"/>
                <w:lang w:val="en-AU"/>
              </w:rPr>
              <w:t>Test</w:t>
            </w:r>
          </w:p>
        </w:tc>
        <w:tc>
          <w:tcPr>
            <w:tcW w:w="1973" w:type="dxa"/>
            <w:gridSpan w:val="2"/>
            <w:tcBorders>
              <w:top w:val="single" w:sz="6" w:space="0" w:color="auto"/>
              <w:left w:val="single" w:sz="6" w:space="0" w:color="auto"/>
              <w:bottom w:val="single" w:sz="6" w:space="0" w:color="auto"/>
              <w:right w:val="single" w:sz="6" w:space="0" w:color="auto"/>
            </w:tcBorders>
            <w:shd w:val="clear" w:color="auto" w:fill="auto"/>
          </w:tcPr>
          <w:p w14:paraId="637EFB93" w14:textId="4BDD3A20" w:rsidR="00B525B3" w:rsidRPr="009D3CF9" w:rsidRDefault="00B525B3" w:rsidP="009D3CF9">
            <w:pPr>
              <w:pStyle w:val="paragraph"/>
              <w:spacing w:before="0" w:beforeAutospacing="0" w:after="0" w:afterAutospacing="0"/>
              <w:jc w:val="center"/>
              <w:textAlignment w:val="baseline"/>
              <w:rPr>
                <w:rStyle w:val="normaltextrun"/>
                <w:rFonts w:asciiTheme="minorHAnsi" w:hAnsiTheme="minorHAnsi" w:cstheme="minorHAnsi"/>
                <w:b/>
                <w:bCs/>
                <w:sz w:val="22"/>
                <w:szCs w:val="22"/>
                <w:u w:val="single"/>
                <w:lang w:val="en-AU"/>
              </w:rPr>
            </w:pPr>
            <w:r w:rsidRPr="009D3CF9">
              <w:rPr>
                <w:rStyle w:val="normaltextrun"/>
                <w:rFonts w:asciiTheme="minorHAnsi" w:hAnsiTheme="minorHAnsi" w:cstheme="minorHAnsi"/>
                <w:b/>
                <w:bCs/>
                <w:sz w:val="22"/>
                <w:szCs w:val="22"/>
                <w:lang w:val="en-AU"/>
              </w:rPr>
              <w:t>Frequency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3C120769" w14:textId="010BC46E" w:rsidR="00B525B3" w:rsidRPr="009D3CF9" w:rsidRDefault="00B525B3" w:rsidP="009D3CF9">
            <w:pPr>
              <w:pStyle w:val="paragraph"/>
              <w:spacing w:before="0" w:beforeAutospacing="0" w:after="0" w:afterAutospacing="0"/>
              <w:jc w:val="center"/>
              <w:textAlignment w:val="baseline"/>
              <w:rPr>
                <w:rStyle w:val="normaltextrun"/>
                <w:rFonts w:asciiTheme="minorHAnsi" w:hAnsiTheme="minorHAnsi" w:cstheme="minorHAnsi"/>
                <w:b/>
                <w:bCs/>
                <w:sz w:val="22"/>
                <w:szCs w:val="22"/>
                <w:u w:val="single"/>
                <w:lang w:val="en-AU"/>
              </w:rPr>
            </w:pPr>
            <w:r w:rsidRPr="00B22880">
              <w:rPr>
                <w:rStyle w:val="eop"/>
                <w:rFonts w:asciiTheme="minorHAnsi" w:hAnsiTheme="minorHAnsi" w:cstheme="minorHAnsi"/>
                <w:b/>
                <w:bCs/>
                <w:sz w:val="22"/>
                <w:szCs w:val="22"/>
              </w:rPr>
              <w:t>Action if out of range</w:t>
            </w:r>
          </w:p>
        </w:tc>
      </w:tr>
      <w:tr w:rsidR="00E02659" w:rsidRPr="00B22880" w14:paraId="2679FD7B" w14:textId="77777777" w:rsidTr="00B562C7">
        <w:trPr>
          <w:trHeight w:val="150"/>
        </w:trPr>
        <w:tc>
          <w:tcPr>
            <w:tcW w:w="1411" w:type="dxa"/>
            <w:vMerge/>
          </w:tcPr>
          <w:p w14:paraId="1223AEC5" w14:textId="77777777" w:rsidR="00B525B3" w:rsidRPr="009D3CF9" w:rsidRDefault="00B525B3" w:rsidP="00B525B3">
            <w:pPr>
              <w:pStyle w:val="paragraph"/>
              <w:spacing w:before="0" w:beforeAutospacing="0" w:after="0" w:afterAutospacing="0"/>
              <w:textAlignment w:val="baseline"/>
              <w:rPr>
                <w:rStyle w:val="normaltextrun"/>
                <w:rFonts w:asciiTheme="minorHAnsi" w:hAnsiTheme="minorHAnsi" w:cstheme="minorHAnsi"/>
                <w:b/>
                <w:bCs/>
                <w:sz w:val="22"/>
                <w:szCs w:val="22"/>
                <w:lang w:val="en-AU"/>
              </w:rPr>
            </w:pPr>
          </w:p>
        </w:tc>
        <w:tc>
          <w:tcPr>
            <w:tcW w:w="3787" w:type="dxa"/>
            <w:gridSpan w:val="2"/>
            <w:tcBorders>
              <w:top w:val="single" w:sz="6" w:space="0" w:color="auto"/>
              <w:left w:val="single" w:sz="6" w:space="0" w:color="auto"/>
              <w:bottom w:val="single" w:sz="6" w:space="0" w:color="auto"/>
              <w:right w:val="single" w:sz="6" w:space="0" w:color="auto"/>
            </w:tcBorders>
            <w:shd w:val="clear" w:color="auto" w:fill="auto"/>
          </w:tcPr>
          <w:p w14:paraId="70F1D4CF" w14:textId="0D1BAA6D" w:rsidR="00B525B3" w:rsidRPr="007774D2" w:rsidRDefault="00464398" w:rsidP="00CD297A">
            <w:pPr>
              <w:pStyle w:val="paragraph"/>
              <w:spacing w:before="0" w:beforeAutospacing="0" w:after="0" w:afterAutospacing="0"/>
              <w:textAlignment w:val="baseline"/>
              <w:rPr>
                <w:rStyle w:val="normaltextrun"/>
                <w:rFonts w:asciiTheme="minorHAnsi" w:hAnsiTheme="minorHAnsi" w:cstheme="minorHAnsi"/>
                <w:sz w:val="22"/>
                <w:szCs w:val="22"/>
                <w:lang w:val="en-AU"/>
              </w:rPr>
            </w:pPr>
            <w:r w:rsidRPr="007774D2">
              <w:rPr>
                <w:rStyle w:val="normaltextrun"/>
                <w:rFonts w:asciiTheme="minorHAnsi" w:hAnsiTheme="minorHAnsi" w:cstheme="minorHAnsi"/>
                <w:sz w:val="22"/>
                <w:szCs w:val="22"/>
                <w:lang w:val="en-AU"/>
              </w:rPr>
              <w:t xml:space="preserve">Serum potassium (Range: 3.5mmol/L to </w:t>
            </w:r>
            <w:r w:rsidR="006A3B1D" w:rsidRPr="007774D2">
              <w:rPr>
                <w:rStyle w:val="normaltextrun"/>
                <w:rFonts w:asciiTheme="minorHAnsi" w:hAnsiTheme="minorHAnsi" w:cstheme="minorHAnsi"/>
                <w:sz w:val="22"/>
                <w:szCs w:val="22"/>
                <w:lang w:val="en-AU"/>
              </w:rPr>
              <w:t>6</w:t>
            </w:r>
            <w:r w:rsidRPr="007774D2">
              <w:rPr>
                <w:rStyle w:val="normaltextrun"/>
                <w:rFonts w:asciiTheme="minorHAnsi" w:hAnsiTheme="minorHAnsi" w:cstheme="minorHAnsi"/>
                <w:sz w:val="22"/>
                <w:szCs w:val="22"/>
                <w:lang w:val="en-AU"/>
              </w:rPr>
              <w:t>.</w:t>
            </w:r>
            <w:r w:rsidR="006A3B1D" w:rsidRPr="007774D2">
              <w:rPr>
                <w:rStyle w:val="normaltextrun"/>
                <w:rFonts w:asciiTheme="minorHAnsi" w:hAnsiTheme="minorHAnsi" w:cstheme="minorHAnsi"/>
                <w:sz w:val="22"/>
                <w:szCs w:val="22"/>
                <w:lang w:val="en-AU"/>
              </w:rPr>
              <w:t>5</w:t>
            </w:r>
            <w:r w:rsidRPr="007774D2">
              <w:rPr>
                <w:rStyle w:val="normaltextrun"/>
                <w:rFonts w:asciiTheme="minorHAnsi" w:hAnsiTheme="minorHAnsi" w:cstheme="minorHAnsi"/>
                <w:sz w:val="22"/>
                <w:szCs w:val="22"/>
                <w:lang w:val="en-AU"/>
              </w:rPr>
              <w:t>mmol/L</w:t>
            </w:r>
            <w:r w:rsidR="008E6153" w:rsidRPr="007774D2">
              <w:rPr>
                <w:rStyle w:val="normaltextrun"/>
                <w:rFonts w:asciiTheme="minorHAnsi" w:hAnsiTheme="minorHAnsi" w:cstheme="minorHAnsi"/>
                <w:sz w:val="22"/>
                <w:szCs w:val="22"/>
                <w:lang w:val="en-AU"/>
              </w:rPr>
              <w:t xml:space="preserve">). </w:t>
            </w:r>
          </w:p>
          <w:p w14:paraId="01C11230" w14:textId="77777777" w:rsidR="00464398" w:rsidRPr="007774D2" w:rsidRDefault="00464398"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63C439D0" w14:textId="77777777" w:rsidR="00464398" w:rsidRPr="007774D2" w:rsidRDefault="00464398"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68960F9B" w14:textId="300CB631" w:rsidR="00464398" w:rsidRPr="007774D2" w:rsidRDefault="00464398"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r w:rsidRPr="007774D2">
              <w:rPr>
                <w:rStyle w:val="normaltextrun"/>
                <w:rFonts w:asciiTheme="minorHAnsi" w:hAnsiTheme="minorHAnsi" w:cstheme="minorHAnsi"/>
                <w:sz w:val="22"/>
                <w:szCs w:val="22"/>
                <w:lang w:val="en-AU"/>
              </w:rPr>
              <w:t xml:space="preserve">Magnesium (Range: 0.7mmol/L to 1.2mmol/L) </w:t>
            </w:r>
          </w:p>
          <w:p w14:paraId="4F104A92" w14:textId="77777777" w:rsidR="0033129F" w:rsidRPr="00B562C7" w:rsidRDefault="0033129F"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4FC4BF4A" w14:textId="77777777" w:rsidR="0033129F" w:rsidRPr="00B562C7" w:rsidRDefault="0033129F"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042621B8" w14:textId="77777777" w:rsidR="00B562C7" w:rsidRDefault="00B562C7"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260776BF" w14:textId="77777777" w:rsidR="00B562C7" w:rsidRDefault="00B562C7"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62FE88FB" w14:textId="7FA2DD0F" w:rsidR="0033129F" w:rsidRPr="007774D2" w:rsidRDefault="0033129F" w:rsidP="00B562C7">
            <w:pPr>
              <w:pStyle w:val="paragraph"/>
              <w:spacing w:before="0" w:beforeAutospacing="0" w:after="0" w:afterAutospacing="0"/>
              <w:textAlignment w:val="baseline"/>
              <w:rPr>
                <w:rStyle w:val="normaltextrun"/>
                <w:rFonts w:asciiTheme="minorHAnsi" w:hAnsiTheme="minorHAnsi" w:cstheme="minorHAnsi"/>
                <w:sz w:val="22"/>
                <w:szCs w:val="22"/>
                <w:lang w:val="en-AU" w:eastAsia="en-US"/>
              </w:rPr>
            </w:pPr>
            <w:r w:rsidRPr="007774D2">
              <w:rPr>
                <w:rStyle w:val="normaltextrun"/>
                <w:rFonts w:asciiTheme="minorHAnsi" w:hAnsiTheme="minorHAnsi" w:cstheme="minorHAnsi"/>
                <w:sz w:val="22"/>
                <w:szCs w:val="22"/>
                <w:lang w:val="en-AU"/>
              </w:rPr>
              <w:t xml:space="preserve">Hypercalcaemia </w:t>
            </w:r>
            <w:r w:rsidR="00520DB2" w:rsidRPr="007774D2">
              <w:rPr>
                <w:rStyle w:val="normaltextrun"/>
                <w:rFonts w:asciiTheme="minorHAnsi" w:hAnsiTheme="minorHAnsi" w:cstheme="minorHAnsi"/>
                <w:sz w:val="22"/>
                <w:szCs w:val="22"/>
                <w:lang w:val="en-AU"/>
              </w:rPr>
              <w:t>(Range: 2.2 mmol/L to 2.6mmol/L)</w:t>
            </w:r>
          </w:p>
          <w:p w14:paraId="340748AE" w14:textId="77777777" w:rsidR="0033129F" w:rsidRPr="00B562C7" w:rsidRDefault="0033129F"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680808EB" w14:textId="77777777" w:rsidR="0033129F" w:rsidRPr="00B562C7" w:rsidRDefault="0033129F"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1F1F66EE" w14:textId="77777777" w:rsidR="0033129F" w:rsidRPr="007774D2" w:rsidRDefault="0033129F"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68C18CC6" w14:textId="156B06A0" w:rsidR="00464398" w:rsidRPr="007774D2" w:rsidRDefault="00464398"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tc>
        <w:tc>
          <w:tcPr>
            <w:tcW w:w="1973" w:type="dxa"/>
            <w:gridSpan w:val="2"/>
            <w:tcBorders>
              <w:top w:val="single" w:sz="6" w:space="0" w:color="auto"/>
              <w:left w:val="single" w:sz="6" w:space="0" w:color="auto"/>
              <w:bottom w:val="single" w:sz="6" w:space="0" w:color="auto"/>
              <w:right w:val="single" w:sz="6" w:space="0" w:color="auto"/>
            </w:tcBorders>
            <w:shd w:val="clear" w:color="auto" w:fill="auto"/>
          </w:tcPr>
          <w:p w14:paraId="2A0E12CF" w14:textId="7965C719" w:rsidR="00B525B3" w:rsidRPr="007774D2" w:rsidRDefault="00464398" w:rsidP="006A3B1D">
            <w:pPr>
              <w:pStyle w:val="paragraph"/>
              <w:spacing w:before="0" w:beforeAutospacing="0" w:after="0" w:afterAutospacing="0"/>
              <w:textAlignment w:val="baseline"/>
              <w:rPr>
                <w:rStyle w:val="normaltextrun"/>
                <w:rFonts w:asciiTheme="minorHAnsi" w:hAnsiTheme="minorHAnsi" w:cstheme="minorHAnsi"/>
                <w:sz w:val="22"/>
                <w:szCs w:val="22"/>
                <w:lang w:val="en-AU"/>
              </w:rPr>
            </w:pPr>
            <w:r w:rsidRPr="007774D2">
              <w:rPr>
                <w:rStyle w:val="normaltextrun"/>
                <w:rFonts w:asciiTheme="minorHAnsi" w:hAnsiTheme="minorHAnsi" w:cstheme="minorHAnsi"/>
                <w:sz w:val="22"/>
                <w:szCs w:val="22"/>
                <w:lang w:val="en-AU"/>
              </w:rPr>
              <w:t>3-4 monthly (as advised by consultant)</w:t>
            </w:r>
          </w:p>
          <w:p w14:paraId="6D0E8487" w14:textId="77777777" w:rsidR="00464398" w:rsidRPr="007774D2" w:rsidRDefault="00464398" w:rsidP="006A3B1D">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46BF4052" w14:textId="4B8A9F60" w:rsidR="00464398" w:rsidRPr="007774D2" w:rsidRDefault="00464398" w:rsidP="006A3B1D">
            <w:pPr>
              <w:pStyle w:val="paragraph"/>
              <w:spacing w:before="0" w:beforeAutospacing="0" w:after="0" w:afterAutospacing="0"/>
              <w:textAlignment w:val="baseline"/>
              <w:rPr>
                <w:rStyle w:val="normaltextrun"/>
                <w:rFonts w:asciiTheme="minorHAnsi" w:hAnsiTheme="minorHAnsi" w:cstheme="minorHAnsi"/>
                <w:sz w:val="22"/>
                <w:szCs w:val="22"/>
                <w:lang w:val="en-AU"/>
              </w:rPr>
            </w:pPr>
            <w:r w:rsidRPr="007774D2">
              <w:rPr>
                <w:rStyle w:val="normaltextrun"/>
                <w:rFonts w:asciiTheme="minorHAnsi" w:hAnsiTheme="minorHAnsi" w:cstheme="minorHAnsi"/>
                <w:sz w:val="22"/>
                <w:szCs w:val="22"/>
                <w:lang w:val="en-AU"/>
              </w:rPr>
              <w:t>6 monthly</w:t>
            </w:r>
          </w:p>
          <w:p w14:paraId="134D4D33" w14:textId="77777777" w:rsidR="0033129F" w:rsidRPr="00B562C7" w:rsidRDefault="0033129F" w:rsidP="006A3B1D">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46EB7ACD" w14:textId="77777777" w:rsidR="0033129F" w:rsidRPr="00B562C7" w:rsidRDefault="0033129F" w:rsidP="006A3B1D">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7AF525F2" w14:textId="77777777" w:rsidR="0033129F" w:rsidRPr="00B562C7" w:rsidRDefault="0033129F" w:rsidP="006A3B1D">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268FF743" w14:textId="77777777" w:rsidR="00B562C7" w:rsidRDefault="00B562C7" w:rsidP="006A3B1D">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7EBFA81A" w14:textId="77777777" w:rsidR="00B562C7" w:rsidRDefault="00B562C7" w:rsidP="006A3B1D">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64426404" w14:textId="218ECF9E" w:rsidR="0033129F" w:rsidRPr="007774D2" w:rsidRDefault="0033129F" w:rsidP="006A3B1D">
            <w:pPr>
              <w:pStyle w:val="paragraph"/>
              <w:spacing w:before="0" w:beforeAutospacing="0" w:after="0" w:afterAutospacing="0"/>
              <w:textAlignment w:val="baseline"/>
              <w:rPr>
                <w:rStyle w:val="normaltextrun"/>
                <w:rFonts w:asciiTheme="minorHAnsi" w:hAnsiTheme="minorHAnsi" w:cstheme="minorHAnsi"/>
                <w:sz w:val="22"/>
                <w:szCs w:val="22"/>
                <w:lang w:val="en-AU"/>
              </w:rPr>
            </w:pPr>
            <w:r w:rsidRPr="007774D2">
              <w:rPr>
                <w:rStyle w:val="normaltextrun"/>
                <w:rFonts w:asciiTheme="minorHAnsi" w:hAnsiTheme="minorHAnsi" w:cstheme="minorHAnsi"/>
                <w:sz w:val="22"/>
                <w:szCs w:val="22"/>
                <w:lang w:val="en-AU"/>
              </w:rPr>
              <w:t xml:space="preserve">Monthly for </w:t>
            </w:r>
            <w:r w:rsidR="00520DB2" w:rsidRPr="007774D2">
              <w:rPr>
                <w:rStyle w:val="normaltextrun"/>
                <w:rFonts w:asciiTheme="minorHAnsi" w:hAnsiTheme="minorHAnsi" w:cstheme="minorHAnsi"/>
                <w:sz w:val="22"/>
                <w:szCs w:val="22"/>
                <w:lang w:val="en-AU"/>
              </w:rPr>
              <w:t>2 months</w:t>
            </w:r>
            <w:r w:rsidRPr="007774D2">
              <w:rPr>
                <w:rStyle w:val="normaltextrun"/>
                <w:rFonts w:asciiTheme="minorHAnsi" w:hAnsiTheme="minorHAnsi" w:cstheme="minorHAnsi"/>
                <w:sz w:val="22"/>
                <w:szCs w:val="22"/>
                <w:lang w:val="en-AU"/>
              </w:rPr>
              <w:t>. If stable for</w:t>
            </w:r>
            <w:r w:rsidR="00DF5CDE" w:rsidRPr="007774D2">
              <w:rPr>
                <w:rStyle w:val="normaltextrun"/>
                <w:rFonts w:asciiTheme="minorHAnsi" w:hAnsiTheme="minorHAnsi" w:cstheme="minorHAnsi"/>
                <w:sz w:val="22"/>
                <w:szCs w:val="22"/>
                <w:lang w:val="en-AU"/>
              </w:rPr>
              <w:t xml:space="preserve"> </w:t>
            </w:r>
            <w:r w:rsidRPr="007774D2">
              <w:rPr>
                <w:rStyle w:val="normaltextrun"/>
                <w:rFonts w:asciiTheme="minorHAnsi" w:hAnsiTheme="minorHAnsi" w:cstheme="minorHAnsi"/>
                <w:sz w:val="22"/>
                <w:szCs w:val="22"/>
                <w:lang w:val="en-AU"/>
              </w:rPr>
              <w:t>2 consecutive months</w:t>
            </w:r>
            <w:r w:rsidR="00520DB2" w:rsidRPr="007774D2">
              <w:rPr>
                <w:rStyle w:val="normaltextrun"/>
                <w:rFonts w:asciiTheme="minorHAnsi" w:hAnsiTheme="minorHAnsi" w:cstheme="minorHAnsi"/>
                <w:sz w:val="22"/>
                <w:szCs w:val="22"/>
                <w:lang w:val="en-AU"/>
              </w:rPr>
              <w:t>; 6 monthly.</w:t>
            </w:r>
          </w:p>
        </w:tc>
        <w:tc>
          <w:tcPr>
            <w:tcW w:w="3233" w:type="dxa"/>
            <w:tcBorders>
              <w:top w:val="single" w:sz="6" w:space="0" w:color="auto"/>
              <w:left w:val="single" w:sz="6" w:space="0" w:color="auto"/>
              <w:bottom w:val="single" w:sz="6" w:space="0" w:color="auto"/>
              <w:right w:val="single" w:sz="6" w:space="0" w:color="auto"/>
            </w:tcBorders>
            <w:shd w:val="clear" w:color="auto" w:fill="auto"/>
          </w:tcPr>
          <w:p w14:paraId="0990CDF3" w14:textId="0BB2A34F" w:rsidR="00B525B3" w:rsidRPr="007774D2" w:rsidRDefault="00B562C7"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r>
              <w:rPr>
                <w:rStyle w:val="normaltextrun"/>
                <w:rFonts w:asciiTheme="minorHAnsi" w:hAnsiTheme="minorHAnsi" w:cstheme="minorHAnsi"/>
                <w:sz w:val="22"/>
                <w:szCs w:val="22"/>
                <w:lang w:val="en-AU"/>
              </w:rPr>
              <w:t>Stop the medication and i</w:t>
            </w:r>
            <w:r w:rsidR="00464398" w:rsidRPr="007774D2">
              <w:rPr>
                <w:rStyle w:val="normaltextrun"/>
                <w:rFonts w:asciiTheme="minorHAnsi" w:hAnsiTheme="minorHAnsi" w:cstheme="minorHAnsi"/>
                <w:sz w:val="22"/>
                <w:szCs w:val="22"/>
                <w:lang w:val="en-AU"/>
              </w:rPr>
              <w:t>nform initial prescriber for advice</w:t>
            </w:r>
            <w:r w:rsidR="0033129F" w:rsidRPr="007774D2">
              <w:rPr>
                <w:rStyle w:val="normaltextrun"/>
                <w:rFonts w:asciiTheme="minorHAnsi" w:hAnsiTheme="minorHAnsi" w:cstheme="minorHAnsi"/>
                <w:sz w:val="22"/>
                <w:szCs w:val="22"/>
                <w:lang w:val="en-AU"/>
              </w:rPr>
              <w:t>.</w:t>
            </w:r>
          </w:p>
          <w:p w14:paraId="43CEA6C5" w14:textId="77777777" w:rsidR="00464398" w:rsidRPr="007774D2" w:rsidRDefault="00464398"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1ABAD747" w14:textId="77777777" w:rsidR="00464398" w:rsidRPr="007774D2" w:rsidRDefault="00464398"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55F2C44B" w14:textId="77777777" w:rsidR="00464398" w:rsidRPr="007774D2" w:rsidRDefault="00464398"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r w:rsidRPr="007774D2">
              <w:rPr>
                <w:rStyle w:val="normaltextrun"/>
                <w:rFonts w:asciiTheme="minorHAnsi" w:hAnsiTheme="minorHAnsi" w:cstheme="minorHAnsi"/>
                <w:sz w:val="22"/>
                <w:szCs w:val="22"/>
                <w:lang w:val="en-AU"/>
              </w:rPr>
              <w:t>If low, replace as per BNF guidance. Recheck after 2 weeks. If still low, refer to initial prescriber.</w:t>
            </w:r>
          </w:p>
          <w:p w14:paraId="1B845811" w14:textId="77777777" w:rsidR="00520DB2" w:rsidRPr="007774D2" w:rsidRDefault="00520DB2" w:rsidP="00B562C7">
            <w:pPr>
              <w:pStyle w:val="paragraph"/>
              <w:spacing w:before="0" w:beforeAutospacing="0" w:after="0" w:afterAutospacing="0"/>
              <w:textAlignment w:val="baseline"/>
              <w:rPr>
                <w:rStyle w:val="normaltextrun"/>
                <w:rFonts w:asciiTheme="minorHAnsi" w:hAnsiTheme="minorHAnsi" w:cstheme="minorHAnsi"/>
                <w:sz w:val="22"/>
                <w:szCs w:val="22"/>
                <w:lang w:val="en-AU"/>
              </w:rPr>
            </w:pPr>
          </w:p>
          <w:p w14:paraId="06AB18A3" w14:textId="77777777" w:rsidR="00CD297A" w:rsidRPr="00B562C7" w:rsidRDefault="00CD297A">
            <w:pPr>
              <w:pStyle w:val="paragraph"/>
              <w:spacing w:before="0" w:beforeAutospacing="0" w:after="0" w:afterAutospacing="0"/>
              <w:textAlignment w:val="baseline"/>
              <w:rPr>
                <w:rStyle w:val="normaltextrun"/>
                <w:rFonts w:cstheme="minorHAnsi"/>
                <w:sz w:val="22"/>
                <w:szCs w:val="22"/>
                <w:lang w:val="en-AU"/>
              </w:rPr>
            </w:pPr>
          </w:p>
          <w:p w14:paraId="7DF476AE" w14:textId="0F86689A" w:rsidR="00520DB2" w:rsidRPr="007774D2" w:rsidRDefault="00520DB2" w:rsidP="00B562C7">
            <w:pPr>
              <w:pStyle w:val="paragraph"/>
              <w:spacing w:before="0" w:beforeAutospacing="0" w:after="0" w:afterAutospacing="0"/>
              <w:textAlignment w:val="baseline"/>
              <w:rPr>
                <w:rStyle w:val="normaltextrun"/>
                <w:rFonts w:asciiTheme="minorHAnsi" w:hAnsiTheme="minorHAnsi" w:cstheme="minorHAnsi"/>
                <w:sz w:val="22"/>
                <w:szCs w:val="22"/>
                <w:lang w:val="en-AU" w:eastAsia="en-US"/>
              </w:rPr>
            </w:pPr>
            <w:r w:rsidRPr="007774D2">
              <w:rPr>
                <w:rStyle w:val="normaltextrun"/>
                <w:rFonts w:asciiTheme="minorHAnsi" w:hAnsiTheme="minorHAnsi" w:cstheme="minorHAnsi"/>
                <w:sz w:val="22"/>
                <w:szCs w:val="22"/>
                <w:lang w:val="en-AU"/>
              </w:rPr>
              <w:t xml:space="preserve">See section </w:t>
            </w:r>
            <w:r w:rsidRPr="00B562C7">
              <w:rPr>
                <w:rStyle w:val="normaltextrun"/>
                <w:rFonts w:asciiTheme="minorHAnsi" w:hAnsiTheme="minorHAnsi" w:cstheme="minorHAnsi"/>
                <w:sz w:val="22"/>
                <w:szCs w:val="22"/>
                <w:lang w:val="en-AU"/>
              </w:rPr>
              <w:t xml:space="preserve">‘Adverse effects and </w:t>
            </w:r>
            <w:r w:rsidR="00D77FB9" w:rsidRPr="00B562C7">
              <w:rPr>
                <w:rStyle w:val="normaltextrun"/>
                <w:rFonts w:asciiTheme="minorHAnsi" w:hAnsiTheme="minorHAnsi" w:cstheme="minorHAnsi"/>
                <w:sz w:val="22"/>
                <w:szCs w:val="22"/>
                <w:lang w:val="en-AU"/>
              </w:rPr>
              <w:t>management’</w:t>
            </w:r>
            <w:r w:rsidRPr="007774D2">
              <w:rPr>
                <w:rStyle w:val="normaltextrun"/>
                <w:rFonts w:asciiTheme="minorHAnsi" w:hAnsiTheme="minorHAnsi" w:cstheme="minorHAnsi"/>
                <w:sz w:val="22"/>
                <w:szCs w:val="22"/>
                <w:lang w:val="en-AU"/>
              </w:rPr>
              <w:t xml:space="preserve"> below for management of hypercalcaemia</w:t>
            </w:r>
            <w:r w:rsidR="00C832E7" w:rsidRPr="007774D2">
              <w:rPr>
                <w:rStyle w:val="normaltextrun"/>
                <w:rFonts w:asciiTheme="minorHAnsi" w:hAnsiTheme="minorHAnsi" w:cstheme="minorHAnsi"/>
                <w:sz w:val="22"/>
                <w:szCs w:val="22"/>
                <w:lang w:val="en-AU"/>
              </w:rPr>
              <w:t>.</w:t>
            </w:r>
          </w:p>
        </w:tc>
      </w:tr>
      <w:tr w:rsidR="00B525B3" w:rsidRPr="00B22880" w14:paraId="23FB3F5E" w14:textId="77777777" w:rsidTr="00B562C7">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FFFFFF" w:themeFill="background1"/>
          </w:tcPr>
          <w:p w14:paraId="1EA37C62" w14:textId="77777777" w:rsidR="00B525B3" w:rsidRPr="00B22880" w:rsidRDefault="00B525B3" w:rsidP="00B525B3">
            <w:pPr>
              <w:pStyle w:val="paragraph"/>
              <w:spacing w:before="0" w:beforeAutospacing="0" w:after="0" w:afterAutospacing="0"/>
              <w:textAlignment w:val="baseline"/>
              <w:rPr>
                <w:rStyle w:val="normaltextrun"/>
                <w:rFonts w:asciiTheme="minorHAnsi" w:hAnsiTheme="minorHAnsi" w:cstheme="minorHAnsi"/>
                <w:b/>
                <w:bCs/>
                <w:sz w:val="22"/>
                <w:szCs w:val="22"/>
                <w:lang w:val="en-AU"/>
              </w:rPr>
            </w:pPr>
            <w:r w:rsidRPr="00B22880">
              <w:rPr>
                <w:rStyle w:val="normaltextrun"/>
                <w:rFonts w:asciiTheme="minorHAnsi" w:hAnsiTheme="minorHAnsi" w:cstheme="minorHAnsi"/>
                <w:b/>
                <w:bCs/>
                <w:sz w:val="22"/>
                <w:szCs w:val="22"/>
                <w:lang w:val="en-AU"/>
              </w:rPr>
              <w:t xml:space="preserve">Follow up </w:t>
            </w:r>
            <w:proofErr w:type="gramStart"/>
            <w:r w:rsidRPr="00B22880">
              <w:rPr>
                <w:rStyle w:val="normaltextrun"/>
                <w:rFonts w:asciiTheme="minorHAnsi" w:hAnsiTheme="minorHAnsi" w:cstheme="minorHAnsi"/>
                <w:b/>
                <w:bCs/>
                <w:sz w:val="22"/>
                <w:szCs w:val="22"/>
                <w:lang w:val="en-AU"/>
              </w:rPr>
              <w:t>arrangements</w:t>
            </w:r>
            <w:proofErr w:type="gramEnd"/>
            <w:r w:rsidRPr="00B22880">
              <w:rPr>
                <w:rStyle w:val="normaltextrun"/>
                <w:rFonts w:asciiTheme="minorHAnsi" w:hAnsiTheme="minorHAnsi" w:cstheme="minorHAnsi"/>
                <w:b/>
                <w:bCs/>
                <w:sz w:val="22"/>
                <w:szCs w:val="22"/>
                <w:lang w:val="en-AU"/>
              </w:rPr>
              <w:t xml:space="preserve"> </w:t>
            </w:r>
          </w:p>
          <w:p w14:paraId="58DBF37E" w14:textId="2172E837" w:rsidR="00B525B3" w:rsidRPr="009D3CF9" w:rsidRDefault="00B525B3" w:rsidP="00B525B3">
            <w:pPr>
              <w:pStyle w:val="paragraph"/>
              <w:spacing w:before="0" w:beforeAutospacing="0" w:after="0" w:afterAutospacing="0"/>
              <w:textAlignment w:val="baseline"/>
              <w:rPr>
                <w:rStyle w:val="normaltextrun"/>
                <w:rFonts w:asciiTheme="minorHAnsi" w:hAnsiTheme="minorHAnsi" w:cstheme="minorHAnsi"/>
                <w:b/>
                <w:bCs/>
                <w:sz w:val="22"/>
                <w:szCs w:val="22"/>
                <w:lang w:val="en-AU"/>
              </w:rPr>
            </w:pPr>
          </w:p>
        </w:tc>
        <w:tc>
          <w:tcPr>
            <w:tcW w:w="8993" w:type="dxa"/>
            <w:gridSpan w:val="5"/>
            <w:tcBorders>
              <w:top w:val="single" w:sz="6" w:space="0" w:color="auto"/>
              <w:left w:val="single" w:sz="6" w:space="0" w:color="auto"/>
              <w:bottom w:val="single" w:sz="6" w:space="0" w:color="auto"/>
              <w:right w:val="single" w:sz="6" w:space="0" w:color="auto"/>
            </w:tcBorders>
            <w:shd w:val="clear" w:color="auto" w:fill="auto"/>
          </w:tcPr>
          <w:p w14:paraId="331BE276" w14:textId="77777777" w:rsidR="00DF5CDE" w:rsidRPr="007774D2" w:rsidRDefault="008B0763" w:rsidP="00B525B3">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r w:rsidRPr="007774D2">
              <w:rPr>
                <w:rStyle w:val="normaltextrun"/>
                <w:rFonts w:asciiTheme="minorHAnsi" w:hAnsiTheme="minorHAnsi" w:cstheme="minorHAnsi"/>
                <w:sz w:val="22"/>
                <w:szCs w:val="22"/>
                <w:lang w:val="en-AU"/>
              </w:rPr>
              <w:t>A specialist review in hospital will be undertaken 4-6 monthly</w:t>
            </w:r>
            <w:r w:rsidR="00DF5CDE" w:rsidRPr="007774D2">
              <w:rPr>
                <w:rStyle w:val="normaltextrun"/>
                <w:rFonts w:asciiTheme="minorHAnsi" w:hAnsiTheme="minorHAnsi" w:cstheme="minorHAnsi"/>
                <w:sz w:val="22"/>
                <w:szCs w:val="22"/>
                <w:lang w:val="en-AU"/>
              </w:rPr>
              <w:t xml:space="preserve"> to reduce burden in primary care.</w:t>
            </w:r>
          </w:p>
          <w:p w14:paraId="53CE9D8B" w14:textId="5B4719A9" w:rsidR="00B525B3" w:rsidRPr="00B562C7" w:rsidRDefault="008B0763" w:rsidP="00B525B3">
            <w:pPr>
              <w:pStyle w:val="paragraph"/>
              <w:spacing w:before="0" w:beforeAutospacing="0" w:after="0" w:afterAutospacing="0"/>
              <w:jc w:val="both"/>
              <w:textAlignment w:val="baseline"/>
              <w:rPr>
                <w:rStyle w:val="normaltextrun"/>
                <w:rFonts w:asciiTheme="minorHAnsi" w:hAnsiTheme="minorHAnsi" w:cstheme="minorHAnsi"/>
                <w:i/>
                <w:iCs/>
                <w:sz w:val="22"/>
                <w:szCs w:val="22"/>
                <w:lang w:val="en-AU"/>
              </w:rPr>
            </w:pPr>
            <w:r w:rsidRPr="007774D2">
              <w:rPr>
                <w:rStyle w:val="normaltextrun"/>
                <w:rFonts w:asciiTheme="minorHAnsi" w:hAnsiTheme="minorHAnsi" w:cstheme="minorHAnsi"/>
                <w:sz w:val="22"/>
                <w:szCs w:val="22"/>
                <w:lang w:val="en-AU"/>
              </w:rPr>
              <w:t xml:space="preserve">The specialist will review </w:t>
            </w:r>
            <w:r w:rsidR="005E26DC" w:rsidRPr="00B562C7">
              <w:rPr>
                <w:rStyle w:val="normaltextrun"/>
                <w:rFonts w:asciiTheme="minorHAnsi" w:hAnsiTheme="minorHAnsi" w:cstheme="minorHAnsi"/>
                <w:sz w:val="22"/>
                <w:szCs w:val="22"/>
                <w:lang w:val="en-AU"/>
              </w:rPr>
              <w:t xml:space="preserve">the patient’s condition and communicate promptly with the GP when treatment is changed. </w:t>
            </w:r>
          </w:p>
          <w:p w14:paraId="189B6709" w14:textId="77777777" w:rsidR="005E26DC" w:rsidRPr="007774D2" w:rsidRDefault="005E26DC" w:rsidP="00B525B3">
            <w:pPr>
              <w:pStyle w:val="paragraph"/>
              <w:spacing w:before="0" w:beforeAutospacing="0" w:after="0" w:afterAutospacing="0"/>
              <w:jc w:val="both"/>
              <w:textAlignment w:val="baseline"/>
              <w:rPr>
                <w:rStyle w:val="normaltextrun"/>
                <w:rFonts w:asciiTheme="minorHAnsi" w:hAnsiTheme="minorHAnsi"/>
                <w:sz w:val="22"/>
                <w:szCs w:val="22"/>
                <w:lang w:val="en-AU"/>
              </w:rPr>
            </w:pPr>
          </w:p>
          <w:p w14:paraId="0919205D" w14:textId="7C104E5E" w:rsidR="00F60680" w:rsidRPr="009D3CF9" w:rsidRDefault="00F60680" w:rsidP="00B525B3">
            <w:pPr>
              <w:pStyle w:val="paragraph"/>
              <w:spacing w:before="0" w:beforeAutospacing="0" w:after="0" w:afterAutospacing="0"/>
              <w:jc w:val="both"/>
              <w:textAlignment w:val="baseline"/>
              <w:rPr>
                <w:rStyle w:val="normaltextrun"/>
                <w:rFonts w:asciiTheme="minorHAnsi" w:hAnsiTheme="minorHAnsi" w:cstheme="minorHAnsi"/>
                <w:i/>
                <w:iCs/>
                <w:sz w:val="22"/>
                <w:szCs w:val="22"/>
                <w:u w:val="single"/>
                <w:lang w:val="en-AU"/>
              </w:rPr>
            </w:pPr>
            <w:r w:rsidRPr="007774D2">
              <w:rPr>
                <w:rStyle w:val="normaltextrun"/>
                <w:rFonts w:asciiTheme="minorHAnsi" w:hAnsiTheme="minorHAnsi"/>
                <w:sz w:val="22"/>
                <w:szCs w:val="22"/>
                <w:lang w:val="en-AU"/>
              </w:rPr>
              <w:t>Patients with unstable potassium levels (consistently out of range) may require monitoring more frequent than 3-monthly. In these instances, prescribing and monitoring should be retained by the specialist.</w:t>
            </w:r>
          </w:p>
        </w:tc>
      </w:tr>
      <w:tr w:rsidR="00520DB2" w:rsidRPr="00B22880" w14:paraId="2612D3CE" w14:textId="77777777" w:rsidTr="00B562C7">
        <w:trPr>
          <w:trHeight w:val="255"/>
        </w:trPr>
        <w:tc>
          <w:tcPr>
            <w:tcW w:w="1411"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36559FFF" w14:textId="77777777" w:rsidR="00B525B3" w:rsidRPr="009D3CF9" w:rsidRDefault="5534B472" w:rsidP="54E3825D">
            <w:pPr>
              <w:pStyle w:val="paragraph"/>
              <w:spacing w:before="0" w:beforeAutospacing="0" w:after="0" w:afterAutospacing="0"/>
              <w:textAlignment w:val="baseline"/>
              <w:rPr>
                <w:rFonts w:asciiTheme="minorHAnsi" w:hAnsiTheme="minorHAnsi" w:cstheme="minorBidi"/>
                <w:sz w:val="22"/>
                <w:szCs w:val="22"/>
              </w:rPr>
            </w:pPr>
            <w:r w:rsidRPr="54E3825D">
              <w:rPr>
                <w:rStyle w:val="normaltextrun"/>
                <w:rFonts w:asciiTheme="minorHAnsi" w:hAnsiTheme="minorHAnsi" w:cstheme="minorBidi"/>
                <w:b/>
                <w:bCs/>
                <w:sz w:val="22"/>
                <w:szCs w:val="22"/>
                <w:lang w:val="en-AU"/>
              </w:rPr>
              <w:t>Adverse effects and management</w:t>
            </w:r>
            <w:r w:rsidRPr="54E3825D">
              <w:rPr>
                <w:rStyle w:val="eop"/>
                <w:rFonts w:asciiTheme="minorHAnsi" w:hAnsiTheme="minorHAnsi" w:cstheme="minorBidi"/>
                <w:sz w:val="22"/>
                <w:szCs w:val="22"/>
              </w:rPr>
              <w:t> </w:t>
            </w:r>
          </w:p>
          <w:p w14:paraId="0DE7DBDF" w14:textId="77777777" w:rsidR="00B525B3" w:rsidRPr="009D3CF9" w:rsidRDefault="00B525B3" w:rsidP="00B525B3">
            <w:pPr>
              <w:pStyle w:val="paragraph"/>
              <w:spacing w:before="0" w:beforeAutospacing="0" w:after="0" w:afterAutospacing="0"/>
              <w:textAlignment w:val="baseline"/>
              <w:rPr>
                <w:rFonts w:asciiTheme="minorHAnsi" w:hAnsiTheme="minorHAnsi" w:cstheme="minorHAnsi"/>
                <w:sz w:val="22"/>
                <w:szCs w:val="22"/>
              </w:rPr>
            </w:pPr>
            <w:r w:rsidRPr="009D3CF9">
              <w:rPr>
                <w:rStyle w:val="eop"/>
                <w:rFonts w:asciiTheme="minorHAnsi" w:hAnsiTheme="minorHAnsi" w:cstheme="minorHAnsi"/>
                <w:sz w:val="22"/>
                <w:szCs w:val="22"/>
              </w:rPr>
              <w:t> </w:t>
            </w:r>
          </w:p>
          <w:p w14:paraId="6CD661CF" w14:textId="77777777" w:rsidR="00CD297A" w:rsidRDefault="5534B472" w:rsidP="54E3825D">
            <w:pPr>
              <w:pStyle w:val="Default"/>
              <w:rPr>
                <w:rFonts w:asciiTheme="minorHAnsi" w:hAnsiTheme="minorHAnsi" w:cstheme="minorBidi"/>
                <w:color w:val="auto"/>
                <w:sz w:val="22"/>
                <w:szCs w:val="22"/>
              </w:rPr>
            </w:pPr>
            <w:r w:rsidRPr="54E3825D">
              <w:rPr>
                <w:rFonts w:asciiTheme="minorHAnsi" w:hAnsiTheme="minorHAnsi" w:cstheme="minorBidi"/>
                <w:color w:val="auto"/>
                <w:sz w:val="22"/>
                <w:szCs w:val="22"/>
              </w:rPr>
              <w:t>For a full list of adverse effects, please refer to the</w:t>
            </w:r>
          </w:p>
          <w:p w14:paraId="7A8C2A90" w14:textId="71708AE2" w:rsidR="00CD297A" w:rsidRDefault="00CD297A" w:rsidP="54E3825D">
            <w:pPr>
              <w:pStyle w:val="Default"/>
              <w:rPr>
                <w:rFonts w:asciiTheme="minorHAnsi" w:hAnsiTheme="minorHAnsi" w:cstheme="minorBidi"/>
                <w:color w:val="auto"/>
                <w:sz w:val="22"/>
                <w:szCs w:val="22"/>
              </w:rPr>
            </w:pPr>
            <w:r>
              <w:rPr>
                <w:rFonts w:asciiTheme="minorHAnsi" w:hAnsiTheme="minorHAnsi" w:cstheme="minorBidi"/>
                <w:color w:val="auto"/>
                <w:sz w:val="22"/>
                <w:szCs w:val="22"/>
              </w:rPr>
              <w:t>BNF</w:t>
            </w:r>
            <w:r w:rsidR="00DC1953">
              <w:rPr>
                <w:rFonts w:asciiTheme="minorHAnsi" w:hAnsiTheme="minorHAnsi" w:cstheme="minorBidi"/>
                <w:color w:val="auto"/>
                <w:sz w:val="22"/>
                <w:szCs w:val="22"/>
              </w:rPr>
              <w:t xml:space="preserve"> (</w:t>
            </w:r>
            <w:proofErr w:type="spellStart"/>
            <w:r w:rsidR="00000000">
              <w:fldChar w:fldCharType="begin"/>
            </w:r>
            <w:r w:rsidR="00000000">
              <w:instrText>HYPERLINK "https://bnf.nice.org.uk/drugs/sodium-zirconium-cyclosilicate/" \l "side-effects"</w:instrText>
            </w:r>
            <w:r w:rsidR="00000000">
              <w:fldChar w:fldCharType="separate"/>
            </w:r>
            <w:r w:rsidR="00DC1953" w:rsidRPr="00DC1953">
              <w:rPr>
                <w:rStyle w:val="Hyperlink"/>
                <w:rFonts w:asciiTheme="minorHAnsi" w:hAnsiTheme="minorHAnsi" w:cstheme="minorBidi"/>
                <w:sz w:val="22"/>
                <w:szCs w:val="22"/>
              </w:rPr>
              <w:t>Lokelma</w:t>
            </w:r>
            <w:proofErr w:type="spellEnd"/>
            <w:r w:rsidR="00000000">
              <w:rPr>
                <w:rStyle w:val="Hyperlink"/>
                <w:rFonts w:asciiTheme="minorHAnsi" w:hAnsiTheme="minorHAnsi" w:cstheme="minorBidi"/>
                <w:sz w:val="22"/>
                <w:szCs w:val="22"/>
              </w:rPr>
              <w:fldChar w:fldCharType="end"/>
            </w:r>
            <w:r w:rsidR="00DC1953">
              <w:rPr>
                <w:rFonts w:asciiTheme="minorHAnsi" w:hAnsiTheme="minorHAnsi" w:cstheme="minorBidi"/>
                <w:color w:val="auto"/>
                <w:sz w:val="22"/>
                <w:szCs w:val="22"/>
              </w:rPr>
              <w:t xml:space="preserve"> and </w:t>
            </w:r>
            <w:hyperlink r:id="rId22" w:anchor="side-effects" w:history="1">
              <w:proofErr w:type="spellStart"/>
              <w:r w:rsidR="003243DF">
                <w:rPr>
                  <w:rStyle w:val="Hyperlink"/>
                  <w:rFonts w:asciiTheme="minorHAnsi" w:hAnsiTheme="minorHAnsi" w:cstheme="minorBidi"/>
                  <w:sz w:val="22"/>
                  <w:szCs w:val="22"/>
                </w:rPr>
                <w:t>Veltassa</w:t>
              </w:r>
              <w:proofErr w:type="spellEnd"/>
            </w:hyperlink>
            <w:r w:rsidR="00DC1953">
              <w:rPr>
                <w:rFonts w:asciiTheme="minorHAnsi" w:hAnsiTheme="minorHAnsi" w:cstheme="minorBidi"/>
                <w:color w:val="auto"/>
                <w:sz w:val="22"/>
                <w:szCs w:val="22"/>
              </w:rPr>
              <w:t>)</w:t>
            </w:r>
            <w:r>
              <w:rPr>
                <w:rFonts w:asciiTheme="minorHAnsi" w:hAnsiTheme="minorHAnsi" w:cstheme="minorBidi"/>
                <w:color w:val="auto"/>
                <w:sz w:val="22"/>
                <w:szCs w:val="22"/>
              </w:rPr>
              <w:t xml:space="preserve"> &amp; SPC</w:t>
            </w:r>
            <w:r w:rsidR="00DC1953">
              <w:rPr>
                <w:rFonts w:asciiTheme="minorHAnsi" w:hAnsiTheme="minorHAnsi" w:cstheme="minorBidi"/>
                <w:color w:val="auto"/>
                <w:sz w:val="22"/>
                <w:szCs w:val="22"/>
              </w:rPr>
              <w:t xml:space="preserve"> (</w:t>
            </w:r>
            <w:proofErr w:type="spellStart"/>
            <w:r w:rsidR="00000000">
              <w:fldChar w:fldCharType="begin"/>
            </w:r>
            <w:r w:rsidR="00000000">
              <w:instrText>HYPERLINK "https://www.medicines.org.uk/emc/product/10074/smpc"</w:instrText>
            </w:r>
            <w:r w:rsidR="00000000">
              <w:fldChar w:fldCharType="separate"/>
            </w:r>
            <w:r w:rsidR="00DC1953" w:rsidRPr="00DC1953">
              <w:rPr>
                <w:rStyle w:val="Hyperlink"/>
                <w:rFonts w:asciiTheme="minorHAnsi" w:hAnsiTheme="minorHAnsi" w:cstheme="minorBidi"/>
                <w:sz w:val="22"/>
                <w:szCs w:val="22"/>
              </w:rPr>
              <w:t>Lokelma</w:t>
            </w:r>
            <w:proofErr w:type="spellEnd"/>
            <w:r w:rsidR="00000000">
              <w:rPr>
                <w:rStyle w:val="Hyperlink"/>
                <w:rFonts w:asciiTheme="minorHAnsi" w:hAnsiTheme="minorHAnsi" w:cstheme="minorBidi"/>
                <w:sz w:val="22"/>
                <w:szCs w:val="22"/>
              </w:rPr>
              <w:fldChar w:fldCharType="end"/>
            </w:r>
            <w:r w:rsidR="00DC1953">
              <w:rPr>
                <w:rFonts w:asciiTheme="minorHAnsi" w:hAnsiTheme="minorHAnsi" w:cstheme="minorBidi"/>
                <w:color w:val="auto"/>
                <w:sz w:val="22"/>
                <w:szCs w:val="22"/>
              </w:rPr>
              <w:t xml:space="preserve"> and </w:t>
            </w:r>
            <w:hyperlink r:id="rId23" w:history="1">
              <w:proofErr w:type="spellStart"/>
              <w:r w:rsidR="003243DF">
                <w:rPr>
                  <w:rStyle w:val="Hyperlink"/>
                  <w:rFonts w:asciiTheme="minorHAnsi" w:hAnsiTheme="minorHAnsi" w:cstheme="minorBidi"/>
                  <w:sz w:val="22"/>
                  <w:szCs w:val="22"/>
                </w:rPr>
                <w:t>Veltassa</w:t>
              </w:r>
              <w:proofErr w:type="spellEnd"/>
            </w:hyperlink>
            <w:r w:rsidR="00DC1953">
              <w:rPr>
                <w:rFonts w:asciiTheme="minorHAnsi" w:hAnsiTheme="minorHAnsi" w:cstheme="minorBidi"/>
                <w:color w:val="auto"/>
                <w:sz w:val="22"/>
                <w:szCs w:val="22"/>
              </w:rPr>
              <w:t>)</w:t>
            </w:r>
            <w:r>
              <w:rPr>
                <w:rFonts w:asciiTheme="minorHAnsi" w:hAnsiTheme="minorHAnsi" w:cstheme="minorBidi"/>
                <w:color w:val="auto"/>
                <w:sz w:val="22"/>
                <w:szCs w:val="22"/>
              </w:rPr>
              <w:t>.</w:t>
            </w:r>
          </w:p>
          <w:p w14:paraId="12EAB283" w14:textId="73FD918A" w:rsidR="00B525B3" w:rsidRPr="009D3CF9" w:rsidRDefault="00B525B3" w:rsidP="54E3825D">
            <w:pPr>
              <w:pStyle w:val="Default"/>
              <w:rPr>
                <w:rFonts w:ascii="Calibri" w:eastAsia="Calibri" w:hAnsi="Calibri" w:cs="Calibri"/>
                <w:color w:val="000000" w:themeColor="text1"/>
                <w:sz w:val="22"/>
                <w:szCs w:val="22"/>
              </w:rPr>
            </w:pPr>
          </w:p>
          <w:p w14:paraId="50CEFD6B" w14:textId="77777777" w:rsidR="00B525B3" w:rsidRPr="009D3CF9" w:rsidRDefault="00B525B3" w:rsidP="00B525B3">
            <w:pPr>
              <w:pStyle w:val="Default"/>
              <w:rPr>
                <w:rFonts w:asciiTheme="minorHAnsi" w:hAnsiTheme="minorHAnsi" w:cstheme="minorHAnsi"/>
                <w:sz w:val="22"/>
                <w:szCs w:val="22"/>
              </w:rPr>
            </w:pPr>
          </w:p>
          <w:p w14:paraId="2FDCC3B2" w14:textId="77777777" w:rsidR="00B525B3" w:rsidRPr="009D3CF9" w:rsidRDefault="00B525B3" w:rsidP="00B525B3">
            <w:pPr>
              <w:pStyle w:val="Default"/>
              <w:rPr>
                <w:rFonts w:asciiTheme="minorHAnsi" w:hAnsiTheme="minorHAnsi" w:cstheme="minorHAnsi"/>
                <w:sz w:val="22"/>
                <w:szCs w:val="22"/>
              </w:rPr>
            </w:pPr>
            <w:r w:rsidRPr="009D3CF9">
              <w:rPr>
                <w:rStyle w:val="normaltextrun"/>
                <w:rFonts w:asciiTheme="minorHAnsi" w:hAnsiTheme="minorHAnsi" w:cstheme="minorHAnsi"/>
                <w:sz w:val="22"/>
                <w:szCs w:val="22"/>
                <w:shd w:val="clear" w:color="auto" w:fill="FFFFFF"/>
              </w:rPr>
              <w:t xml:space="preserve">Healthcare professionals are asked to report any suspected adverse reactions to the </w:t>
            </w:r>
            <w:r w:rsidRPr="009D3CF9">
              <w:rPr>
                <w:rStyle w:val="normaltextrun"/>
                <w:rFonts w:asciiTheme="minorHAnsi" w:hAnsiTheme="minorHAnsi" w:cstheme="minorHAnsi"/>
                <w:sz w:val="22"/>
                <w:szCs w:val="22"/>
                <w:shd w:val="clear" w:color="auto" w:fill="FFFFFF"/>
              </w:rPr>
              <w:lastRenderedPageBreak/>
              <w:t xml:space="preserve">MHRA via the </w:t>
            </w:r>
            <w:r w:rsidRPr="009D3CF9">
              <w:rPr>
                <w:rStyle w:val="normaltextrun"/>
                <w:rFonts w:asciiTheme="minorHAnsi" w:hAnsiTheme="minorHAnsi" w:cstheme="minorHAnsi"/>
                <w:color w:val="0000FF"/>
                <w:sz w:val="22"/>
                <w:szCs w:val="22"/>
                <w:u w:val="single"/>
                <w:shd w:val="clear" w:color="auto" w:fill="FFFFFF"/>
              </w:rPr>
              <w:t>Yellow Card Scheme</w:t>
            </w:r>
            <w:r w:rsidRPr="009D3CF9">
              <w:rPr>
                <w:rStyle w:val="normaltextrun"/>
                <w:rFonts w:asciiTheme="minorHAnsi" w:hAnsiTheme="minorHAnsi" w:cstheme="minorHAnsi"/>
                <w:sz w:val="22"/>
                <w:szCs w:val="22"/>
                <w:shd w:val="clear" w:color="auto" w:fill="FFFFFF"/>
              </w:rPr>
              <w:t>.</w:t>
            </w:r>
            <w:r w:rsidRPr="009D3CF9">
              <w:rPr>
                <w:rStyle w:val="normaltextrun"/>
                <w:rFonts w:asciiTheme="minorHAnsi" w:hAnsiTheme="minorHAnsi" w:cstheme="minorHAnsi"/>
                <w:i/>
                <w:iCs/>
                <w:sz w:val="22"/>
                <w:szCs w:val="22"/>
                <w:shd w:val="clear" w:color="auto" w:fill="FFFFFF"/>
              </w:rPr>
              <w:t> </w:t>
            </w:r>
            <w:r w:rsidRPr="009D3CF9">
              <w:rPr>
                <w:rStyle w:val="eop"/>
                <w:rFonts w:asciiTheme="minorHAnsi" w:hAnsiTheme="minorHAnsi" w:cstheme="minorHAnsi"/>
                <w:sz w:val="22"/>
                <w:szCs w:val="22"/>
                <w:shd w:val="clear" w:color="auto" w:fill="FFFFFF"/>
              </w:rPr>
              <w:t> </w:t>
            </w:r>
            <w:r w:rsidRPr="009D3CF9">
              <w:rPr>
                <w:rFonts w:asciiTheme="minorHAnsi" w:hAnsiTheme="minorHAnsi" w:cstheme="minorHAnsi"/>
                <w:sz w:val="22"/>
                <w:szCs w:val="22"/>
              </w:rPr>
              <w:t xml:space="preserve"> </w:t>
            </w:r>
          </w:p>
        </w:tc>
        <w:tc>
          <w:tcPr>
            <w:tcW w:w="363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4C44A1" w14:textId="1DB6DB78" w:rsidR="00B525B3" w:rsidRPr="009D3CF9" w:rsidRDefault="5534B472" w:rsidP="54E3825D">
            <w:pPr>
              <w:pStyle w:val="paragraph"/>
              <w:spacing w:before="0" w:beforeAutospacing="0" w:after="0" w:afterAutospacing="0"/>
              <w:jc w:val="center"/>
              <w:textAlignment w:val="baseline"/>
              <w:rPr>
                <w:rFonts w:asciiTheme="minorHAnsi" w:hAnsiTheme="minorHAnsi" w:cstheme="minorBidi"/>
                <w:b/>
                <w:bCs/>
                <w:sz w:val="22"/>
                <w:szCs w:val="22"/>
              </w:rPr>
            </w:pPr>
            <w:r w:rsidRPr="54E3825D">
              <w:rPr>
                <w:rFonts w:asciiTheme="minorHAnsi" w:hAnsiTheme="minorHAnsi" w:cstheme="minorBidi"/>
                <w:b/>
                <w:bCs/>
                <w:sz w:val="22"/>
                <w:szCs w:val="22"/>
              </w:rPr>
              <w:lastRenderedPageBreak/>
              <w:t>Adverse effect</w:t>
            </w:r>
            <w:r w:rsidRPr="54E3825D">
              <w:rPr>
                <w:rFonts w:asciiTheme="minorHAnsi" w:hAnsiTheme="minorHAnsi" w:cstheme="minorBidi"/>
                <w:sz w:val="22"/>
                <w:szCs w:val="22"/>
              </w:rPr>
              <w:t xml:space="preserve">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FF19A78" w14:textId="77777777" w:rsidR="00B525B3" w:rsidRPr="009D3CF9" w:rsidRDefault="00B525B3" w:rsidP="00B525B3">
            <w:pPr>
              <w:pStyle w:val="paragraph"/>
              <w:spacing w:before="0" w:beforeAutospacing="0" w:after="0" w:afterAutospacing="0"/>
              <w:jc w:val="center"/>
              <w:textAlignment w:val="baseline"/>
              <w:rPr>
                <w:rFonts w:asciiTheme="minorHAnsi" w:hAnsiTheme="minorHAnsi" w:cstheme="minorHAnsi"/>
                <w:sz w:val="22"/>
                <w:szCs w:val="22"/>
              </w:rPr>
            </w:pPr>
            <w:r w:rsidRPr="009D3CF9">
              <w:rPr>
                <w:rStyle w:val="normaltextrun"/>
                <w:rFonts w:asciiTheme="minorHAnsi" w:hAnsiTheme="minorHAnsi" w:cstheme="minorHAnsi"/>
                <w:b/>
                <w:bCs/>
                <w:sz w:val="22"/>
                <w:szCs w:val="22"/>
                <w:lang w:val="en-AU"/>
              </w:rPr>
              <w:t>Frequency</w:t>
            </w:r>
          </w:p>
        </w:tc>
        <w:tc>
          <w:tcPr>
            <w:tcW w:w="365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52BFE075" w14:textId="77777777" w:rsidR="00B525B3" w:rsidRPr="009D3CF9" w:rsidRDefault="00B525B3" w:rsidP="00B525B3">
            <w:pPr>
              <w:pStyle w:val="paragraph"/>
              <w:spacing w:before="0" w:beforeAutospacing="0" w:after="0" w:afterAutospacing="0"/>
              <w:jc w:val="center"/>
              <w:textAlignment w:val="baseline"/>
              <w:rPr>
                <w:rFonts w:asciiTheme="minorHAnsi" w:hAnsiTheme="minorHAnsi" w:cstheme="minorHAnsi"/>
                <w:sz w:val="22"/>
                <w:szCs w:val="22"/>
              </w:rPr>
            </w:pPr>
            <w:r w:rsidRPr="009D3CF9">
              <w:rPr>
                <w:rStyle w:val="normaltextrun"/>
                <w:rFonts w:asciiTheme="minorHAnsi" w:hAnsiTheme="minorHAnsi" w:cstheme="minorHAnsi"/>
                <w:b/>
                <w:bCs/>
                <w:sz w:val="22"/>
                <w:szCs w:val="22"/>
                <w:lang w:val="en-AU"/>
              </w:rPr>
              <w:t>Action for GP</w:t>
            </w:r>
            <w:r w:rsidRPr="009D3CF9">
              <w:rPr>
                <w:rStyle w:val="eop"/>
                <w:rFonts w:asciiTheme="minorHAnsi" w:hAnsiTheme="minorHAnsi" w:cstheme="minorHAnsi"/>
                <w:sz w:val="22"/>
                <w:szCs w:val="22"/>
              </w:rPr>
              <w:t> </w:t>
            </w:r>
          </w:p>
        </w:tc>
      </w:tr>
      <w:tr w:rsidR="00520DB2" w:rsidRPr="00B22880" w14:paraId="385565AD" w14:textId="77777777" w:rsidTr="00B562C7">
        <w:trPr>
          <w:trHeight w:val="255"/>
        </w:trPr>
        <w:tc>
          <w:tcPr>
            <w:tcW w:w="1411" w:type="dxa"/>
            <w:vMerge/>
            <w:vAlign w:val="center"/>
            <w:hideMark/>
          </w:tcPr>
          <w:p w14:paraId="3B543D82" w14:textId="77777777" w:rsidR="00B525B3" w:rsidRPr="009D3CF9" w:rsidRDefault="00B525B3" w:rsidP="00B525B3">
            <w:pPr>
              <w:rPr>
                <w:rFonts w:asciiTheme="minorHAnsi" w:hAnsiTheme="minorHAnsi" w:cstheme="minorHAnsi"/>
                <w:sz w:val="22"/>
                <w:szCs w:val="22"/>
              </w:rPr>
            </w:pPr>
          </w:p>
        </w:tc>
        <w:tc>
          <w:tcPr>
            <w:tcW w:w="363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E5F61B" w14:textId="21B4A692" w:rsidR="00B525B3" w:rsidRPr="007774D2" w:rsidRDefault="007C4FC7" w:rsidP="00B525B3">
            <w:pPr>
              <w:pStyle w:val="paragraph"/>
              <w:spacing w:before="0" w:beforeAutospacing="0" w:after="0" w:afterAutospacing="0"/>
              <w:jc w:val="both"/>
              <w:textAlignment w:val="baseline"/>
              <w:rPr>
                <w:rStyle w:val="eop"/>
                <w:rFonts w:asciiTheme="minorHAnsi" w:hAnsiTheme="minorHAnsi" w:cstheme="minorHAnsi"/>
                <w:sz w:val="22"/>
                <w:szCs w:val="22"/>
              </w:rPr>
            </w:pPr>
            <w:r w:rsidRPr="007774D2">
              <w:rPr>
                <w:rStyle w:val="eop"/>
                <w:rFonts w:asciiTheme="minorHAnsi" w:hAnsiTheme="minorHAnsi" w:cstheme="minorHAnsi"/>
                <w:sz w:val="22"/>
                <w:szCs w:val="22"/>
              </w:rPr>
              <w:t>Hypokalaemia (potassium equal to or less than 3.5mmol/L)</w:t>
            </w:r>
          </w:p>
          <w:p w14:paraId="5360BAE6" w14:textId="77777777" w:rsidR="007C4FC7" w:rsidRPr="00B562C7"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19ED57B0" w14:textId="3EF31634" w:rsidR="007C4FC7" w:rsidRPr="007774D2" w:rsidRDefault="002B6477"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Gastrointestinal</w:t>
            </w:r>
            <w:r w:rsidR="007C4FC7" w:rsidRPr="007774D2">
              <w:rPr>
                <w:rFonts w:asciiTheme="minorHAnsi" w:hAnsiTheme="minorHAnsi" w:cstheme="minorHAnsi"/>
                <w:sz w:val="22"/>
                <w:szCs w:val="22"/>
              </w:rPr>
              <w:t xml:space="preserve"> upset </w:t>
            </w:r>
          </w:p>
          <w:p w14:paraId="6E4970D2"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72057B84"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5F44C13A"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Nausea and Vomiting </w:t>
            </w:r>
          </w:p>
          <w:p w14:paraId="2394118E" w14:textId="77777777" w:rsidR="007C4FC7" w:rsidRPr="00B562C7"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735A4EF8" w14:textId="77777777" w:rsidR="007C4FC7" w:rsidRPr="00B562C7"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02103877" w14:textId="77777777" w:rsidR="00022EAC" w:rsidRPr="007774D2" w:rsidRDefault="00022EAC" w:rsidP="00B525B3">
            <w:pPr>
              <w:pStyle w:val="paragraph"/>
              <w:spacing w:before="0" w:beforeAutospacing="0" w:after="0" w:afterAutospacing="0"/>
              <w:jc w:val="both"/>
              <w:textAlignment w:val="baseline"/>
              <w:rPr>
                <w:rFonts w:asciiTheme="minorHAnsi" w:hAnsiTheme="minorHAnsi" w:cstheme="minorHAnsi"/>
                <w:sz w:val="22"/>
                <w:szCs w:val="22"/>
              </w:rPr>
            </w:pPr>
          </w:p>
          <w:p w14:paraId="3E78996D" w14:textId="2D3FC25D"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Oedema (Lokelma specific)</w:t>
            </w:r>
          </w:p>
          <w:p w14:paraId="6DBA038D"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0D3D7A3E"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2D2E245D"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58B69EBF" w14:textId="77777777" w:rsidR="0033129F" w:rsidRPr="007774D2" w:rsidRDefault="0033129F" w:rsidP="00B525B3">
            <w:pPr>
              <w:pStyle w:val="paragraph"/>
              <w:spacing w:before="0" w:beforeAutospacing="0" w:after="0" w:afterAutospacing="0"/>
              <w:jc w:val="both"/>
              <w:textAlignment w:val="baseline"/>
              <w:rPr>
                <w:rFonts w:asciiTheme="minorHAnsi" w:hAnsiTheme="minorHAnsi" w:cstheme="minorHAnsi"/>
                <w:sz w:val="22"/>
                <w:szCs w:val="22"/>
              </w:rPr>
            </w:pPr>
          </w:p>
          <w:p w14:paraId="3739815C" w14:textId="77777777" w:rsidR="00022EAC" w:rsidRPr="007774D2" w:rsidRDefault="00022EAC" w:rsidP="00B525B3">
            <w:pPr>
              <w:pStyle w:val="paragraph"/>
              <w:spacing w:before="0" w:beforeAutospacing="0" w:after="0" w:afterAutospacing="0"/>
              <w:jc w:val="both"/>
              <w:textAlignment w:val="baseline"/>
              <w:rPr>
                <w:rFonts w:asciiTheme="minorHAnsi" w:hAnsiTheme="minorHAnsi" w:cstheme="minorHAnsi"/>
                <w:sz w:val="22"/>
                <w:szCs w:val="22"/>
              </w:rPr>
            </w:pPr>
          </w:p>
          <w:p w14:paraId="1AF4B164" w14:textId="0DD89C15"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Hypomagnesaemia (</w:t>
            </w:r>
            <w:proofErr w:type="spellStart"/>
            <w:r w:rsidR="003243DF">
              <w:rPr>
                <w:rFonts w:asciiTheme="minorHAnsi" w:hAnsiTheme="minorHAnsi" w:cstheme="minorHAnsi"/>
                <w:sz w:val="22"/>
                <w:szCs w:val="22"/>
              </w:rPr>
              <w:t>Veltassa</w:t>
            </w:r>
            <w:proofErr w:type="spellEnd"/>
            <w:r w:rsidRPr="007774D2">
              <w:rPr>
                <w:rFonts w:asciiTheme="minorHAnsi" w:hAnsiTheme="minorHAnsi" w:cstheme="minorHAnsi"/>
                <w:sz w:val="22"/>
                <w:szCs w:val="22"/>
              </w:rPr>
              <w:t xml:space="preserve"> specific)</w:t>
            </w:r>
          </w:p>
          <w:p w14:paraId="45167D0F"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2C0A7714"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0CD07001" w14:textId="77777777" w:rsidR="00AE1ABC" w:rsidRPr="00B562C7" w:rsidRDefault="00AE1ABC" w:rsidP="00B525B3">
            <w:pPr>
              <w:pStyle w:val="paragraph"/>
              <w:spacing w:before="0" w:beforeAutospacing="0" w:after="0" w:afterAutospacing="0"/>
              <w:jc w:val="both"/>
              <w:textAlignment w:val="baseline"/>
              <w:rPr>
                <w:sz w:val="22"/>
                <w:szCs w:val="22"/>
              </w:rPr>
            </w:pPr>
          </w:p>
          <w:p w14:paraId="72967CB3" w14:textId="77777777" w:rsidR="00CD297A" w:rsidRPr="007774D2" w:rsidRDefault="00CD297A" w:rsidP="00B525B3">
            <w:pPr>
              <w:pStyle w:val="paragraph"/>
              <w:spacing w:before="0" w:beforeAutospacing="0" w:after="0" w:afterAutospacing="0"/>
              <w:jc w:val="both"/>
              <w:textAlignment w:val="baseline"/>
              <w:rPr>
                <w:rFonts w:asciiTheme="minorHAnsi" w:hAnsiTheme="minorHAnsi" w:cstheme="minorHAnsi"/>
                <w:sz w:val="22"/>
                <w:szCs w:val="22"/>
              </w:rPr>
            </w:pPr>
          </w:p>
          <w:p w14:paraId="0BBC1362" w14:textId="4208860C"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Hypercalcaemia </w:t>
            </w:r>
          </w:p>
          <w:p w14:paraId="7FBF1723" w14:textId="7A04BA6F"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(Corrected calcium more than 2.6mmol/L, note range may vary according to local laboratories – </w:t>
            </w:r>
            <w:proofErr w:type="spellStart"/>
            <w:r w:rsidR="003243DF">
              <w:rPr>
                <w:rFonts w:asciiTheme="minorHAnsi" w:hAnsiTheme="minorHAnsi" w:cstheme="minorHAnsi"/>
                <w:sz w:val="22"/>
                <w:szCs w:val="22"/>
              </w:rPr>
              <w:t>Veltassa</w:t>
            </w:r>
            <w:proofErr w:type="spellEnd"/>
            <w:r w:rsidRPr="007774D2">
              <w:rPr>
                <w:rFonts w:asciiTheme="minorHAnsi" w:hAnsiTheme="minorHAnsi" w:cstheme="minorHAnsi"/>
                <w:sz w:val="22"/>
                <w:szCs w:val="22"/>
              </w:rPr>
              <w:t xml:space="preserve"> specific)</w:t>
            </w:r>
          </w:p>
          <w:p w14:paraId="59071F14"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3BAF649E"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29C87C7E" w14:textId="63A5BB4B"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C197873" w14:textId="77777777" w:rsidR="00B525B3"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lastRenderedPageBreak/>
              <w:t>Common</w:t>
            </w:r>
          </w:p>
          <w:p w14:paraId="654D5992"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3FBF9522"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336150E7"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Common</w:t>
            </w:r>
          </w:p>
          <w:p w14:paraId="2133F266"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55109102"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3D2E9F98"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Uncommon</w:t>
            </w:r>
          </w:p>
          <w:p w14:paraId="77554196"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3A06CCF4"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0D1100CF" w14:textId="77777777" w:rsidR="00022EAC" w:rsidRPr="007774D2" w:rsidRDefault="00022EAC" w:rsidP="00B525B3">
            <w:pPr>
              <w:pStyle w:val="paragraph"/>
              <w:spacing w:before="0" w:beforeAutospacing="0" w:after="0" w:afterAutospacing="0"/>
              <w:jc w:val="both"/>
              <w:textAlignment w:val="baseline"/>
              <w:rPr>
                <w:rFonts w:asciiTheme="minorHAnsi" w:hAnsiTheme="minorHAnsi" w:cstheme="minorHAnsi"/>
                <w:sz w:val="22"/>
                <w:szCs w:val="22"/>
              </w:rPr>
            </w:pPr>
          </w:p>
          <w:p w14:paraId="6493E49E" w14:textId="6E4CA2DE"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Common</w:t>
            </w:r>
          </w:p>
          <w:p w14:paraId="4426E7AE"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37B2218D"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17A8EB89"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0F9E9EB6" w14:textId="77777777" w:rsidR="0033129F" w:rsidRPr="007774D2" w:rsidRDefault="0033129F" w:rsidP="00B525B3">
            <w:pPr>
              <w:pStyle w:val="paragraph"/>
              <w:spacing w:before="0" w:beforeAutospacing="0" w:after="0" w:afterAutospacing="0"/>
              <w:jc w:val="both"/>
              <w:textAlignment w:val="baseline"/>
              <w:rPr>
                <w:rFonts w:asciiTheme="minorHAnsi" w:hAnsiTheme="minorHAnsi" w:cstheme="minorHAnsi"/>
                <w:sz w:val="22"/>
                <w:szCs w:val="22"/>
              </w:rPr>
            </w:pPr>
          </w:p>
          <w:p w14:paraId="7EB5C84A" w14:textId="77777777" w:rsidR="00022EAC" w:rsidRPr="007774D2" w:rsidRDefault="00022EAC" w:rsidP="00B525B3">
            <w:pPr>
              <w:pStyle w:val="paragraph"/>
              <w:spacing w:before="0" w:beforeAutospacing="0" w:after="0" w:afterAutospacing="0"/>
              <w:jc w:val="both"/>
              <w:textAlignment w:val="baseline"/>
              <w:rPr>
                <w:rFonts w:asciiTheme="minorHAnsi" w:hAnsiTheme="minorHAnsi" w:cstheme="minorHAnsi"/>
                <w:sz w:val="22"/>
                <w:szCs w:val="22"/>
              </w:rPr>
            </w:pPr>
          </w:p>
          <w:p w14:paraId="5E4D5563" w14:textId="67ECB3AC"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Common</w:t>
            </w:r>
          </w:p>
          <w:p w14:paraId="30786EA4"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59B5CC9F"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36AC01FD" w14:textId="7777777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p>
          <w:p w14:paraId="7A1BB1B3" w14:textId="77777777" w:rsidR="00CD297A" w:rsidRPr="007774D2" w:rsidRDefault="00CD297A" w:rsidP="00B525B3">
            <w:pPr>
              <w:pStyle w:val="paragraph"/>
              <w:spacing w:before="0" w:beforeAutospacing="0" w:after="0" w:afterAutospacing="0"/>
              <w:jc w:val="both"/>
              <w:textAlignment w:val="baseline"/>
              <w:rPr>
                <w:rFonts w:asciiTheme="minorHAnsi" w:hAnsiTheme="minorHAnsi" w:cstheme="minorHAnsi"/>
                <w:sz w:val="22"/>
                <w:szCs w:val="22"/>
              </w:rPr>
            </w:pPr>
          </w:p>
          <w:p w14:paraId="0B5CC691" w14:textId="4D8C2857" w:rsidR="00CB294D" w:rsidRPr="007774D2" w:rsidRDefault="00CB294D"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Unknown</w:t>
            </w:r>
          </w:p>
        </w:tc>
        <w:tc>
          <w:tcPr>
            <w:tcW w:w="3656" w:type="dxa"/>
            <w:gridSpan w:val="2"/>
            <w:tcBorders>
              <w:top w:val="single" w:sz="6" w:space="0" w:color="auto"/>
              <w:left w:val="single" w:sz="6" w:space="0" w:color="auto"/>
              <w:bottom w:val="single" w:sz="6" w:space="0" w:color="auto"/>
              <w:right w:val="single" w:sz="6" w:space="0" w:color="auto"/>
            </w:tcBorders>
            <w:shd w:val="clear" w:color="auto" w:fill="FFFFFF" w:themeFill="background1"/>
            <w:hideMark/>
          </w:tcPr>
          <w:p w14:paraId="104D1160" w14:textId="40BA18CF" w:rsidR="00B525B3" w:rsidRPr="007774D2" w:rsidRDefault="007C4FC7" w:rsidP="00B525B3">
            <w:pPr>
              <w:pStyle w:val="paragraph"/>
              <w:spacing w:before="0" w:beforeAutospacing="0" w:after="0" w:afterAutospacing="0"/>
              <w:jc w:val="both"/>
              <w:textAlignment w:val="baseline"/>
              <w:rPr>
                <w:rStyle w:val="eop"/>
                <w:rFonts w:asciiTheme="minorHAnsi" w:hAnsiTheme="minorHAnsi" w:cstheme="minorHAnsi"/>
                <w:sz w:val="22"/>
                <w:szCs w:val="22"/>
              </w:rPr>
            </w:pPr>
            <w:r w:rsidRPr="007774D2">
              <w:rPr>
                <w:rStyle w:val="eop"/>
                <w:rFonts w:asciiTheme="minorHAnsi" w:hAnsiTheme="minorHAnsi" w:cstheme="minorHAnsi"/>
                <w:sz w:val="22"/>
                <w:szCs w:val="22"/>
              </w:rPr>
              <w:lastRenderedPageBreak/>
              <w:t>Stop the medication and inform the initial prescriber.</w:t>
            </w:r>
          </w:p>
          <w:p w14:paraId="43CC7A95" w14:textId="77777777" w:rsidR="007C4FC7" w:rsidRPr="00B562C7" w:rsidRDefault="007C4FC7" w:rsidP="00B525B3">
            <w:pPr>
              <w:pStyle w:val="paragraph"/>
              <w:spacing w:before="0" w:beforeAutospacing="0" w:after="0" w:afterAutospacing="0"/>
              <w:jc w:val="both"/>
              <w:textAlignment w:val="baseline"/>
              <w:rPr>
                <w:rStyle w:val="eop"/>
                <w:rFonts w:asciiTheme="minorHAnsi" w:hAnsiTheme="minorHAnsi" w:cstheme="minorHAnsi"/>
                <w:sz w:val="22"/>
                <w:szCs w:val="22"/>
              </w:rPr>
            </w:pPr>
          </w:p>
          <w:p w14:paraId="7E246000" w14:textId="77777777"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Manage symptomatically, inform the initial prescriber if persistent.</w:t>
            </w:r>
          </w:p>
          <w:p w14:paraId="5A1E142B" w14:textId="77777777" w:rsidR="007C4FC7" w:rsidRPr="00B562C7"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p w14:paraId="60FC60D7" w14:textId="77777777" w:rsidR="007C4FC7" w:rsidRPr="007774D2" w:rsidRDefault="007C4FC7" w:rsidP="007C4FC7">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Manage symptomatically, inform the initial prescriber if persistent.</w:t>
            </w:r>
          </w:p>
          <w:p w14:paraId="5A420857" w14:textId="77777777" w:rsidR="007C4FC7" w:rsidRPr="007774D2" w:rsidRDefault="007C4FC7" w:rsidP="007C4FC7">
            <w:pPr>
              <w:pStyle w:val="paragraph"/>
              <w:spacing w:before="0" w:beforeAutospacing="0" w:after="0" w:afterAutospacing="0"/>
              <w:jc w:val="both"/>
              <w:textAlignment w:val="baseline"/>
              <w:rPr>
                <w:rFonts w:asciiTheme="minorHAnsi" w:hAnsiTheme="minorHAnsi" w:cstheme="minorHAnsi"/>
                <w:sz w:val="22"/>
                <w:szCs w:val="22"/>
              </w:rPr>
            </w:pPr>
          </w:p>
          <w:p w14:paraId="667886F8" w14:textId="77777777" w:rsidR="00022EAC" w:rsidRPr="007774D2" w:rsidRDefault="00022EAC" w:rsidP="007C4FC7">
            <w:pPr>
              <w:pStyle w:val="paragraph"/>
              <w:spacing w:before="0" w:beforeAutospacing="0" w:after="0" w:afterAutospacing="0"/>
              <w:jc w:val="both"/>
              <w:textAlignment w:val="baseline"/>
              <w:rPr>
                <w:rFonts w:asciiTheme="minorHAnsi" w:hAnsiTheme="minorHAnsi" w:cstheme="minorHAnsi"/>
                <w:sz w:val="22"/>
                <w:szCs w:val="22"/>
              </w:rPr>
            </w:pPr>
          </w:p>
          <w:p w14:paraId="737CCB09" w14:textId="65129731" w:rsidR="007C4FC7" w:rsidRPr="007774D2" w:rsidRDefault="007C4FC7" w:rsidP="007C4FC7">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Mostly self-limiting; may require adjustment of diuretic dose. If persistent</w:t>
            </w:r>
            <w:r w:rsidR="00CB294D" w:rsidRPr="007774D2">
              <w:rPr>
                <w:rFonts w:asciiTheme="minorHAnsi" w:hAnsiTheme="minorHAnsi" w:cstheme="minorHAnsi"/>
                <w:sz w:val="22"/>
                <w:szCs w:val="22"/>
              </w:rPr>
              <w:t xml:space="preserve">, </w:t>
            </w:r>
            <w:r w:rsidR="00B562C7" w:rsidRPr="007774D2">
              <w:rPr>
                <w:rFonts w:asciiTheme="minorHAnsi" w:hAnsiTheme="minorHAnsi" w:cstheme="minorHAnsi"/>
                <w:sz w:val="22"/>
                <w:szCs w:val="22"/>
              </w:rPr>
              <w:t>refer</w:t>
            </w:r>
            <w:r w:rsidR="00CB294D" w:rsidRPr="007774D2">
              <w:rPr>
                <w:rFonts w:asciiTheme="minorHAnsi" w:hAnsiTheme="minorHAnsi" w:cstheme="minorHAnsi"/>
                <w:sz w:val="22"/>
                <w:szCs w:val="22"/>
              </w:rPr>
              <w:t xml:space="preserve"> to initial prescriber.</w:t>
            </w:r>
          </w:p>
          <w:p w14:paraId="715737AA" w14:textId="77777777" w:rsidR="00CB294D" w:rsidRPr="007774D2" w:rsidRDefault="00CB294D" w:rsidP="007C4FC7">
            <w:pPr>
              <w:pStyle w:val="paragraph"/>
              <w:spacing w:before="0" w:beforeAutospacing="0" w:after="0" w:afterAutospacing="0"/>
              <w:jc w:val="both"/>
              <w:textAlignment w:val="baseline"/>
              <w:rPr>
                <w:rFonts w:asciiTheme="minorHAnsi" w:hAnsiTheme="minorHAnsi" w:cstheme="minorHAnsi"/>
                <w:sz w:val="22"/>
                <w:szCs w:val="22"/>
              </w:rPr>
            </w:pPr>
          </w:p>
          <w:p w14:paraId="74FE7A51" w14:textId="77777777" w:rsidR="00CD297A" w:rsidRPr="007774D2" w:rsidRDefault="00CD297A" w:rsidP="007C4FC7">
            <w:pPr>
              <w:pStyle w:val="paragraph"/>
              <w:spacing w:before="0" w:beforeAutospacing="0" w:after="0" w:afterAutospacing="0"/>
              <w:jc w:val="both"/>
              <w:textAlignment w:val="baseline"/>
              <w:rPr>
                <w:rFonts w:asciiTheme="minorHAnsi" w:hAnsiTheme="minorHAnsi" w:cstheme="minorHAnsi"/>
                <w:sz w:val="22"/>
                <w:szCs w:val="22"/>
              </w:rPr>
            </w:pPr>
          </w:p>
          <w:p w14:paraId="39FE094C" w14:textId="77777777" w:rsidR="00B562C7" w:rsidRDefault="00B562C7" w:rsidP="007C4FC7">
            <w:pPr>
              <w:pStyle w:val="paragraph"/>
              <w:spacing w:before="0" w:beforeAutospacing="0" w:after="0" w:afterAutospacing="0"/>
              <w:jc w:val="both"/>
              <w:textAlignment w:val="baseline"/>
              <w:rPr>
                <w:rFonts w:asciiTheme="minorHAnsi" w:hAnsiTheme="minorHAnsi" w:cstheme="minorHAnsi"/>
                <w:sz w:val="22"/>
                <w:szCs w:val="22"/>
              </w:rPr>
            </w:pPr>
          </w:p>
          <w:p w14:paraId="7E9D6A91" w14:textId="63EA990A" w:rsidR="00CB294D" w:rsidRPr="007774D2" w:rsidRDefault="00CB294D" w:rsidP="007C4FC7">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This usually occurs during the initiation </w:t>
            </w:r>
            <w:proofErr w:type="gramStart"/>
            <w:r w:rsidRPr="007774D2">
              <w:rPr>
                <w:rFonts w:asciiTheme="minorHAnsi" w:hAnsiTheme="minorHAnsi" w:cstheme="minorHAnsi"/>
                <w:sz w:val="22"/>
                <w:szCs w:val="22"/>
              </w:rPr>
              <w:t>phase, before</w:t>
            </w:r>
            <w:proofErr w:type="gramEnd"/>
            <w:r w:rsidRPr="007774D2">
              <w:rPr>
                <w:rFonts w:asciiTheme="minorHAnsi" w:hAnsiTheme="minorHAnsi" w:cstheme="minorHAnsi"/>
                <w:sz w:val="22"/>
                <w:szCs w:val="22"/>
              </w:rPr>
              <w:t xml:space="preserve"> transfer to secondary care. Inform the initial prescriber if persistent.</w:t>
            </w:r>
          </w:p>
          <w:p w14:paraId="5D09D2E4" w14:textId="77777777" w:rsidR="00CD297A" w:rsidRPr="007774D2" w:rsidRDefault="00CD297A" w:rsidP="007C4FC7">
            <w:pPr>
              <w:pStyle w:val="paragraph"/>
              <w:spacing w:before="0" w:beforeAutospacing="0" w:after="0" w:afterAutospacing="0"/>
              <w:jc w:val="both"/>
              <w:textAlignment w:val="baseline"/>
              <w:rPr>
                <w:rFonts w:asciiTheme="minorHAnsi" w:hAnsiTheme="minorHAnsi" w:cstheme="minorHAnsi"/>
                <w:sz w:val="22"/>
                <w:szCs w:val="22"/>
              </w:rPr>
            </w:pPr>
          </w:p>
          <w:p w14:paraId="119EF7A1" w14:textId="682A7C8E" w:rsidR="00CB294D" w:rsidRPr="007774D2" w:rsidRDefault="00CB294D" w:rsidP="007C4FC7">
            <w:pPr>
              <w:pStyle w:val="paragraph"/>
              <w:spacing w:before="0" w:beforeAutospacing="0" w:after="0" w:afterAutospacing="0"/>
              <w:jc w:val="both"/>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Down titrate dose by 8.4g daily or discontinue </w:t>
            </w:r>
            <w:proofErr w:type="spellStart"/>
            <w:r w:rsidR="003243DF">
              <w:rPr>
                <w:rFonts w:asciiTheme="minorHAnsi" w:hAnsiTheme="minorHAnsi" w:cstheme="minorHAnsi"/>
                <w:sz w:val="22"/>
                <w:szCs w:val="22"/>
              </w:rPr>
              <w:t>Veltassa</w:t>
            </w:r>
            <w:proofErr w:type="spellEnd"/>
            <w:r w:rsidRPr="007774D2">
              <w:rPr>
                <w:rFonts w:asciiTheme="minorHAnsi" w:hAnsiTheme="minorHAnsi" w:cstheme="minorHAnsi"/>
                <w:sz w:val="22"/>
                <w:szCs w:val="22"/>
              </w:rPr>
              <w:t xml:space="preserve"> if causing persistent hypercalcaemia once all calcium supplements have been rationalised. Notify </w:t>
            </w:r>
            <w:r w:rsidR="003F5AA4" w:rsidRPr="007774D2">
              <w:rPr>
                <w:rFonts w:asciiTheme="minorHAnsi" w:hAnsiTheme="minorHAnsi" w:cstheme="minorHAnsi"/>
                <w:sz w:val="22"/>
                <w:szCs w:val="22"/>
              </w:rPr>
              <w:t>specialist as dose of RAASi therapy may also need to be adjusted. If hypercalcaemia continues then consider using alternative potassium binder (sodium zirconium).</w:t>
            </w:r>
          </w:p>
          <w:p w14:paraId="2125C788" w14:textId="77777777" w:rsidR="00CB294D" w:rsidRPr="007774D2" w:rsidRDefault="00CB294D" w:rsidP="007C4FC7">
            <w:pPr>
              <w:pStyle w:val="paragraph"/>
              <w:spacing w:before="0" w:beforeAutospacing="0" w:after="0" w:afterAutospacing="0"/>
              <w:jc w:val="both"/>
              <w:textAlignment w:val="baseline"/>
              <w:rPr>
                <w:rFonts w:asciiTheme="minorHAnsi" w:hAnsiTheme="minorHAnsi" w:cstheme="minorHAnsi"/>
                <w:sz w:val="22"/>
                <w:szCs w:val="22"/>
              </w:rPr>
            </w:pPr>
          </w:p>
          <w:p w14:paraId="013A6586" w14:textId="28F256CA" w:rsidR="007C4FC7" w:rsidRPr="007774D2" w:rsidRDefault="007C4FC7" w:rsidP="00B525B3">
            <w:pPr>
              <w:pStyle w:val="paragraph"/>
              <w:spacing w:before="0" w:beforeAutospacing="0" w:after="0" w:afterAutospacing="0"/>
              <w:jc w:val="both"/>
              <w:textAlignment w:val="baseline"/>
              <w:rPr>
                <w:rFonts w:asciiTheme="minorHAnsi" w:hAnsiTheme="minorHAnsi" w:cstheme="minorHAnsi"/>
                <w:sz w:val="22"/>
                <w:szCs w:val="22"/>
              </w:rPr>
            </w:pPr>
          </w:p>
        </w:tc>
      </w:tr>
      <w:tr w:rsidR="00B525B3" w:rsidRPr="00B22880" w14:paraId="6571EC73" w14:textId="77777777" w:rsidTr="00B562C7">
        <w:trPr>
          <w:trHeight w:val="255"/>
        </w:trPr>
        <w:tc>
          <w:tcPr>
            <w:tcW w:w="1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2A66D4" w14:textId="77777777" w:rsidR="00B525B3" w:rsidRPr="009D3CF9" w:rsidRDefault="00B525B3" w:rsidP="00B525B3">
            <w:pPr>
              <w:pStyle w:val="paragraph"/>
              <w:spacing w:before="0" w:beforeAutospacing="0" w:after="0" w:afterAutospacing="0"/>
              <w:textAlignment w:val="baseline"/>
              <w:rPr>
                <w:rFonts w:asciiTheme="minorHAnsi" w:hAnsiTheme="minorHAnsi" w:cstheme="minorHAnsi"/>
                <w:sz w:val="22"/>
                <w:szCs w:val="22"/>
              </w:rPr>
            </w:pPr>
            <w:r w:rsidRPr="009D3CF9">
              <w:rPr>
                <w:rStyle w:val="normaltextrun"/>
                <w:rFonts w:asciiTheme="minorHAnsi" w:hAnsiTheme="minorHAnsi" w:cstheme="minorHAnsi"/>
                <w:b/>
                <w:bCs/>
                <w:sz w:val="22"/>
                <w:szCs w:val="22"/>
                <w:lang w:val="en-AU"/>
              </w:rPr>
              <w:lastRenderedPageBreak/>
              <w:t>Advice to patients and carers</w:t>
            </w:r>
            <w:r w:rsidRPr="009D3CF9">
              <w:rPr>
                <w:rStyle w:val="eop"/>
                <w:rFonts w:asciiTheme="minorHAnsi" w:hAnsiTheme="minorHAnsi" w:cstheme="minorHAnsi"/>
                <w:sz w:val="22"/>
                <w:szCs w:val="22"/>
              </w:rPr>
              <w:t> </w:t>
            </w:r>
          </w:p>
          <w:p w14:paraId="58B7B52C" w14:textId="77777777" w:rsidR="00B525B3" w:rsidRPr="009D3CF9" w:rsidRDefault="00B525B3" w:rsidP="00B525B3">
            <w:pPr>
              <w:pStyle w:val="paragraph"/>
              <w:spacing w:before="0" w:beforeAutospacing="0" w:after="0" w:afterAutospacing="0"/>
              <w:textAlignment w:val="baseline"/>
              <w:rPr>
                <w:rFonts w:asciiTheme="minorHAnsi" w:hAnsiTheme="minorHAnsi" w:cstheme="minorHAnsi"/>
                <w:sz w:val="22"/>
                <w:szCs w:val="22"/>
              </w:rPr>
            </w:pPr>
            <w:r w:rsidRPr="009D3CF9">
              <w:rPr>
                <w:rStyle w:val="eop"/>
                <w:rFonts w:asciiTheme="minorHAnsi" w:hAnsiTheme="minorHAnsi" w:cstheme="minorHAnsi"/>
                <w:sz w:val="22"/>
                <w:szCs w:val="22"/>
              </w:rPr>
              <w:t> </w:t>
            </w:r>
          </w:p>
          <w:p w14:paraId="1AAE30E1" w14:textId="77777777" w:rsidR="00B525B3" w:rsidRPr="009D3CF9" w:rsidRDefault="00B525B3" w:rsidP="00B525B3">
            <w:pPr>
              <w:pStyle w:val="paragraph"/>
              <w:spacing w:before="0" w:beforeAutospacing="0" w:after="0" w:afterAutospacing="0"/>
              <w:textAlignment w:val="baseline"/>
              <w:rPr>
                <w:rFonts w:asciiTheme="minorHAnsi" w:hAnsiTheme="minorHAnsi" w:cstheme="minorHAnsi"/>
                <w:sz w:val="22"/>
                <w:szCs w:val="22"/>
              </w:rPr>
            </w:pPr>
          </w:p>
        </w:tc>
        <w:tc>
          <w:tcPr>
            <w:tcW w:w="8993"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49CF47B4" w14:textId="6BF75C6E" w:rsidR="00114DD7" w:rsidRPr="007774D2" w:rsidRDefault="00114DD7" w:rsidP="00114DD7">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r w:rsidRPr="00B562C7">
              <w:rPr>
                <w:rStyle w:val="normaltextrun"/>
                <w:rFonts w:asciiTheme="minorHAnsi" w:hAnsiTheme="minorHAnsi" w:cstheme="minorHAnsi"/>
                <w:sz w:val="22"/>
                <w:szCs w:val="22"/>
                <w:lang w:val="en-AU"/>
              </w:rPr>
              <w:t>To inform specialist or GP of any other medication being taken, including over-the-counter products.</w:t>
            </w:r>
          </w:p>
          <w:p w14:paraId="6C07280A" w14:textId="77777777" w:rsidR="00114DD7" w:rsidRPr="00B562C7" w:rsidRDefault="00114DD7" w:rsidP="00114DD7">
            <w:pPr>
              <w:pStyle w:val="paragraph"/>
              <w:spacing w:before="0" w:beforeAutospacing="0" w:after="0" w:afterAutospacing="0"/>
              <w:jc w:val="both"/>
              <w:textAlignment w:val="baseline"/>
              <w:rPr>
                <w:rStyle w:val="normaltextrun"/>
                <w:rFonts w:asciiTheme="minorHAnsi" w:hAnsiTheme="minorHAnsi" w:cstheme="minorHAnsi"/>
                <w:i/>
                <w:iCs/>
                <w:sz w:val="22"/>
                <w:szCs w:val="22"/>
                <w:lang w:val="en-AU"/>
              </w:rPr>
            </w:pPr>
          </w:p>
          <w:p w14:paraId="4EB0A41F" w14:textId="64C02DD2" w:rsidR="00114DD7" w:rsidRPr="007774D2" w:rsidRDefault="00114DD7" w:rsidP="00114DD7">
            <w:pPr>
              <w:pStyle w:val="paragraph"/>
              <w:spacing w:before="0" w:beforeAutospacing="0" w:after="0" w:afterAutospacing="0"/>
              <w:jc w:val="both"/>
              <w:textAlignment w:val="baseline"/>
              <w:rPr>
                <w:rStyle w:val="eop"/>
                <w:rFonts w:asciiTheme="minorHAnsi" w:hAnsiTheme="minorHAnsi" w:cstheme="minorHAnsi"/>
                <w:sz w:val="22"/>
                <w:szCs w:val="22"/>
              </w:rPr>
            </w:pPr>
            <w:r w:rsidRPr="00B562C7">
              <w:rPr>
                <w:rStyle w:val="eop"/>
                <w:rFonts w:asciiTheme="minorHAnsi" w:hAnsiTheme="minorHAnsi" w:cstheme="minorHAnsi"/>
                <w:sz w:val="22"/>
                <w:szCs w:val="22"/>
              </w:rPr>
              <w:t>Report any adverse effects or warning symptoms as outlined in ‘Adverse effects and managements’ to the GP or specialist.</w:t>
            </w:r>
          </w:p>
          <w:p w14:paraId="69AB9507" w14:textId="77777777" w:rsidR="00766039" w:rsidRPr="007774D2" w:rsidRDefault="00766039" w:rsidP="00114DD7">
            <w:pPr>
              <w:pStyle w:val="paragraph"/>
              <w:spacing w:before="0" w:beforeAutospacing="0" w:after="0" w:afterAutospacing="0"/>
              <w:jc w:val="both"/>
              <w:textAlignment w:val="baseline"/>
              <w:rPr>
                <w:rStyle w:val="eop"/>
                <w:rFonts w:asciiTheme="minorHAnsi" w:hAnsiTheme="minorHAnsi" w:cstheme="minorHAnsi"/>
                <w:sz w:val="22"/>
                <w:szCs w:val="22"/>
              </w:rPr>
            </w:pPr>
          </w:p>
          <w:p w14:paraId="773DE0D5" w14:textId="2A70F2F5" w:rsidR="00766039" w:rsidRPr="007774D2" w:rsidRDefault="00CD297A" w:rsidP="00766039">
            <w:pPr>
              <w:pStyle w:val="Default"/>
              <w:rPr>
                <w:rFonts w:asciiTheme="minorHAnsi" w:hAnsiTheme="minorHAnsi" w:cstheme="minorHAnsi"/>
                <w:sz w:val="22"/>
                <w:szCs w:val="22"/>
              </w:rPr>
            </w:pPr>
            <w:r w:rsidRPr="007774D2">
              <w:rPr>
                <w:rFonts w:asciiTheme="minorHAnsi" w:hAnsiTheme="minorHAnsi" w:cstheme="minorHAnsi"/>
                <w:sz w:val="22"/>
                <w:szCs w:val="22"/>
              </w:rPr>
              <w:t>Lokelma</w:t>
            </w:r>
            <w:r w:rsidR="00766039" w:rsidRPr="007774D2">
              <w:rPr>
                <w:rFonts w:asciiTheme="minorHAnsi" w:hAnsiTheme="minorHAnsi" w:cstheme="minorHAnsi"/>
                <w:sz w:val="22"/>
                <w:szCs w:val="22"/>
              </w:rPr>
              <w:t xml:space="preserve"> – make up in 45ml of water and stir well. The powder will not dissolve. Administer azole antifungals, anti-HIV drugs and tyrosine kinase inhibitors 2 hours before or after sodium zirconium cyclosilicate.</w:t>
            </w:r>
          </w:p>
          <w:p w14:paraId="1BE734E1" w14:textId="77777777" w:rsidR="00766039" w:rsidRPr="007774D2" w:rsidRDefault="00766039" w:rsidP="00766039">
            <w:pPr>
              <w:pStyle w:val="Default"/>
              <w:rPr>
                <w:rFonts w:asciiTheme="minorHAnsi" w:hAnsiTheme="minorHAnsi" w:cstheme="minorHAnsi"/>
                <w:sz w:val="22"/>
                <w:szCs w:val="22"/>
              </w:rPr>
            </w:pPr>
          </w:p>
          <w:p w14:paraId="0FE46BFD" w14:textId="34A38580" w:rsidR="00766039" w:rsidRPr="007774D2" w:rsidRDefault="003243DF" w:rsidP="00766039">
            <w:pPr>
              <w:pStyle w:val="Default"/>
              <w:rPr>
                <w:rFonts w:asciiTheme="minorHAnsi" w:hAnsiTheme="minorHAnsi" w:cstheme="minorHAnsi"/>
                <w:sz w:val="22"/>
                <w:szCs w:val="22"/>
              </w:rPr>
            </w:pPr>
            <w:proofErr w:type="spellStart"/>
            <w:r>
              <w:rPr>
                <w:rFonts w:asciiTheme="minorHAnsi" w:hAnsiTheme="minorHAnsi" w:cstheme="minorHAnsi"/>
                <w:sz w:val="22"/>
                <w:szCs w:val="22"/>
              </w:rPr>
              <w:t>Veltassa</w:t>
            </w:r>
            <w:proofErr w:type="spellEnd"/>
            <w:r w:rsidR="00766039" w:rsidRPr="007774D2">
              <w:rPr>
                <w:rFonts w:asciiTheme="minorHAnsi" w:hAnsiTheme="minorHAnsi" w:cstheme="minorHAnsi"/>
                <w:sz w:val="22"/>
                <w:szCs w:val="22"/>
              </w:rPr>
              <w:t xml:space="preserve"> – make up in 40ml of water or apple juice and stir well. The powder will not dissolve. Take within an hour of initial suspension. Can be taken with or without food. Separate dose by at least 3 hours from other medications.  Stored in the fridge but patients may store below 25</w:t>
            </w:r>
            <w:r w:rsidR="00766039" w:rsidRPr="007774D2">
              <w:rPr>
                <w:rFonts w:ascii="Cambria Math" w:hAnsi="Cambria Math" w:cs="Cambria Math"/>
                <w:sz w:val="22"/>
                <w:szCs w:val="22"/>
              </w:rPr>
              <w:t>℃</w:t>
            </w:r>
            <w:r w:rsidR="00766039" w:rsidRPr="007774D2">
              <w:rPr>
                <w:rFonts w:asciiTheme="minorHAnsi" w:hAnsiTheme="minorHAnsi" w:cstheme="minorHAnsi"/>
                <w:sz w:val="22"/>
                <w:szCs w:val="22"/>
              </w:rPr>
              <w:t xml:space="preserve"> for up to 6 months.</w:t>
            </w:r>
          </w:p>
          <w:p w14:paraId="3B667A63" w14:textId="77777777" w:rsidR="00B525B3" w:rsidRPr="009D3CF9" w:rsidRDefault="00B525B3" w:rsidP="00B525B3">
            <w:pPr>
              <w:pStyle w:val="paragraph"/>
              <w:spacing w:before="0" w:after="0"/>
              <w:jc w:val="both"/>
              <w:textAlignment w:val="baseline"/>
              <w:rPr>
                <w:rFonts w:asciiTheme="minorHAnsi" w:hAnsiTheme="minorHAnsi" w:cstheme="minorHAnsi"/>
                <w:sz w:val="22"/>
                <w:szCs w:val="22"/>
              </w:rPr>
            </w:pPr>
          </w:p>
        </w:tc>
      </w:tr>
      <w:tr w:rsidR="00B525B3" w:rsidRPr="00B22880" w14:paraId="2F656239" w14:textId="77777777" w:rsidTr="00B562C7">
        <w:trPr>
          <w:trHeight w:val="255"/>
        </w:trPr>
        <w:tc>
          <w:tcPr>
            <w:tcW w:w="1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88D25D" w14:textId="77777777" w:rsidR="00B525B3" w:rsidRPr="009D3CF9" w:rsidRDefault="00B525B3" w:rsidP="00B525B3">
            <w:pPr>
              <w:pStyle w:val="paragraph"/>
              <w:spacing w:before="0" w:beforeAutospacing="0" w:after="0" w:afterAutospacing="0"/>
              <w:textAlignment w:val="baseline"/>
              <w:rPr>
                <w:rFonts w:asciiTheme="minorHAnsi" w:hAnsiTheme="minorHAnsi" w:cstheme="minorHAnsi"/>
                <w:sz w:val="22"/>
                <w:szCs w:val="22"/>
              </w:rPr>
            </w:pPr>
            <w:r w:rsidRPr="009D3CF9">
              <w:rPr>
                <w:rStyle w:val="normaltextrun"/>
                <w:rFonts w:asciiTheme="minorHAnsi" w:hAnsiTheme="minorHAnsi" w:cstheme="minorHAnsi"/>
                <w:b/>
                <w:bCs/>
                <w:sz w:val="22"/>
                <w:szCs w:val="22"/>
                <w:lang w:val="en-AU"/>
              </w:rPr>
              <w:t>Resources and key references</w:t>
            </w:r>
            <w:r w:rsidRPr="009D3CF9">
              <w:rPr>
                <w:rStyle w:val="eop"/>
                <w:rFonts w:asciiTheme="minorHAnsi" w:hAnsiTheme="minorHAnsi" w:cstheme="minorHAnsi"/>
                <w:sz w:val="22"/>
                <w:szCs w:val="22"/>
              </w:rPr>
              <w:t> </w:t>
            </w:r>
          </w:p>
          <w:p w14:paraId="41FB2AC7" w14:textId="77777777" w:rsidR="00B525B3" w:rsidRPr="009D3CF9" w:rsidRDefault="00B525B3" w:rsidP="00B525B3">
            <w:pPr>
              <w:pStyle w:val="paragraph"/>
              <w:spacing w:before="0" w:beforeAutospacing="0" w:after="0" w:afterAutospacing="0"/>
              <w:textAlignment w:val="baseline"/>
              <w:rPr>
                <w:rFonts w:asciiTheme="minorHAnsi" w:hAnsiTheme="minorHAnsi" w:cstheme="minorHAnsi"/>
                <w:sz w:val="22"/>
                <w:szCs w:val="22"/>
              </w:rPr>
            </w:pPr>
            <w:r w:rsidRPr="009D3CF9">
              <w:rPr>
                <w:rStyle w:val="eop"/>
                <w:rFonts w:asciiTheme="minorHAnsi" w:hAnsiTheme="minorHAnsi" w:cstheme="minorHAnsi"/>
                <w:sz w:val="22"/>
                <w:szCs w:val="22"/>
              </w:rPr>
              <w:t> </w:t>
            </w:r>
          </w:p>
          <w:p w14:paraId="5BA4EAD5" w14:textId="77777777" w:rsidR="00B525B3" w:rsidRPr="009D3CF9" w:rsidRDefault="00B525B3" w:rsidP="00B525B3">
            <w:pPr>
              <w:pStyle w:val="paragraph"/>
              <w:spacing w:before="0" w:beforeAutospacing="0" w:after="0" w:afterAutospacing="0"/>
              <w:textAlignment w:val="baseline"/>
              <w:rPr>
                <w:rFonts w:asciiTheme="minorHAnsi" w:hAnsiTheme="minorHAnsi" w:cstheme="minorHAnsi"/>
                <w:sz w:val="22"/>
                <w:szCs w:val="22"/>
              </w:rPr>
            </w:pPr>
            <w:r w:rsidRPr="009D3CF9">
              <w:rPr>
                <w:rStyle w:val="eop"/>
                <w:rFonts w:asciiTheme="minorHAnsi" w:hAnsiTheme="minorHAnsi" w:cstheme="minorHAnsi"/>
                <w:sz w:val="22"/>
                <w:szCs w:val="22"/>
              </w:rPr>
              <w:t> </w:t>
            </w:r>
          </w:p>
          <w:p w14:paraId="60D1E5B6" w14:textId="77777777" w:rsidR="00B525B3" w:rsidRPr="009D3CF9" w:rsidRDefault="00B525B3" w:rsidP="00B525B3">
            <w:pPr>
              <w:pStyle w:val="paragraph"/>
              <w:spacing w:before="0" w:beforeAutospacing="0" w:after="0" w:afterAutospacing="0"/>
              <w:textAlignment w:val="baseline"/>
              <w:rPr>
                <w:rFonts w:asciiTheme="minorHAnsi" w:hAnsiTheme="minorHAnsi" w:cstheme="minorHAnsi"/>
                <w:sz w:val="22"/>
                <w:szCs w:val="22"/>
              </w:rPr>
            </w:pPr>
            <w:r w:rsidRPr="009D3CF9">
              <w:rPr>
                <w:rStyle w:val="eop"/>
                <w:rFonts w:asciiTheme="minorHAnsi" w:hAnsiTheme="minorHAnsi" w:cstheme="minorHAnsi"/>
                <w:sz w:val="22"/>
                <w:szCs w:val="22"/>
              </w:rPr>
              <w:t> </w:t>
            </w:r>
          </w:p>
        </w:tc>
        <w:tc>
          <w:tcPr>
            <w:tcW w:w="8993"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153BB678" w14:textId="18EB14F4" w:rsidR="0033129F" w:rsidRPr="00365086" w:rsidRDefault="007A21AB" w:rsidP="00365086">
            <w:pPr>
              <w:pStyle w:val="paragraph"/>
              <w:numPr>
                <w:ilvl w:val="0"/>
                <w:numId w:val="20"/>
              </w:numPr>
              <w:spacing w:before="0"/>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NICE. Overview | Patiromer for treating hyperkalaemia | Guidance | NICE [Internet]. www.nice.org.uk. 2020 [cited 2024 Jan 9]. Available from: </w:t>
            </w:r>
            <w:hyperlink r:id="rId24" w:history="1">
              <w:r w:rsidRPr="007774D2">
                <w:rPr>
                  <w:rStyle w:val="Hyperlink"/>
                  <w:rFonts w:asciiTheme="minorHAnsi" w:hAnsiTheme="minorHAnsi" w:cstheme="minorHAnsi"/>
                  <w:sz w:val="22"/>
                  <w:szCs w:val="22"/>
                </w:rPr>
                <w:t>https://www.nice.org.uk/guidance/ta623</w:t>
              </w:r>
            </w:hyperlink>
          </w:p>
          <w:p w14:paraId="08E43D2C" w14:textId="74D57AB1" w:rsidR="007A21AB" w:rsidRPr="00365086" w:rsidRDefault="007A21AB" w:rsidP="007A21AB">
            <w:pPr>
              <w:pStyle w:val="paragraph"/>
              <w:numPr>
                <w:ilvl w:val="0"/>
                <w:numId w:val="20"/>
              </w:numPr>
              <w:spacing w:before="0"/>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NICE. Overview | Sodium zirconium cyclosilicate for treating hyperkalaemia | Guidance | NICE [Internet]. www.nice.org.uk. 2019 [cited 2024 Jan 9]. Available from: </w:t>
            </w:r>
            <w:hyperlink r:id="rId25" w:history="1">
              <w:r w:rsidRPr="007774D2">
                <w:rPr>
                  <w:rStyle w:val="Hyperlink"/>
                  <w:rFonts w:asciiTheme="minorHAnsi" w:hAnsiTheme="minorHAnsi" w:cstheme="minorHAnsi"/>
                  <w:sz w:val="22"/>
                  <w:szCs w:val="22"/>
                </w:rPr>
                <w:t>https://www.nice.org.uk/guidance/ta599/</w:t>
              </w:r>
            </w:hyperlink>
          </w:p>
          <w:p w14:paraId="5017A6AA" w14:textId="4FF66DB9" w:rsidR="007A21AB" w:rsidRPr="00365086" w:rsidRDefault="007A21AB" w:rsidP="007A21AB">
            <w:pPr>
              <w:pStyle w:val="paragraph"/>
              <w:numPr>
                <w:ilvl w:val="0"/>
                <w:numId w:val="20"/>
              </w:numPr>
              <w:spacing w:before="0"/>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NICE. BNF [Internet]. NICE. 2023 [cited 2024 Jan 9]. Available from: </w:t>
            </w:r>
            <w:hyperlink r:id="rId26" w:anchor="indications-and-dose" w:history="1">
              <w:r w:rsidRPr="007774D2">
                <w:rPr>
                  <w:rStyle w:val="Hyperlink"/>
                  <w:rFonts w:asciiTheme="minorHAnsi" w:hAnsiTheme="minorHAnsi" w:cstheme="minorHAnsi"/>
                  <w:sz w:val="22"/>
                  <w:szCs w:val="22"/>
                </w:rPr>
                <w:t>https://bnf.nice.org.uk/drugs/sodium-zirconium-cyclosilicate/#indications-and-dose</w:t>
              </w:r>
            </w:hyperlink>
          </w:p>
          <w:p w14:paraId="5B8110BE" w14:textId="668D3529" w:rsidR="007A21AB" w:rsidRPr="00365086" w:rsidRDefault="007A21AB" w:rsidP="007A21AB">
            <w:pPr>
              <w:pStyle w:val="paragraph"/>
              <w:numPr>
                <w:ilvl w:val="0"/>
                <w:numId w:val="20"/>
              </w:numPr>
              <w:spacing w:before="0"/>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NICE. BNF [Internet]. NICE. 2023. [cited 2024 Jan 9 Available from: </w:t>
            </w:r>
            <w:hyperlink r:id="rId27" w:history="1">
              <w:r w:rsidRPr="007774D2">
                <w:rPr>
                  <w:rStyle w:val="Hyperlink"/>
                  <w:rFonts w:asciiTheme="minorHAnsi" w:hAnsiTheme="minorHAnsi" w:cstheme="minorHAnsi"/>
                  <w:sz w:val="22"/>
                  <w:szCs w:val="22"/>
                </w:rPr>
                <w:t>https://bnf.nice.org.uk/drugs/patiromer-calcium/</w:t>
              </w:r>
            </w:hyperlink>
          </w:p>
          <w:p w14:paraId="66348494" w14:textId="6EEA4137" w:rsidR="007A21AB" w:rsidRPr="00365086" w:rsidRDefault="007A21AB" w:rsidP="00365086">
            <w:pPr>
              <w:pStyle w:val="paragraph"/>
              <w:numPr>
                <w:ilvl w:val="0"/>
                <w:numId w:val="20"/>
              </w:numPr>
              <w:spacing w:before="0"/>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Levien TL, Baker DE. Sodium Zirconium Cyclosilicate. Hospital Pharmacy [Internet]. 2018 Dec 14 [cited 2024 Jan 9];54(1):12–9. Available from: </w:t>
            </w:r>
            <w:hyperlink r:id="rId28" w:history="1">
              <w:r w:rsidRPr="007774D2">
                <w:rPr>
                  <w:rStyle w:val="Hyperlink"/>
                  <w:rFonts w:asciiTheme="minorHAnsi" w:hAnsiTheme="minorHAnsi" w:cstheme="minorHAnsi"/>
                  <w:sz w:val="22"/>
                  <w:szCs w:val="22"/>
                </w:rPr>
                <w:t>https://www.ncbi.nlm.nih.gov/pmc/articles/PMC6333952/</w:t>
              </w:r>
            </w:hyperlink>
          </w:p>
          <w:p w14:paraId="1AA8586C" w14:textId="50CBD2BD" w:rsidR="007A21AB" w:rsidRPr="00365086" w:rsidRDefault="007A21AB" w:rsidP="00365086">
            <w:pPr>
              <w:pStyle w:val="paragraph"/>
              <w:numPr>
                <w:ilvl w:val="0"/>
                <w:numId w:val="20"/>
              </w:numPr>
              <w:spacing w:before="0"/>
              <w:textAlignment w:val="baseline"/>
              <w:rPr>
                <w:rFonts w:asciiTheme="minorHAnsi" w:hAnsiTheme="minorHAnsi" w:cstheme="minorHAnsi"/>
                <w:sz w:val="22"/>
                <w:szCs w:val="22"/>
              </w:rPr>
            </w:pPr>
            <w:r w:rsidRPr="007774D2">
              <w:rPr>
                <w:rFonts w:asciiTheme="minorHAnsi" w:hAnsiTheme="minorHAnsi" w:cstheme="minorHAnsi"/>
                <w:sz w:val="22"/>
                <w:szCs w:val="22"/>
              </w:rPr>
              <w:t xml:space="preserve">Li L, Harrison SD, Cope MJ, Park C, Lee L, </w:t>
            </w:r>
            <w:proofErr w:type="spellStart"/>
            <w:r w:rsidRPr="007774D2">
              <w:rPr>
                <w:rFonts w:asciiTheme="minorHAnsi" w:hAnsiTheme="minorHAnsi" w:cstheme="minorHAnsi"/>
                <w:sz w:val="22"/>
                <w:szCs w:val="22"/>
              </w:rPr>
              <w:t>Salaymeh</w:t>
            </w:r>
            <w:proofErr w:type="spellEnd"/>
            <w:r w:rsidRPr="007774D2">
              <w:rPr>
                <w:rFonts w:asciiTheme="minorHAnsi" w:hAnsiTheme="minorHAnsi" w:cstheme="minorHAnsi"/>
                <w:sz w:val="22"/>
                <w:szCs w:val="22"/>
              </w:rPr>
              <w:t xml:space="preserve"> F, et al. Mechanism of Action and Pharmacology of </w:t>
            </w:r>
            <w:proofErr w:type="spellStart"/>
            <w:r w:rsidRPr="007774D2">
              <w:rPr>
                <w:rFonts w:asciiTheme="minorHAnsi" w:hAnsiTheme="minorHAnsi" w:cstheme="minorHAnsi"/>
                <w:sz w:val="22"/>
                <w:szCs w:val="22"/>
              </w:rPr>
              <w:t>Patiromer</w:t>
            </w:r>
            <w:proofErr w:type="spellEnd"/>
            <w:r w:rsidRPr="007774D2">
              <w:rPr>
                <w:rFonts w:asciiTheme="minorHAnsi" w:hAnsiTheme="minorHAnsi" w:cstheme="minorHAnsi"/>
                <w:sz w:val="22"/>
                <w:szCs w:val="22"/>
              </w:rPr>
              <w:t xml:space="preserve">, a </w:t>
            </w:r>
            <w:proofErr w:type="spellStart"/>
            <w:r w:rsidRPr="007774D2">
              <w:rPr>
                <w:rFonts w:asciiTheme="minorHAnsi" w:hAnsiTheme="minorHAnsi" w:cstheme="minorHAnsi"/>
                <w:sz w:val="22"/>
                <w:szCs w:val="22"/>
              </w:rPr>
              <w:t>Nonabsorbed</w:t>
            </w:r>
            <w:proofErr w:type="spellEnd"/>
            <w:r w:rsidRPr="007774D2">
              <w:rPr>
                <w:rFonts w:asciiTheme="minorHAnsi" w:hAnsiTheme="minorHAnsi" w:cstheme="minorHAnsi"/>
                <w:sz w:val="22"/>
                <w:szCs w:val="22"/>
              </w:rPr>
              <w:t xml:space="preserve"> Cross-Linked Polymer That Lowers Serum Potassium Concentration in Patients </w:t>
            </w:r>
            <w:proofErr w:type="gramStart"/>
            <w:r w:rsidRPr="007774D2">
              <w:rPr>
                <w:rFonts w:asciiTheme="minorHAnsi" w:hAnsiTheme="minorHAnsi" w:cstheme="minorHAnsi"/>
                <w:sz w:val="22"/>
                <w:szCs w:val="22"/>
              </w:rPr>
              <w:t>With</w:t>
            </w:r>
            <w:proofErr w:type="gramEnd"/>
            <w:r w:rsidRPr="007774D2">
              <w:rPr>
                <w:rFonts w:asciiTheme="minorHAnsi" w:hAnsiTheme="minorHAnsi" w:cstheme="minorHAnsi"/>
                <w:sz w:val="22"/>
                <w:szCs w:val="22"/>
              </w:rPr>
              <w:t xml:space="preserve"> </w:t>
            </w:r>
            <w:proofErr w:type="spellStart"/>
            <w:r w:rsidRPr="007774D2">
              <w:rPr>
                <w:rFonts w:asciiTheme="minorHAnsi" w:hAnsiTheme="minorHAnsi" w:cstheme="minorHAnsi"/>
                <w:sz w:val="22"/>
                <w:szCs w:val="22"/>
              </w:rPr>
              <w:t>Hyperkalemia</w:t>
            </w:r>
            <w:proofErr w:type="spellEnd"/>
            <w:r w:rsidRPr="007774D2">
              <w:rPr>
                <w:rFonts w:asciiTheme="minorHAnsi" w:hAnsiTheme="minorHAnsi" w:cstheme="minorHAnsi"/>
                <w:sz w:val="22"/>
                <w:szCs w:val="22"/>
              </w:rPr>
              <w:t xml:space="preserve">. Journal of Cardiovascular Pharmacology and Therapeutics [Internet]. 2016 July 8 [cited 2024 Jan 9];21(5):456–65. Available from: </w:t>
            </w:r>
            <w:hyperlink r:id="rId29" w:history="1">
              <w:r w:rsidRPr="007774D2">
                <w:rPr>
                  <w:rStyle w:val="Hyperlink"/>
                  <w:rFonts w:asciiTheme="minorHAnsi" w:hAnsiTheme="minorHAnsi" w:cstheme="minorHAnsi"/>
                  <w:sz w:val="22"/>
                  <w:szCs w:val="22"/>
                </w:rPr>
                <w:t>https://www.ncbi.nlm.nih.gov/pmc/articles/PMC4976659/</w:t>
              </w:r>
            </w:hyperlink>
          </w:p>
          <w:p w14:paraId="495524DE" w14:textId="77777777" w:rsidR="00365086" w:rsidRPr="00365086" w:rsidRDefault="007A21AB" w:rsidP="00365086">
            <w:pPr>
              <w:pStyle w:val="paragraph"/>
              <w:numPr>
                <w:ilvl w:val="0"/>
                <w:numId w:val="20"/>
              </w:numPr>
              <w:spacing w:before="0"/>
              <w:textAlignment w:val="baseline"/>
              <w:rPr>
                <w:rStyle w:val="Hyperlink"/>
                <w:rFonts w:asciiTheme="minorHAnsi" w:hAnsiTheme="minorHAnsi" w:cstheme="minorHAnsi"/>
                <w:color w:val="auto"/>
                <w:sz w:val="22"/>
                <w:szCs w:val="22"/>
                <w:u w:val="none"/>
              </w:rPr>
            </w:pPr>
            <w:r w:rsidRPr="007774D2">
              <w:rPr>
                <w:rFonts w:asciiTheme="minorHAnsi" w:hAnsiTheme="minorHAnsi" w:cstheme="minorHAnsi"/>
                <w:sz w:val="22"/>
                <w:szCs w:val="22"/>
              </w:rPr>
              <w:t>AstraZeneca UK Limited. Lokelma 10 g powder for oral suspension - Summary of Product Characteristics (SmPC) - (</w:t>
            </w:r>
            <w:proofErr w:type="spellStart"/>
            <w:r w:rsidRPr="007774D2">
              <w:rPr>
                <w:rFonts w:asciiTheme="minorHAnsi" w:hAnsiTheme="minorHAnsi" w:cstheme="minorHAnsi"/>
                <w:sz w:val="22"/>
                <w:szCs w:val="22"/>
              </w:rPr>
              <w:t>emc</w:t>
            </w:r>
            <w:proofErr w:type="spellEnd"/>
            <w:r w:rsidRPr="007774D2">
              <w:rPr>
                <w:rFonts w:asciiTheme="minorHAnsi" w:hAnsiTheme="minorHAnsi" w:cstheme="minorHAnsi"/>
                <w:sz w:val="22"/>
                <w:szCs w:val="22"/>
              </w:rPr>
              <w:t xml:space="preserve">) [Internet]. www.medicines.org.uk. 2023. Available from: </w:t>
            </w:r>
            <w:hyperlink r:id="rId30" w:history="1">
              <w:r w:rsidRPr="007774D2">
                <w:rPr>
                  <w:rStyle w:val="Hyperlink"/>
                  <w:rFonts w:asciiTheme="minorHAnsi" w:hAnsiTheme="minorHAnsi" w:cstheme="minorHAnsi"/>
                  <w:sz w:val="22"/>
                  <w:szCs w:val="22"/>
                </w:rPr>
                <w:t>https://www.medicines.org.uk/emc/product/10074/smpc</w:t>
              </w:r>
            </w:hyperlink>
          </w:p>
          <w:p w14:paraId="1EE385F5" w14:textId="5B911585" w:rsidR="007A21AB" w:rsidRPr="00365086" w:rsidRDefault="007A21AB" w:rsidP="00365086">
            <w:pPr>
              <w:pStyle w:val="paragraph"/>
              <w:numPr>
                <w:ilvl w:val="0"/>
                <w:numId w:val="20"/>
              </w:numPr>
              <w:spacing w:before="0"/>
              <w:textAlignment w:val="baseline"/>
              <w:rPr>
                <w:rFonts w:asciiTheme="minorHAnsi" w:hAnsiTheme="minorHAnsi" w:cstheme="minorHAnsi"/>
                <w:sz w:val="22"/>
                <w:szCs w:val="22"/>
              </w:rPr>
            </w:pPr>
            <w:r w:rsidRPr="00365086">
              <w:rPr>
                <w:rFonts w:asciiTheme="minorHAnsi" w:hAnsiTheme="minorHAnsi" w:cstheme="minorHAnsi"/>
                <w:sz w:val="22"/>
                <w:szCs w:val="22"/>
              </w:rPr>
              <w:t xml:space="preserve">Vifor Fresenius Medical Care Renal Pharma UK Ltd. </w:t>
            </w:r>
            <w:proofErr w:type="spellStart"/>
            <w:r w:rsidRPr="00365086">
              <w:rPr>
                <w:rFonts w:asciiTheme="minorHAnsi" w:hAnsiTheme="minorHAnsi" w:cstheme="minorHAnsi"/>
                <w:sz w:val="22"/>
                <w:szCs w:val="22"/>
              </w:rPr>
              <w:t>Veltassa</w:t>
            </w:r>
            <w:proofErr w:type="spellEnd"/>
            <w:r w:rsidRPr="00365086">
              <w:rPr>
                <w:rFonts w:asciiTheme="minorHAnsi" w:hAnsiTheme="minorHAnsi" w:cstheme="minorHAnsi"/>
                <w:sz w:val="22"/>
                <w:szCs w:val="22"/>
              </w:rPr>
              <w:t xml:space="preserve"> (</w:t>
            </w:r>
            <w:proofErr w:type="spellStart"/>
            <w:r w:rsidRPr="00365086">
              <w:rPr>
                <w:rFonts w:asciiTheme="minorHAnsi" w:hAnsiTheme="minorHAnsi" w:cstheme="minorHAnsi"/>
                <w:sz w:val="22"/>
                <w:szCs w:val="22"/>
              </w:rPr>
              <w:t>Patiromer</w:t>
            </w:r>
            <w:proofErr w:type="spellEnd"/>
            <w:r w:rsidRPr="00365086">
              <w:rPr>
                <w:rFonts w:asciiTheme="minorHAnsi" w:hAnsiTheme="minorHAnsi" w:cstheme="minorHAnsi"/>
                <w:sz w:val="22"/>
                <w:szCs w:val="22"/>
              </w:rPr>
              <w:t>) 8.4 g powder for oral suspension - Summary of Product Characteristics (SmPC) - (</w:t>
            </w:r>
            <w:proofErr w:type="spellStart"/>
            <w:r w:rsidRPr="00365086">
              <w:rPr>
                <w:rFonts w:asciiTheme="minorHAnsi" w:hAnsiTheme="minorHAnsi" w:cstheme="minorHAnsi"/>
                <w:sz w:val="22"/>
                <w:szCs w:val="22"/>
              </w:rPr>
              <w:t>emc</w:t>
            </w:r>
            <w:proofErr w:type="spellEnd"/>
            <w:r w:rsidRPr="00365086">
              <w:rPr>
                <w:rFonts w:asciiTheme="minorHAnsi" w:hAnsiTheme="minorHAnsi" w:cstheme="minorHAnsi"/>
                <w:sz w:val="22"/>
                <w:szCs w:val="22"/>
              </w:rPr>
              <w:t xml:space="preserve">) [Internet]. www.medicines.org.uk. 2023. Available from: </w:t>
            </w:r>
            <w:hyperlink r:id="rId31" w:history="1">
              <w:r w:rsidRPr="00365086">
                <w:rPr>
                  <w:rStyle w:val="Hyperlink"/>
                  <w:rFonts w:asciiTheme="minorHAnsi" w:hAnsiTheme="minorHAnsi" w:cstheme="minorHAnsi"/>
                  <w:sz w:val="22"/>
                  <w:szCs w:val="22"/>
                </w:rPr>
                <w:t>https://www.medicines.org.uk/emc/product/779/smpc</w:t>
              </w:r>
            </w:hyperlink>
          </w:p>
          <w:p w14:paraId="4758A958" w14:textId="26D3E7DC" w:rsidR="00B525B3" w:rsidRPr="00365086" w:rsidRDefault="007A21AB" w:rsidP="00365086">
            <w:pPr>
              <w:pStyle w:val="paragraph"/>
              <w:numPr>
                <w:ilvl w:val="0"/>
                <w:numId w:val="20"/>
              </w:numPr>
              <w:spacing w:before="0"/>
              <w:textAlignment w:val="baseline"/>
              <w:rPr>
                <w:rFonts w:asciiTheme="minorHAnsi" w:hAnsiTheme="minorHAnsi" w:cstheme="minorHAnsi"/>
                <w:sz w:val="22"/>
                <w:szCs w:val="22"/>
              </w:rPr>
            </w:pPr>
            <w:r w:rsidRPr="007774D2">
              <w:rPr>
                <w:rFonts w:asciiTheme="minorHAnsi" w:hAnsiTheme="minorHAnsi" w:cstheme="minorHAnsi"/>
                <w:sz w:val="22"/>
                <w:szCs w:val="22"/>
              </w:rPr>
              <w:lastRenderedPageBreak/>
              <w:t>Guidance for the use of potassium binders in adults with hyperkalaemia and Heart Failure with reduced Ejection Fraction. North London Cardiac Operational Delivery Network. 2023. [cited 2024 Apr 19]</w:t>
            </w:r>
          </w:p>
        </w:tc>
      </w:tr>
    </w:tbl>
    <w:p w14:paraId="072175DD" w14:textId="3F85FF93" w:rsidR="00CE49CD" w:rsidRDefault="00CE49CD" w:rsidP="00433776">
      <w:pPr>
        <w:pStyle w:val="NCLBodyText"/>
      </w:pPr>
    </w:p>
    <w:p w14:paraId="32FA7E5D" w14:textId="5591E97B" w:rsidR="00CC34C1" w:rsidRDefault="00CC34C1" w:rsidP="54E3825D">
      <w:pPr>
        <w:pStyle w:val="NCLHeading1"/>
        <w:numPr>
          <w:ilvl w:val="0"/>
          <w:numId w:val="0"/>
        </w:numPr>
      </w:pPr>
      <w:bookmarkStart w:id="0" w:name="_Toc156827848"/>
      <w:r>
        <w:t>Contact Details</w:t>
      </w:r>
      <w:bookmarkEnd w:id="0"/>
    </w:p>
    <w:tbl>
      <w:tblPr>
        <w:tblStyle w:val="TableGrid"/>
        <w:tblW w:w="0" w:type="auto"/>
        <w:tblLook w:val="04A0" w:firstRow="1" w:lastRow="0" w:firstColumn="1" w:lastColumn="0" w:noHBand="0" w:noVBand="1"/>
      </w:tblPr>
      <w:tblGrid>
        <w:gridCol w:w="4363"/>
        <w:gridCol w:w="4959"/>
      </w:tblGrid>
      <w:tr w:rsidR="0052313F" w14:paraId="13803694" w14:textId="77777777" w:rsidTr="0052313F">
        <w:trPr>
          <w:trHeight w:val="300"/>
        </w:trPr>
        <w:tc>
          <w:tcPr>
            <w:tcW w:w="4662" w:type="dxa"/>
          </w:tcPr>
          <w:p w14:paraId="3A6D0259" w14:textId="77777777" w:rsidR="0052313F" w:rsidRDefault="0052313F" w:rsidP="00E671CC">
            <w:pPr>
              <w:ind w:left="-20" w:right="-20"/>
              <w:rPr>
                <w:rFonts w:eastAsia="Calibri" w:cs="Calibri"/>
              </w:rPr>
            </w:pPr>
            <w:r>
              <w:rPr>
                <w:rFonts w:eastAsia="Calibri" w:cs="Calibri"/>
              </w:rPr>
              <w:t>Trust name</w:t>
            </w:r>
            <w:r w:rsidR="00FA0C65">
              <w:rPr>
                <w:rFonts w:eastAsia="Calibri" w:cs="Calibri"/>
              </w:rPr>
              <w:t>:</w:t>
            </w:r>
          </w:p>
          <w:p w14:paraId="438D0739" w14:textId="77777777" w:rsidR="00FA0C65" w:rsidRPr="00E05F44" w:rsidRDefault="00FA0C65" w:rsidP="00E671CC">
            <w:pPr>
              <w:ind w:left="-20" w:right="-20"/>
              <w:rPr>
                <w:b/>
                <w:bCs/>
              </w:rPr>
            </w:pPr>
            <w:r w:rsidRPr="00E05F44">
              <w:rPr>
                <w:b/>
                <w:bCs/>
              </w:rPr>
              <w:t>North Middlesex University Hospital NHS Trust</w:t>
            </w:r>
          </w:p>
          <w:p w14:paraId="60720784" w14:textId="7A623D08" w:rsidR="00F7136B" w:rsidRDefault="00F7136B" w:rsidP="00E671CC">
            <w:pPr>
              <w:ind w:left="-20" w:right="-20"/>
            </w:pPr>
            <w:r>
              <w:t>Hospital Switchboard: 020 887 2000</w:t>
            </w:r>
          </w:p>
        </w:tc>
        <w:tc>
          <w:tcPr>
            <w:tcW w:w="4660" w:type="dxa"/>
          </w:tcPr>
          <w:p w14:paraId="11974CCA" w14:textId="77777777" w:rsidR="0052313F" w:rsidRDefault="0052313F" w:rsidP="00E671CC">
            <w:pPr>
              <w:spacing w:after="200" w:line="276" w:lineRule="auto"/>
              <w:ind w:left="-20" w:right="-20"/>
              <w:rPr>
                <w:rFonts w:eastAsia="Calibri" w:cs="Calibri"/>
              </w:rPr>
            </w:pPr>
            <w:r>
              <w:rPr>
                <w:rFonts w:eastAsia="Calibri" w:cs="Calibri"/>
              </w:rPr>
              <w:t>Specialist service contact details:</w:t>
            </w:r>
          </w:p>
          <w:p w14:paraId="450C1214" w14:textId="77777777" w:rsidR="0052313F" w:rsidRDefault="00F7136B" w:rsidP="00E671CC">
            <w:pPr>
              <w:spacing w:after="200" w:line="276" w:lineRule="auto"/>
              <w:ind w:left="-20" w:right="-20"/>
            </w:pPr>
            <w:r>
              <w:t xml:space="preserve">Consultant Physician and Nephrologist: </w:t>
            </w:r>
          </w:p>
          <w:p w14:paraId="017263E8" w14:textId="77777777" w:rsidR="00F7136B" w:rsidRDefault="00F7136B" w:rsidP="00E671CC">
            <w:pPr>
              <w:spacing w:after="200" w:line="276" w:lineRule="auto"/>
              <w:ind w:left="-20" w:right="-20"/>
            </w:pPr>
            <w:r>
              <w:t>Dr Salman Sajid (Ext 2281)</w:t>
            </w:r>
          </w:p>
          <w:p w14:paraId="7469A231" w14:textId="6B6EDB1A" w:rsidR="00F7136B" w:rsidRDefault="00F7136B" w:rsidP="00E05F44">
            <w:pPr>
              <w:spacing w:after="200" w:line="276" w:lineRule="auto"/>
              <w:ind w:right="-20"/>
            </w:pPr>
            <w:r>
              <w:t>Specialist Pharmacist: Ahmed Mohamed (Ext 3409)</w:t>
            </w:r>
          </w:p>
        </w:tc>
      </w:tr>
      <w:tr w:rsidR="00F7136B" w14:paraId="21C10CD0" w14:textId="77777777" w:rsidTr="0052313F">
        <w:trPr>
          <w:trHeight w:val="300"/>
        </w:trPr>
        <w:tc>
          <w:tcPr>
            <w:tcW w:w="4662" w:type="dxa"/>
          </w:tcPr>
          <w:p w14:paraId="06B250EB" w14:textId="77777777" w:rsidR="00F7136B" w:rsidRPr="00E05F44" w:rsidRDefault="00F7136B" w:rsidP="00E671CC">
            <w:pPr>
              <w:ind w:left="-20" w:right="-20"/>
              <w:rPr>
                <w:rFonts w:eastAsia="Calibri" w:cs="Calibri"/>
                <w:b/>
                <w:bCs/>
              </w:rPr>
            </w:pPr>
            <w:r w:rsidRPr="00E05F44">
              <w:rPr>
                <w:rFonts w:eastAsia="Calibri" w:cs="Calibri"/>
                <w:b/>
                <w:bCs/>
              </w:rPr>
              <w:t>Royal Free London NHS Foundation Trust</w:t>
            </w:r>
          </w:p>
          <w:p w14:paraId="55D3A866" w14:textId="28E7FF7D" w:rsidR="00F7136B" w:rsidRDefault="00F7136B" w:rsidP="00E671CC">
            <w:pPr>
              <w:ind w:left="-20" w:right="-20"/>
              <w:rPr>
                <w:rFonts w:eastAsia="Calibri" w:cs="Calibri"/>
              </w:rPr>
            </w:pPr>
            <w:r>
              <w:rPr>
                <w:rFonts w:eastAsia="Calibri" w:cs="Calibri"/>
              </w:rPr>
              <w:t>Hospital Switchboard: 020 3758 2000</w:t>
            </w:r>
          </w:p>
        </w:tc>
        <w:tc>
          <w:tcPr>
            <w:tcW w:w="4660" w:type="dxa"/>
          </w:tcPr>
          <w:p w14:paraId="3BF5A4B9" w14:textId="77777777" w:rsidR="00F7136B" w:rsidRDefault="00F7136B" w:rsidP="00E05F44">
            <w:pPr>
              <w:spacing w:after="200" w:line="276" w:lineRule="auto"/>
              <w:ind w:right="-20"/>
              <w:rPr>
                <w:rFonts w:eastAsia="Calibri" w:cs="Calibri"/>
              </w:rPr>
            </w:pPr>
            <w:r>
              <w:rPr>
                <w:rFonts w:eastAsia="Calibri" w:cs="Calibri"/>
              </w:rPr>
              <w:t xml:space="preserve">Consultant Cardiologist: Dr </w:t>
            </w:r>
            <w:proofErr w:type="spellStart"/>
            <w:r>
              <w:rPr>
                <w:rFonts w:eastAsia="Calibri" w:cs="Calibri"/>
              </w:rPr>
              <w:t>Ameet</w:t>
            </w:r>
            <w:proofErr w:type="spellEnd"/>
            <w:r>
              <w:rPr>
                <w:rFonts w:eastAsia="Calibri" w:cs="Calibri"/>
              </w:rPr>
              <w:t xml:space="preserve"> </w:t>
            </w:r>
            <w:proofErr w:type="spellStart"/>
            <w:r>
              <w:rPr>
                <w:rFonts w:eastAsia="Calibri" w:cs="Calibri"/>
              </w:rPr>
              <w:t>Bakhai</w:t>
            </w:r>
            <w:proofErr w:type="spellEnd"/>
          </w:p>
          <w:p w14:paraId="33F038D5" w14:textId="21DF0A97" w:rsidR="0064621E" w:rsidRDefault="0064621E" w:rsidP="00E05F44">
            <w:pPr>
              <w:spacing w:after="200" w:line="276" w:lineRule="auto"/>
              <w:ind w:right="-20"/>
              <w:rPr>
                <w:rFonts w:eastAsia="Calibri" w:cs="Calibri"/>
              </w:rPr>
            </w:pPr>
            <w:r>
              <w:rPr>
                <w:rFonts w:eastAsia="Calibri" w:cs="Calibri"/>
              </w:rPr>
              <w:t>Via switchboard</w:t>
            </w:r>
          </w:p>
        </w:tc>
      </w:tr>
      <w:tr w:rsidR="00F7136B" w14:paraId="6AA20FAB" w14:textId="77777777" w:rsidTr="0052313F">
        <w:trPr>
          <w:trHeight w:val="300"/>
        </w:trPr>
        <w:tc>
          <w:tcPr>
            <w:tcW w:w="4662" w:type="dxa"/>
          </w:tcPr>
          <w:p w14:paraId="72172C95" w14:textId="77777777" w:rsidR="00F7136B" w:rsidRPr="00E05F44" w:rsidRDefault="00F7136B" w:rsidP="00E671CC">
            <w:pPr>
              <w:ind w:left="-20" w:right="-20"/>
              <w:rPr>
                <w:rFonts w:eastAsia="Calibri" w:cs="Calibri"/>
                <w:b/>
                <w:bCs/>
              </w:rPr>
            </w:pPr>
            <w:r w:rsidRPr="00E05F44">
              <w:rPr>
                <w:rFonts w:eastAsia="Calibri" w:cs="Calibri"/>
                <w:b/>
                <w:bCs/>
              </w:rPr>
              <w:t>Whittington Hospital NHS Trust</w:t>
            </w:r>
          </w:p>
          <w:p w14:paraId="27991D51" w14:textId="197570E9" w:rsidR="00F7136B" w:rsidRDefault="00F7136B" w:rsidP="00E671CC">
            <w:pPr>
              <w:ind w:left="-20" w:right="-20"/>
              <w:rPr>
                <w:rFonts w:eastAsia="Calibri" w:cs="Calibri"/>
              </w:rPr>
            </w:pPr>
            <w:r>
              <w:rPr>
                <w:rFonts w:eastAsia="Calibri" w:cs="Calibri"/>
              </w:rPr>
              <w:t>Hospital Switchboard: 020 7272 3070</w:t>
            </w:r>
          </w:p>
        </w:tc>
        <w:tc>
          <w:tcPr>
            <w:tcW w:w="4660" w:type="dxa"/>
          </w:tcPr>
          <w:p w14:paraId="5E0640B2" w14:textId="77777777" w:rsidR="00F7136B" w:rsidRDefault="00F7136B" w:rsidP="00E671CC">
            <w:pPr>
              <w:spacing w:after="200" w:line="276" w:lineRule="auto"/>
              <w:ind w:left="-20" w:right="-20"/>
              <w:rPr>
                <w:rFonts w:eastAsia="Calibri" w:cs="Calibri"/>
              </w:rPr>
            </w:pPr>
            <w:r>
              <w:rPr>
                <w:rFonts w:eastAsia="Calibri" w:cs="Calibri"/>
              </w:rPr>
              <w:t>Consultant Nephrologist: Dr Mark Harber</w:t>
            </w:r>
          </w:p>
          <w:p w14:paraId="38067422" w14:textId="77141A5F" w:rsidR="0064621E" w:rsidRDefault="0064621E" w:rsidP="00E671CC">
            <w:pPr>
              <w:spacing w:after="200" w:line="276" w:lineRule="auto"/>
              <w:ind w:left="-20" w:right="-20"/>
              <w:rPr>
                <w:rFonts w:eastAsia="Calibri" w:cs="Calibri"/>
              </w:rPr>
            </w:pPr>
            <w:r>
              <w:rPr>
                <w:rFonts w:eastAsia="Calibri" w:cs="Calibri"/>
              </w:rPr>
              <w:t>Via switchboard</w:t>
            </w:r>
          </w:p>
        </w:tc>
      </w:tr>
      <w:tr w:rsidR="00062FEE" w14:paraId="0632CBB1" w14:textId="77777777" w:rsidTr="0052313F">
        <w:trPr>
          <w:trHeight w:val="300"/>
        </w:trPr>
        <w:tc>
          <w:tcPr>
            <w:tcW w:w="4662" w:type="dxa"/>
          </w:tcPr>
          <w:p w14:paraId="4AAF6E84" w14:textId="4172E4E4" w:rsidR="00062FEE" w:rsidRPr="00E05F44" w:rsidRDefault="00062FEE" w:rsidP="00E671CC">
            <w:pPr>
              <w:ind w:left="-20" w:right="-20"/>
              <w:rPr>
                <w:rFonts w:eastAsia="Calibri" w:cs="Calibri"/>
                <w:b/>
                <w:bCs/>
              </w:rPr>
            </w:pPr>
            <w:r>
              <w:rPr>
                <w:rFonts w:eastAsia="Calibri" w:cs="Calibri"/>
                <w:b/>
                <w:bCs/>
              </w:rPr>
              <w:t>Pharmacy Medicines Advice across NCL Trusts</w:t>
            </w:r>
          </w:p>
        </w:tc>
        <w:tc>
          <w:tcPr>
            <w:tcW w:w="4660" w:type="dxa"/>
          </w:tcPr>
          <w:p w14:paraId="472F8CA1" w14:textId="44EC7A0D" w:rsidR="00062FEE" w:rsidRDefault="00000000" w:rsidP="00E671CC">
            <w:pPr>
              <w:spacing w:after="200" w:line="276" w:lineRule="auto"/>
              <w:ind w:left="-20" w:right="-20"/>
              <w:rPr>
                <w:rFonts w:eastAsia="Calibri" w:cs="Calibri"/>
              </w:rPr>
            </w:pPr>
            <w:hyperlink r:id="rId32" w:history="1">
              <w:r w:rsidR="00062FEE" w:rsidRPr="005630CA">
                <w:rPr>
                  <w:rStyle w:val="Hyperlink"/>
                  <w:rFonts w:eastAsia="Calibri" w:cs="Calibri"/>
                </w:rPr>
                <w:t>https://nclhealthandcare.org.uk/16_contactdetails_MIHC/</w:t>
              </w:r>
            </w:hyperlink>
            <w:r w:rsidR="00062FEE">
              <w:rPr>
                <w:rFonts w:eastAsia="Calibri" w:cs="Calibri"/>
              </w:rPr>
              <w:t xml:space="preserve"> </w:t>
            </w:r>
          </w:p>
        </w:tc>
      </w:tr>
    </w:tbl>
    <w:p w14:paraId="11F3A572" w14:textId="72F94A9E" w:rsidR="008C76B4" w:rsidRDefault="008C76B4">
      <w:pPr>
        <w:spacing w:after="200" w:line="276" w:lineRule="auto"/>
      </w:pPr>
    </w:p>
    <w:p w14:paraId="60B07DEA" w14:textId="77777777" w:rsidR="008C76B4" w:rsidRDefault="008C76B4">
      <w:pPr>
        <w:spacing w:after="200" w:line="276" w:lineRule="auto"/>
      </w:pPr>
      <w:r>
        <w:br w:type="page"/>
      </w:r>
    </w:p>
    <w:p w14:paraId="489E10DA" w14:textId="77777777" w:rsidR="00CC34C1" w:rsidRDefault="00CC34C1">
      <w:pPr>
        <w:spacing w:after="200" w:line="276" w:lineRule="auto"/>
      </w:pPr>
    </w:p>
    <w:p w14:paraId="75F3644E" w14:textId="20AB5C99" w:rsidR="00D46B50" w:rsidRPr="001119FE" w:rsidRDefault="00D46B50" w:rsidP="001119FE">
      <w:pPr>
        <w:spacing w:after="200" w:line="276" w:lineRule="auto"/>
      </w:pPr>
      <w:r w:rsidRPr="009D2F4A">
        <w:rPr>
          <w:b/>
          <w:sz w:val="28"/>
        </w:rPr>
        <w:t xml:space="preserve">Document </w:t>
      </w:r>
      <w:proofErr w:type="gramStart"/>
      <w:r w:rsidRPr="009D2F4A">
        <w:rPr>
          <w:b/>
          <w:sz w:val="28"/>
        </w:rPr>
        <w:t>control</w:t>
      </w:r>
      <w:proofErr w:type="gramEnd"/>
    </w:p>
    <w:tbl>
      <w:tblPr>
        <w:tblStyle w:val="ReportTable"/>
        <w:tblW w:w="9322" w:type="dxa"/>
        <w:tblLook w:val="04A0" w:firstRow="1" w:lastRow="0" w:firstColumn="1" w:lastColumn="0" w:noHBand="0" w:noVBand="1"/>
      </w:tblPr>
      <w:tblGrid>
        <w:gridCol w:w="1221"/>
        <w:gridCol w:w="1050"/>
        <w:gridCol w:w="7051"/>
      </w:tblGrid>
      <w:tr w:rsidR="00D46B50" w14:paraId="7D4E8F6D" w14:textId="77777777" w:rsidTr="2AB8E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tcPr>
          <w:p w14:paraId="155C05BD" w14:textId="77777777" w:rsidR="00D46B50" w:rsidRDefault="00D46B50" w:rsidP="008424FD">
            <w:pPr>
              <w:pStyle w:val="NCLTableText"/>
            </w:pPr>
            <w:r>
              <w:t>Date</w:t>
            </w:r>
          </w:p>
        </w:tc>
        <w:tc>
          <w:tcPr>
            <w:tcW w:w="1050" w:type="dxa"/>
          </w:tcPr>
          <w:p w14:paraId="0654F1D0" w14:textId="77777777" w:rsidR="00D46B50" w:rsidRDefault="00D46B50" w:rsidP="008424FD">
            <w:pPr>
              <w:pStyle w:val="NCLTableText"/>
              <w:cnfStyle w:val="100000000000" w:firstRow="1" w:lastRow="0" w:firstColumn="0" w:lastColumn="0" w:oddVBand="0" w:evenVBand="0" w:oddHBand="0" w:evenHBand="0" w:firstRowFirstColumn="0" w:firstRowLastColumn="0" w:lastRowFirstColumn="0" w:lastRowLastColumn="0"/>
            </w:pPr>
            <w:r>
              <w:t>Version</w:t>
            </w:r>
          </w:p>
        </w:tc>
        <w:tc>
          <w:tcPr>
            <w:tcW w:w="7051" w:type="dxa"/>
          </w:tcPr>
          <w:p w14:paraId="03CD7D5A" w14:textId="77777777" w:rsidR="00D46B50" w:rsidRDefault="00D46B50" w:rsidP="008424FD">
            <w:pPr>
              <w:pStyle w:val="NCLTableText"/>
              <w:cnfStyle w:val="100000000000" w:firstRow="1" w:lastRow="0" w:firstColumn="0" w:lastColumn="0" w:oddVBand="0" w:evenVBand="0" w:oddHBand="0" w:evenHBand="0" w:firstRowFirstColumn="0" w:firstRowLastColumn="0" w:lastRowFirstColumn="0" w:lastRowLastColumn="0"/>
            </w:pPr>
            <w:r>
              <w:t>Amendments</w:t>
            </w:r>
          </w:p>
        </w:tc>
      </w:tr>
      <w:tr w:rsidR="00D46B50" w14:paraId="0AF2B1A7" w14:textId="77777777" w:rsidTr="2AB8EA19">
        <w:tc>
          <w:tcPr>
            <w:cnfStyle w:val="001000000000" w:firstRow="0" w:lastRow="0" w:firstColumn="1" w:lastColumn="0" w:oddVBand="0" w:evenVBand="0" w:oddHBand="0" w:evenHBand="0" w:firstRowFirstColumn="0" w:firstRowLastColumn="0" w:lastRowFirstColumn="0" w:lastRowLastColumn="0"/>
            <w:tcW w:w="1221" w:type="dxa"/>
          </w:tcPr>
          <w:p w14:paraId="49E14F78" w14:textId="58CEF586" w:rsidR="00D46B50" w:rsidRDefault="00AC6B90" w:rsidP="008424FD">
            <w:pPr>
              <w:pStyle w:val="NCLTableText"/>
            </w:pPr>
            <w:r>
              <w:t>18/09/2024</w:t>
            </w:r>
          </w:p>
        </w:tc>
        <w:tc>
          <w:tcPr>
            <w:tcW w:w="1050" w:type="dxa"/>
          </w:tcPr>
          <w:p w14:paraId="63B286A2" w14:textId="7732FFF5" w:rsidR="00D46B50" w:rsidRDefault="00AC6B90" w:rsidP="008424FD">
            <w:pPr>
              <w:pStyle w:val="NCLTableText"/>
              <w:cnfStyle w:val="000000000000" w:firstRow="0" w:lastRow="0" w:firstColumn="0" w:lastColumn="0" w:oddVBand="0" w:evenVBand="0" w:oddHBand="0" w:evenHBand="0" w:firstRowFirstColumn="0" w:firstRowLastColumn="0" w:lastRowFirstColumn="0" w:lastRowLastColumn="0"/>
            </w:pPr>
            <w:r>
              <w:t>1.0</w:t>
            </w:r>
          </w:p>
        </w:tc>
        <w:tc>
          <w:tcPr>
            <w:tcW w:w="7051" w:type="dxa"/>
          </w:tcPr>
          <w:p w14:paraId="52E3DF19" w14:textId="32CA93AD" w:rsidR="00D46B50" w:rsidRDefault="00AC6B90" w:rsidP="2AB8EA19">
            <w:pPr>
              <w:pStyle w:val="NCLTableText"/>
              <w:cnfStyle w:val="000000000000" w:firstRow="0" w:lastRow="0" w:firstColumn="0" w:lastColumn="0" w:oddVBand="0" w:evenVBand="0" w:oddHBand="0" w:evenHBand="0" w:firstRowFirstColumn="0" w:firstRowLastColumn="0" w:lastRowFirstColumn="0" w:lastRowLastColumn="0"/>
            </w:pPr>
            <w:r>
              <w:t>New document developed by NMUH clinical team in liaison with the NCL ICB</w:t>
            </w:r>
          </w:p>
        </w:tc>
      </w:tr>
    </w:tbl>
    <w:p w14:paraId="1B9618E7" w14:textId="77777777" w:rsidR="00D46B50" w:rsidRDefault="00D46B50" w:rsidP="00D46B50">
      <w:pPr>
        <w:pStyle w:val="NC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920"/>
      </w:tblGrid>
      <w:tr w:rsidR="008D4C89" w:rsidRPr="00062FEE" w14:paraId="6BD81524" w14:textId="77777777" w:rsidTr="008D37DF">
        <w:tc>
          <w:tcPr>
            <w:tcW w:w="4402" w:type="dxa"/>
            <w:shd w:val="clear" w:color="auto" w:fill="auto"/>
          </w:tcPr>
          <w:p w14:paraId="13C1AD9F" w14:textId="77777777" w:rsidR="008D4C89" w:rsidRPr="00062FEE" w:rsidRDefault="008D4C89" w:rsidP="008D37DF">
            <w:pPr>
              <w:pStyle w:val="NCLTableText"/>
              <w:rPr>
                <w:szCs w:val="20"/>
              </w:rPr>
            </w:pPr>
            <w:r w:rsidRPr="00062FEE">
              <w:rPr>
                <w:szCs w:val="20"/>
              </w:rPr>
              <w:t>Groups / Individuals who have overseen the development of this guidance:</w:t>
            </w:r>
          </w:p>
        </w:tc>
        <w:tc>
          <w:tcPr>
            <w:tcW w:w="4920" w:type="dxa"/>
            <w:shd w:val="clear" w:color="auto" w:fill="auto"/>
          </w:tcPr>
          <w:p w14:paraId="20A81B5E" w14:textId="7F470BCD" w:rsidR="00062FEE" w:rsidRPr="00062FEE" w:rsidRDefault="00062FEE" w:rsidP="008D37DF">
            <w:pPr>
              <w:pStyle w:val="NCLTableText"/>
              <w:rPr>
                <w:szCs w:val="20"/>
              </w:rPr>
            </w:pPr>
            <w:r w:rsidRPr="00062FEE">
              <w:rPr>
                <w:szCs w:val="20"/>
              </w:rPr>
              <w:t>Dr Salman Sajid</w:t>
            </w:r>
          </w:p>
          <w:p w14:paraId="104D4202" w14:textId="77777777" w:rsidR="008D4C89" w:rsidRPr="00062FEE" w:rsidRDefault="00062FEE" w:rsidP="008D37DF">
            <w:pPr>
              <w:pStyle w:val="NCLTableText"/>
              <w:rPr>
                <w:szCs w:val="20"/>
              </w:rPr>
            </w:pPr>
            <w:r w:rsidRPr="00062FEE">
              <w:rPr>
                <w:szCs w:val="20"/>
              </w:rPr>
              <w:t>Mr Ahmed Mohammed</w:t>
            </w:r>
          </w:p>
          <w:p w14:paraId="6C148FA8" w14:textId="6331A345" w:rsidR="00062FEE" w:rsidRPr="00062FEE" w:rsidRDefault="00062FEE" w:rsidP="008D37DF">
            <w:pPr>
              <w:pStyle w:val="NCLTableText"/>
              <w:rPr>
                <w:szCs w:val="20"/>
              </w:rPr>
            </w:pPr>
            <w:r w:rsidRPr="00062FEE">
              <w:rPr>
                <w:szCs w:val="20"/>
              </w:rPr>
              <w:t>NCL ICB Medicines Optimisation team</w:t>
            </w:r>
          </w:p>
        </w:tc>
      </w:tr>
      <w:tr w:rsidR="008D4C89" w:rsidRPr="00062FEE" w14:paraId="3FB455F8" w14:textId="77777777" w:rsidTr="008D37DF">
        <w:tc>
          <w:tcPr>
            <w:tcW w:w="4402" w:type="dxa"/>
            <w:shd w:val="clear" w:color="auto" w:fill="auto"/>
          </w:tcPr>
          <w:p w14:paraId="5BB002AF" w14:textId="77777777" w:rsidR="008D4C89" w:rsidRPr="00062FEE" w:rsidRDefault="008D4C89" w:rsidP="008D37DF">
            <w:pPr>
              <w:pStyle w:val="NCLTableText"/>
              <w:rPr>
                <w:szCs w:val="20"/>
              </w:rPr>
            </w:pPr>
            <w:r w:rsidRPr="00062FEE">
              <w:rPr>
                <w:szCs w:val="20"/>
              </w:rPr>
              <w:t>Groups which were consulted and have given approval:</w:t>
            </w:r>
          </w:p>
        </w:tc>
        <w:tc>
          <w:tcPr>
            <w:tcW w:w="4920" w:type="dxa"/>
            <w:shd w:val="clear" w:color="auto" w:fill="auto"/>
          </w:tcPr>
          <w:p w14:paraId="4A1AA704" w14:textId="77777777" w:rsidR="00062FEE" w:rsidRPr="00062FEE" w:rsidRDefault="00062FEE" w:rsidP="00062FEE">
            <w:pPr>
              <w:pStyle w:val="NCLTableText"/>
              <w:rPr>
                <w:szCs w:val="20"/>
              </w:rPr>
            </w:pPr>
            <w:r w:rsidRPr="00062FEE">
              <w:rPr>
                <w:szCs w:val="20"/>
              </w:rPr>
              <w:t>NCL consultants and specialist pharmacists</w:t>
            </w:r>
          </w:p>
          <w:p w14:paraId="7B860EDB" w14:textId="77777777" w:rsidR="00062FEE" w:rsidRPr="00062FEE" w:rsidRDefault="00062FEE" w:rsidP="00062FEE">
            <w:pPr>
              <w:pStyle w:val="NCLTableText"/>
              <w:rPr>
                <w:szCs w:val="20"/>
              </w:rPr>
            </w:pPr>
            <w:r w:rsidRPr="00062FEE">
              <w:rPr>
                <w:szCs w:val="20"/>
              </w:rPr>
              <w:t>NCL GPPA</w:t>
            </w:r>
          </w:p>
          <w:p w14:paraId="60F4CF8F" w14:textId="77777777" w:rsidR="00062FEE" w:rsidRPr="00062FEE" w:rsidRDefault="00062FEE" w:rsidP="00062FEE">
            <w:pPr>
              <w:pStyle w:val="NCLTableText"/>
              <w:rPr>
                <w:szCs w:val="20"/>
              </w:rPr>
            </w:pPr>
            <w:r w:rsidRPr="00062FEE">
              <w:rPr>
                <w:szCs w:val="20"/>
              </w:rPr>
              <w:t>NCL LMC</w:t>
            </w:r>
          </w:p>
          <w:p w14:paraId="02D4FB2B" w14:textId="2ACB7F49" w:rsidR="008D4C89" w:rsidRPr="00062FEE" w:rsidRDefault="00062FEE" w:rsidP="00062FEE">
            <w:pPr>
              <w:pStyle w:val="NCLTableText"/>
              <w:rPr>
                <w:szCs w:val="20"/>
              </w:rPr>
            </w:pPr>
            <w:r w:rsidRPr="00062FEE">
              <w:rPr>
                <w:szCs w:val="20"/>
              </w:rPr>
              <w:t>NCL Shared Care Group</w:t>
            </w:r>
          </w:p>
        </w:tc>
      </w:tr>
      <w:tr w:rsidR="008D4C89" w:rsidRPr="00062FEE" w14:paraId="48E7B574" w14:textId="77777777" w:rsidTr="008D37DF">
        <w:tc>
          <w:tcPr>
            <w:tcW w:w="4402" w:type="dxa"/>
            <w:shd w:val="clear" w:color="auto" w:fill="auto"/>
          </w:tcPr>
          <w:p w14:paraId="0452F187" w14:textId="77777777" w:rsidR="008D4C89" w:rsidRPr="00062FEE" w:rsidRDefault="008D4C89" w:rsidP="008D37DF">
            <w:pPr>
              <w:pStyle w:val="NCLTableText"/>
              <w:rPr>
                <w:szCs w:val="20"/>
              </w:rPr>
            </w:pPr>
            <w:r w:rsidRPr="00062FEE">
              <w:rPr>
                <w:szCs w:val="20"/>
              </w:rPr>
              <w:t>File name:</w:t>
            </w:r>
          </w:p>
        </w:tc>
        <w:tc>
          <w:tcPr>
            <w:tcW w:w="4920" w:type="dxa"/>
            <w:shd w:val="clear" w:color="auto" w:fill="auto"/>
          </w:tcPr>
          <w:p w14:paraId="7D0877C5" w14:textId="7E1420B3" w:rsidR="008D4C89" w:rsidRPr="00062FEE" w:rsidRDefault="00062FEE" w:rsidP="008D37DF">
            <w:pPr>
              <w:pStyle w:val="NCLTableText"/>
              <w:rPr>
                <w:szCs w:val="20"/>
              </w:rPr>
            </w:pPr>
            <w:proofErr w:type="spellStart"/>
            <w:r w:rsidRPr="00062FEE">
              <w:rPr>
                <w:szCs w:val="20"/>
              </w:rPr>
              <w:t>SCG_Lokelma</w:t>
            </w:r>
            <w:r w:rsidR="003243DF">
              <w:rPr>
                <w:szCs w:val="20"/>
              </w:rPr>
              <w:t>Veltassa</w:t>
            </w:r>
            <w:proofErr w:type="spellEnd"/>
          </w:p>
        </w:tc>
      </w:tr>
      <w:tr w:rsidR="008D4C89" w:rsidRPr="00062FEE" w14:paraId="7DA998FA" w14:textId="77777777" w:rsidTr="008D37DF">
        <w:tc>
          <w:tcPr>
            <w:tcW w:w="4402" w:type="dxa"/>
            <w:shd w:val="clear" w:color="auto" w:fill="auto"/>
          </w:tcPr>
          <w:p w14:paraId="7C290AC3" w14:textId="77777777" w:rsidR="008D4C89" w:rsidRPr="00062FEE" w:rsidRDefault="008D4C89" w:rsidP="008D37DF">
            <w:pPr>
              <w:pStyle w:val="NCLTableText"/>
              <w:rPr>
                <w:szCs w:val="20"/>
              </w:rPr>
            </w:pPr>
            <w:r w:rsidRPr="00062FEE">
              <w:rPr>
                <w:szCs w:val="20"/>
              </w:rPr>
              <w:t>Version number:</w:t>
            </w:r>
          </w:p>
        </w:tc>
        <w:tc>
          <w:tcPr>
            <w:tcW w:w="4920" w:type="dxa"/>
            <w:shd w:val="clear" w:color="auto" w:fill="auto"/>
          </w:tcPr>
          <w:p w14:paraId="4D8EE30F" w14:textId="17AD8978" w:rsidR="008D4C89" w:rsidRPr="00062FEE" w:rsidRDefault="00062FEE" w:rsidP="008D37DF">
            <w:pPr>
              <w:pStyle w:val="NCLTableText"/>
              <w:rPr>
                <w:szCs w:val="20"/>
              </w:rPr>
            </w:pPr>
            <w:r w:rsidRPr="00062FEE">
              <w:rPr>
                <w:szCs w:val="20"/>
              </w:rPr>
              <w:t>1.0</w:t>
            </w:r>
          </w:p>
        </w:tc>
      </w:tr>
      <w:tr w:rsidR="00062FEE" w:rsidRPr="00062FEE" w14:paraId="26CEF462" w14:textId="77777777" w:rsidTr="008D37DF">
        <w:tc>
          <w:tcPr>
            <w:tcW w:w="4402" w:type="dxa"/>
            <w:shd w:val="clear" w:color="auto" w:fill="auto"/>
          </w:tcPr>
          <w:p w14:paraId="6E5EA98D" w14:textId="77777777" w:rsidR="00062FEE" w:rsidRPr="00062FEE" w:rsidRDefault="00062FEE" w:rsidP="00062FEE">
            <w:pPr>
              <w:pStyle w:val="NCLTableText"/>
              <w:rPr>
                <w:szCs w:val="20"/>
              </w:rPr>
            </w:pPr>
            <w:r w:rsidRPr="00062FEE">
              <w:rPr>
                <w:szCs w:val="20"/>
              </w:rPr>
              <w:t>Available on:</w:t>
            </w:r>
          </w:p>
        </w:tc>
        <w:tc>
          <w:tcPr>
            <w:tcW w:w="4920" w:type="dxa"/>
            <w:shd w:val="clear" w:color="auto" w:fill="auto"/>
          </w:tcPr>
          <w:p w14:paraId="409B7471" w14:textId="4B4D4B05" w:rsidR="00062FEE" w:rsidRPr="00062FEE" w:rsidRDefault="00000000" w:rsidP="00062FEE">
            <w:pPr>
              <w:pStyle w:val="NCLTableText"/>
              <w:rPr>
                <w:szCs w:val="20"/>
              </w:rPr>
            </w:pPr>
            <w:hyperlink r:id="rId33" w:history="1">
              <w:r w:rsidR="00062FEE" w:rsidRPr="00062FEE">
                <w:rPr>
                  <w:rStyle w:val="Hyperlink"/>
                  <w:szCs w:val="20"/>
                </w:rPr>
                <w:t>www.nclhealthandcare.org.uk</w:t>
              </w:r>
            </w:hyperlink>
          </w:p>
        </w:tc>
      </w:tr>
      <w:tr w:rsidR="00062FEE" w:rsidRPr="00062FEE" w14:paraId="7B055067" w14:textId="77777777" w:rsidTr="008D37DF">
        <w:tc>
          <w:tcPr>
            <w:tcW w:w="4402" w:type="dxa"/>
            <w:shd w:val="clear" w:color="auto" w:fill="auto"/>
          </w:tcPr>
          <w:p w14:paraId="6C822B91" w14:textId="77777777" w:rsidR="00062FEE" w:rsidRPr="00062FEE" w:rsidRDefault="00062FEE" w:rsidP="00062FEE">
            <w:pPr>
              <w:pStyle w:val="NCLTableText"/>
              <w:rPr>
                <w:szCs w:val="20"/>
              </w:rPr>
            </w:pPr>
            <w:r w:rsidRPr="00062FEE">
              <w:rPr>
                <w:szCs w:val="20"/>
              </w:rPr>
              <w:t>Disseminated to:</w:t>
            </w:r>
          </w:p>
        </w:tc>
        <w:tc>
          <w:tcPr>
            <w:tcW w:w="4920" w:type="dxa"/>
            <w:shd w:val="clear" w:color="auto" w:fill="auto"/>
          </w:tcPr>
          <w:p w14:paraId="58CE3CF4" w14:textId="6F43EAB6" w:rsidR="00062FEE" w:rsidRPr="00062FEE" w:rsidRDefault="00062FEE" w:rsidP="00062FEE">
            <w:pPr>
              <w:pStyle w:val="NCLTableText"/>
              <w:rPr>
                <w:szCs w:val="20"/>
              </w:rPr>
            </w:pPr>
            <w:r w:rsidRPr="00062FEE">
              <w:rPr>
                <w:szCs w:val="20"/>
              </w:rPr>
              <w:t>NCL Formulary pharmacists and commissioners</w:t>
            </w:r>
          </w:p>
        </w:tc>
      </w:tr>
      <w:tr w:rsidR="00062FEE" w:rsidRPr="00062FEE" w14:paraId="705CCA28" w14:textId="77777777" w:rsidTr="008D37DF">
        <w:tc>
          <w:tcPr>
            <w:tcW w:w="4402" w:type="dxa"/>
            <w:shd w:val="clear" w:color="auto" w:fill="auto"/>
          </w:tcPr>
          <w:p w14:paraId="15EA719D" w14:textId="77777777" w:rsidR="00062FEE" w:rsidRPr="00062FEE" w:rsidRDefault="00062FEE" w:rsidP="00062FEE">
            <w:pPr>
              <w:pStyle w:val="NCLTableText"/>
              <w:rPr>
                <w:szCs w:val="20"/>
              </w:rPr>
            </w:pPr>
            <w:r w:rsidRPr="00062FEE">
              <w:rPr>
                <w:szCs w:val="20"/>
              </w:rPr>
              <w:t>Equality impact assessment:</w:t>
            </w:r>
          </w:p>
        </w:tc>
        <w:tc>
          <w:tcPr>
            <w:tcW w:w="4920" w:type="dxa"/>
            <w:shd w:val="clear" w:color="auto" w:fill="auto"/>
          </w:tcPr>
          <w:p w14:paraId="5E15409E" w14:textId="1B90378A" w:rsidR="00062FEE" w:rsidRPr="00062FEE" w:rsidRDefault="00062FEE" w:rsidP="00062FEE">
            <w:pPr>
              <w:pStyle w:val="NCLTableText"/>
              <w:rPr>
                <w:szCs w:val="20"/>
              </w:rPr>
            </w:pPr>
            <w:r w:rsidRPr="00062FEE">
              <w:rPr>
                <w:szCs w:val="20"/>
              </w:rPr>
              <w:t>Low</w:t>
            </w:r>
          </w:p>
        </w:tc>
      </w:tr>
      <w:tr w:rsidR="00062FEE" w:rsidRPr="00062FEE" w14:paraId="178EDF93" w14:textId="77777777" w:rsidTr="008D37DF">
        <w:tc>
          <w:tcPr>
            <w:tcW w:w="4402" w:type="dxa"/>
            <w:shd w:val="clear" w:color="auto" w:fill="auto"/>
          </w:tcPr>
          <w:p w14:paraId="32C45BCA" w14:textId="77777777" w:rsidR="00062FEE" w:rsidRPr="00062FEE" w:rsidRDefault="00062FEE" w:rsidP="00062FEE">
            <w:pPr>
              <w:pStyle w:val="NCLTableText"/>
              <w:rPr>
                <w:szCs w:val="20"/>
              </w:rPr>
            </w:pPr>
            <w:r w:rsidRPr="00062FEE">
              <w:rPr>
                <w:szCs w:val="20"/>
              </w:rPr>
              <w:t>NCL Shared Care Group Approval date:</w:t>
            </w:r>
          </w:p>
        </w:tc>
        <w:tc>
          <w:tcPr>
            <w:tcW w:w="4920" w:type="dxa"/>
            <w:shd w:val="clear" w:color="auto" w:fill="auto"/>
          </w:tcPr>
          <w:p w14:paraId="32022695" w14:textId="13C81DE2" w:rsidR="00062FEE" w:rsidRPr="00062FEE" w:rsidRDefault="00062FEE" w:rsidP="00062FEE">
            <w:pPr>
              <w:pStyle w:val="NCLTableText"/>
              <w:rPr>
                <w:szCs w:val="20"/>
              </w:rPr>
            </w:pPr>
            <w:r w:rsidRPr="00062FEE">
              <w:rPr>
                <w:szCs w:val="20"/>
              </w:rPr>
              <w:t>08/10/2024</w:t>
            </w:r>
          </w:p>
        </w:tc>
      </w:tr>
      <w:tr w:rsidR="00062FEE" w:rsidRPr="00062FEE" w14:paraId="6C3F2A98" w14:textId="77777777" w:rsidTr="008D37DF">
        <w:tc>
          <w:tcPr>
            <w:tcW w:w="4402" w:type="dxa"/>
            <w:shd w:val="clear" w:color="auto" w:fill="auto"/>
          </w:tcPr>
          <w:p w14:paraId="5F23BBC7" w14:textId="77777777" w:rsidR="00062FEE" w:rsidRPr="00062FEE" w:rsidRDefault="00062FEE" w:rsidP="00062FEE">
            <w:pPr>
              <w:pStyle w:val="NCLTableText"/>
              <w:rPr>
                <w:szCs w:val="20"/>
              </w:rPr>
            </w:pPr>
            <w:r w:rsidRPr="00062FEE">
              <w:rPr>
                <w:szCs w:val="20"/>
              </w:rPr>
              <w:t>Review date:</w:t>
            </w:r>
          </w:p>
        </w:tc>
        <w:tc>
          <w:tcPr>
            <w:tcW w:w="4920" w:type="dxa"/>
            <w:shd w:val="clear" w:color="auto" w:fill="auto"/>
          </w:tcPr>
          <w:p w14:paraId="78E7B607" w14:textId="7F2F1434" w:rsidR="00062FEE" w:rsidRPr="00062FEE" w:rsidRDefault="00062FEE" w:rsidP="00062FEE">
            <w:pPr>
              <w:pStyle w:val="NCLTableText"/>
              <w:rPr>
                <w:szCs w:val="20"/>
              </w:rPr>
            </w:pPr>
            <w:r w:rsidRPr="00062FEE">
              <w:rPr>
                <w:szCs w:val="20"/>
              </w:rPr>
              <w:t>08/10/2027</w:t>
            </w:r>
          </w:p>
        </w:tc>
      </w:tr>
    </w:tbl>
    <w:p w14:paraId="7D2535ED" w14:textId="77777777" w:rsidR="00D46B50" w:rsidRDefault="00D46B50" w:rsidP="00D46B50">
      <w:pPr>
        <w:pStyle w:val="NCLBodyText"/>
      </w:pPr>
    </w:p>
    <w:p w14:paraId="2418BDFC" w14:textId="77777777" w:rsidR="00D46B50" w:rsidRDefault="00D46B50" w:rsidP="00D46B50">
      <w:pPr>
        <w:pStyle w:val="NCLBodyText"/>
      </w:pPr>
      <w:r>
        <w:br w:type="page"/>
      </w:r>
    </w:p>
    <w:p w14:paraId="643D3141" w14:textId="72C61B71" w:rsidR="00DF3C38" w:rsidRPr="00DF3C38" w:rsidRDefault="00DF3C38" w:rsidP="2AB8EA19">
      <w:pPr>
        <w:pStyle w:val="NCLAppendix"/>
        <w:ind w:left="0" w:firstLine="0"/>
      </w:pPr>
      <w:bookmarkStart w:id="1" w:name="_Toc156827849"/>
      <w:r>
        <w:lastRenderedPageBreak/>
        <w:t xml:space="preserve">Appendix </w:t>
      </w:r>
      <w:r>
        <w:fldChar w:fldCharType="begin"/>
      </w:r>
      <w:r>
        <w:instrText>SEQ Appendix \* ARABIC</w:instrText>
      </w:r>
      <w:r>
        <w:fldChar w:fldCharType="separate"/>
      </w:r>
      <w:r w:rsidR="00C32A37">
        <w:rPr>
          <w:noProof/>
        </w:rPr>
        <w:t>1</w:t>
      </w:r>
      <w:r>
        <w:fldChar w:fldCharType="end"/>
      </w:r>
      <w:r>
        <w:t>: xxx transfer form: from [Trust] to GP practice</w:t>
      </w:r>
      <w:bookmarkEnd w:id="1"/>
    </w:p>
    <w:tbl>
      <w:tblPr>
        <w:tblW w:w="103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1600"/>
        <w:gridCol w:w="380"/>
        <w:gridCol w:w="639"/>
        <w:gridCol w:w="257"/>
        <w:gridCol w:w="242"/>
        <w:gridCol w:w="842"/>
        <w:gridCol w:w="1134"/>
        <w:gridCol w:w="875"/>
        <w:gridCol w:w="1920"/>
      </w:tblGrid>
      <w:tr w:rsidR="00DF3C38" w14:paraId="165F5C78" w14:textId="77777777" w:rsidTr="273A31E3">
        <w:trPr>
          <w:cantSplit/>
          <w:trHeight w:val="482"/>
        </w:trPr>
        <w:tc>
          <w:tcPr>
            <w:tcW w:w="10363" w:type="dxa"/>
            <w:gridSpan w:val="10"/>
            <w:tcBorders>
              <w:top w:val="nil"/>
              <w:left w:val="nil"/>
              <w:bottom w:val="nil"/>
              <w:right w:val="nil"/>
            </w:tcBorders>
            <w:vAlign w:val="center"/>
          </w:tcPr>
          <w:p w14:paraId="1A977A1C" w14:textId="77777777" w:rsidR="00DF3C38" w:rsidRDefault="00DF3C38" w:rsidP="008424FD">
            <w:pPr>
              <w:pStyle w:val="BodyText"/>
              <w:tabs>
                <w:tab w:val="left" w:pos="-174"/>
                <w:tab w:val="left" w:pos="4860"/>
                <w:tab w:val="left" w:pos="6660"/>
                <w:tab w:val="left" w:pos="7740"/>
                <w:tab w:val="right" w:pos="8820"/>
              </w:tabs>
              <w:spacing w:after="240"/>
              <w:ind w:left="-174" w:right="-516" w:firstLine="66"/>
              <w:rPr>
                <w:rFonts w:ascii="Arial" w:hAnsi="Arial" w:cs="Arial"/>
                <w:b/>
                <w:iCs/>
              </w:rPr>
            </w:pPr>
          </w:p>
          <w:p w14:paraId="40344270" w14:textId="34C568DA" w:rsidR="00DF3C38" w:rsidRDefault="00DF3C38" w:rsidP="273A31E3">
            <w:pPr>
              <w:pStyle w:val="BodyText"/>
              <w:tabs>
                <w:tab w:val="left" w:pos="4860"/>
                <w:tab w:val="left" w:pos="6660"/>
                <w:tab w:val="left" w:pos="7740"/>
                <w:tab w:val="right" w:pos="8820"/>
              </w:tabs>
              <w:spacing w:after="240"/>
              <w:ind w:left="-174" w:right="-516" w:firstLine="66"/>
              <w:rPr>
                <w:rFonts w:ascii="Arial" w:hAnsi="Arial" w:cs="Arial"/>
                <w:i/>
                <w:iCs/>
              </w:rPr>
            </w:pPr>
            <w:r w:rsidRPr="273A31E3">
              <w:rPr>
                <w:rFonts w:ascii="Arial" w:hAnsi="Arial" w:cs="Arial"/>
                <w:b/>
                <w:bCs/>
              </w:rPr>
              <w:t xml:space="preserve">Section A: to be completed by secondary care </w:t>
            </w:r>
            <w:r w:rsidRPr="273A31E3">
              <w:rPr>
                <w:rFonts w:ascii="Arial" w:hAnsi="Arial" w:cs="Arial"/>
                <w:i/>
                <w:iCs/>
              </w:rPr>
              <w:t xml:space="preserve">Send to </w:t>
            </w:r>
            <w:proofErr w:type="gramStart"/>
            <w:r w:rsidRPr="273A31E3">
              <w:rPr>
                <w:rFonts w:ascii="Arial" w:hAnsi="Arial" w:cs="Arial"/>
                <w:i/>
                <w:iCs/>
              </w:rPr>
              <w:t>practice</w:t>
            </w:r>
            <w:proofErr w:type="gramEnd"/>
          </w:p>
          <w:p w14:paraId="2FE59A5B" w14:textId="77777777" w:rsidR="00DF3C38" w:rsidRDefault="00DF3C38" w:rsidP="008424FD">
            <w:pPr>
              <w:pStyle w:val="BodyText"/>
              <w:tabs>
                <w:tab w:val="left" w:pos="-540"/>
                <w:tab w:val="left" w:pos="4860"/>
                <w:tab w:val="left" w:pos="6660"/>
                <w:tab w:val="left" w:pos="7740"/>
                <w:tab w:val="right" w:pos="8820"/>
              </w:tabs>
              <w:spacing w:after="240"/>
              <w:ind w:left="-108" w:right="-516"/>
              <w:rPr>
                <w:rFonts w:ascii="Arial" w:hAnsi="Arial" w:cs="Arial"/>
                <w:bCs/>
                <w:iCs/>
              </w:rPr>
            </w:pPr>
            <w:r>
              <w:rPr>
                <w:rFonts w:ascii="Arial" w:hAnsi="Arial" w:cs="Arial"/>
                <w:bCs/>
                <w:i/>
              </w:rPr>
              <w:t>This document is to request the shared care pathway of your patient and comprises an agreement between the GP and named consultant.  The patient will continue to be seen by the named consultant as regular follow up.</w:t>
            </w:r>
          </w:p>
        </w:tc>
      </w:tr>
      <w:tr w:rsidR="00DF3C38" w14:paraId="5D363CF3" w14:textId="77777777" w:rsidTr="273A31E3">
        <w:trPr>
          <w:cantSplit/>
          <w:trHeight w:val="586"/>
        </w:trPr>
        <w:tc>
          <w:tcPr>
            <w:tcW w:w="5350" w:type="dxa"/>
            <w:gridSpan w:val="5"/>
            <w:vMerge w:val="restart"/>
            <w:tcBorders>
              <w:top w:val="single" w:sz="4" w:space="0" w:color="auto"/>
              <w:left w:val="single" w:sz="4" w:space="0" w:color="auto"/>
              <w:right w:val="single" w:sz="4" w:space="0" w:color="auto"/>
            </w:tcBorders>
          </w:tcPr>
          <w:p w14:paraId="636B1F0A" w14:textId="2DE7027A" w:rsidR="00DF3C38" w:rsidRDefault="00DF3C38" w:rsidP="273A31E3">
            <w:pPr>
              <w:pStyle w:val="BodyText"/>
              <w:tabs>
                <w:tab w:val="left" w:pos="4860"/>
                <w:tab w:val="left" w:pos="6660"/>
                <w:tab w:val="left" w:pos="7740"/>
                <w:tab w:val="right" w:pos="8820"/>
              </w:tabs>
              <w:spacing w:before="120"/>
              <w:ind w:right="-516" w:firstLine="74"/>
              <w:rPr>
                <w:rFonts w:ascii="Arial" w:hAnsi="Arial" w:cs="Arial"/>
                <w:i/>
                <w:iCs/>
              </w:rPr>
            </w:pPr>
            <w:r w:rsidRPr="273A31E3">
              <w:rPr>
                <w:rFonts w:ascii="Arial" w:hAnsi="Arial" w:cs="Arial"/>
                <w:i/>
                <w:iCs/>
              </w:rPr>
              <w:t xml:space="preserve">Fix address label here (ensure NHS </w:t>
            </w:r>
            <w:proofErr w:type="spellStart"/>
            <w:r w:rsidR="16F548D0" w:rsidRPr="273A31E3">
              <w:rPr>
                <w:rFonts w:ascii="Arial" w:hAnsi="Arial" w:cs="Arial"/>
                <w:i/>
                <w:iCs/>
              </w:rPr>
              <w:t>Number</w:t>
            </w:r>
            <w:r w:rsidRPr="273A31E3">
              <w:rPr>
                <w:rFonts w:ascii="Arial" w:hAnsi="Arial" w:cs="Arial"/>
                <w:i/>
                <w:iCs/>
              </w:rPr>
              <w:t>.on</w:t>
            </w:r>
            <w:proofErr w:type="spellEnd"/>
            <w:r w:rsidRPr="273A31E3">
              <w:rPr>
                <w:rFonts w:ascii="Arial" w:hAnsi="Arial" w:cs="Arial"/>
                <w:i/>
                <w:iCs/>
              </w:rPr>
              <w:t>)</w:t>
            </w:r>
          </w:p>
        </w:tc>
        <w:tc>
          <w:tcPr>
            <w:tcW w:w="242" w:type="dxa"/>
            <w:tcBorders>
              <w:top w:val="nil"/>
              <w:left w:val="single" w:sz="4" w:space="0" w:color="auto"/>
              <w:bottom w:val="nil"/>
              <w:right w:val="nil"/>
            </w:tcBorders>
          </w:tcPr>
          <w:p w14:paraId="1F92AC5C"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c>
          <w:tcPr>
            <w:tcW w:w="4771" w:type="dxa"/>
            <w:gridSpan w:val="4"/>
            <w:vMerge w:val="restart"/>
            <w:tcBorders>
              <w:top w:val="single" w:sz="4" w:space="0" w:color="auto"/>
              <w:left w:val="single" w:sz="4" w:space="0" w:color="auto"/>
              <w:right w:val="single" w:sz="4" w:space="0" w:color="auto"/>
            </w:tcBorders>
          </w:tcPr>
          <w:p w14:paraId="58EB0436" w14:textId="77777777" w:rsidR="00DF3C38" w:rsidRDefault="00DF3C38" w:rsidP="008424FD">
            <w:pPr>
              <w:pStyle w:val="BodyText"/>
              <w:tabs>
                <w:tab w:val="left" w:pos="-540"/>
                <w:tab w:val="left" w:pos="4860"/>
                <w:tab w:val="left" w:pos="6660"/>
                <w:tab w:val="left" w:pos="7740"/>
                <w:tab w:val="right" w:pos="8820"/>
              </w:tabs>
              <w:spacing w:before="120"/>
              <w:ind w:right="-516" w:firstLine="51"/>
              <w:rPr>
                <w:rFonts w:ascii="Arial" w:hAnsi="Arial" w:cs="Arial"/>
                <w:bCs/>
                <w:i/>
              </w:rPr>
            </w:pPr>
            <w:r>
              <w:rPr>
                <w:rFonts w:ascii="Arial" w:hAnsi="Arial" w:cs="Arial"/>
                <w:bCs/>
                <w:iCs/>
              </w:rPr>
              <w:t xml:space="preserve">Clinic stamp </w:t>
            </w:r>
            <w:r>
              <w:rPr>
                <w:rFonts w:ascii="Arial" w:hAnsi="Arial" w:cs="Arial"/>
                <w:bCs/>
                <w:i/>
              </w:rPr>
              <w:t xml:space="preserve">or give details </w:t>
            </w:r>
            <w:proofErr w:type="gramStart"/>
            <w:r>
              <w:rPr>
                <w:rFonts w:ascii="Arial" w:hAnsi="Arial" w:cs="Arial"/>
                <w:bCs/>
                <w:i/>
              </w:rPr>
              <w:t>below</w:t>
            </w:r>
            <w:proofErr w:type="gramEnd"/>
          </w:p>
          <w:p w14:paraId="4B0D6DB3" w14:textId="77777777" w:rsidR="00DF3C38" w:rsidRDefault="00DF3C38" w:rsidP="008424FD">
            <w:pPr>
              <w:pStyle w:val="BodyText"/>
              <w:tabs>
                <w:tab w:val="left" w:pos="-540"/>
                <w:tab w:val="left" w:pos="4860"/>
                <w:tab w:val="left" w:pos="6660"/>
                <w:tab w:val="left" w:pos="7740"/>
                <w:tab w:val="right" w:pos="8820"/>
              </w:tabs>
              <w:spacing w:before="120"/>
              <w:ind w:right="-516" w:firstLine="51"/>
              <w:rPr>
                <w:rFonts w:ascii="Arial" w:hAnsi="Arial" w:cs="Arial"/>
                <w:b/>
                <w:bCs/>
                <w:iCs/>
              </w:rPr>
            </w:pPr>
          </w:p>
        </w:tc>
      </w:tr>
      <w:tr w:rsidR="00DF3C38" w14:paraId="75BB8E07" w14:textId="77777777" w:rsidTr="273A31E3">
        <w:trPr>
          <w:cantSplit/>
          <w:trHeight w:val="145"/>
        </w:trPr>
        <w:tc>
          <w:tcPr>
            <w:tcW w:w="5350" w:type="dxa"/>
            <w:gridSpan w:val="5"/>
            <w:vMerge/>
          </w:tcPr>
          <w:p w14:paraId="04CD16B7"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c>
          <w:tcPr>
            <w:tcW w:w="242" w:type="dxa"/>
            <w:tcBorders>
              <w:top w:val="nil"/>
              <w:left w:val="single" w:sz="4" w:space="0" w:color="auto"/>
              <w:bottom w:val="nil"/>
              <w:right w:val="nil"/>
            </w:tcBorders>
          </w:tcPr>
          <w:p w14:paraId="4AED1530"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c>
          <w:tcPr>
            <w:tcW w:w="4771" w:type="dxa"/>
            <w:gridSpan w:val="4"/>
            <w:vMerge/>
          </w:tcPr>
          <w:p w14:paraId="0452C0D0"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r>
      <w:tr w:rsidR="00DF3C38" w14:paraId="1F659CFE" w14:textId="77777777" w:rsidTr="273A31E3">
        <w:trPr>
          <w:cantSplit/>
          <w:trHeight w:val="113"/>
        </w:trPr>
        <w:tc>
          <w:tcPr>
            <w:tcW w:w="5350" w:type="dxa"/>
            <w:gridSpan w:val="5"/>
            <w:vMerge/>
          </w:tcPr>
          <w:p w14:paraId="374491AA"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c>
          <w:tcPr>
            <w:tcW w:w="242" w:type="dxa"/>
            <w:tcBorders>
              <w:top w:val="nil"/>
              <w:left w:val="single" w:sz="4" w:space="0" w:color="auto"/>
              <w:bottom w:val="nil"/>
              <w:right w:val="nil"/>
            </w:tcBorders>
          </w:tcPr>
          <w:p w14:paraId="5C94E89E"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c>
          <w:tcPr>
            <w:tcW w:w="4771" w:type="dxa"/>
            <w:gridSpan w:val="4"/>
            <w:vMerge/>
          </w:tcPr>
          <w:p w14:paraId="57ACE8A3" w14:textId="77777777" w:rsidR="00DF3C38" w:rsidRDefault="00DF3C38" w:rsidP="008424FD">
            <w:pPr>
              <w:pStyle w:val="BodyText"/>
              <w:tabs>
                <w:tab w:val="left" w:pos="-540"/>
                <w:tab w:val="left" w:pos="4860"/>
                <w:tab w:val="left" w:pos="6660"/>
                <w:tab w:val="left" w:pos="7740"/>
                <w:tab w:val="right" w:pos="8820"/>
              </w:tabs>
              <w:spacing w:before="240"/>
              <w:ind w:right="-516" w:hanging="108"/>
              <w:rPr>
                <w:rFonts w:ascii="Arial" w:hAnsi="Arial" w:cs="Arial"/>
                <w:bCs/>
                <w:iCs/>
              </w:rPr>
            </w:pPr>
          </w:p>
        </w:tc>
      </w:tr>
      <w:tr w:rsidR="00DF3C38" w14:paraId="17CA2488" w14:textId="77777777" w:rsidTr="273A31E3">
        <w:trPr>
          <w:cantSplit/>
          <w:trHeight w:val="90"/>
        </w:trPr>
        <w:tc>
          <w:tcPr>
            <w:tcW w:w="10363" w:type="dxa"/>
            <w:gridSpan w:val="10"/>
            <w:tcBorders>
              <w:top w:val="nil"/>
              <w:left w:val="nil"/>
              <w:bottom w:val="nil"/>
              <w:right w:val="nil"/>
            </w:tcBorders>
          </w:tcPr>
          <w:p w14:paraId="184485B5" w14:textId="77777777" w:rsidR="00DF3C38" w:rsidRDefault="00DF3C38" w:rsidP="008424FD">
            <w:pPr>
              <w:pStyle w:val="BodyText"/>
              <w:tabs>
                <w:tab w:val="left" w:pos="-540"/>
                <w:tab w:val="left" w:pos="4860"/>
                <w:tab w:val="left" w:pos="6660"/>
                <w:tab w:val="left" w:pos="7740"/>
                <w:tab w:val="right" w:pos="8820"/>
              </w:tabs>
              <w:ind w:right="-516" w:firstLine="51"/>
              <w:rPr>
                <w:rFonts w:ascii="Arial" w:hAnsi="Arial" w:cs="Arial"/>
                <w:bCs/>
                <w:iCs/>
                <w:sz w:val="16"/>
              </w:rPr>
            </w:pPr>
          </w:p>
        </w:tc>
      </w:tr>
      <w:tr w:rsidR="00B1573E" w14:paraId="12CDDF41" w14:textId="77777777" w:rsidTr="273A31E3">
        <w:trPr>
          <w:cantSplit/>
          <w:trHeight w:val="468"/>
        </w:trPr>
        <w:tc>
          <w:tcPr>
            <w:tcW w:w="2474" w:type="dxa"/>
            <w:tcBorders>
              <w:top w:val="nil"/>
              <w:left w:val="nil"/>
              <w:bottom w:val="nil"/>
              <w:right w:val="single" w:sz="4" w:space="0" w:color="auto"/>
            </w:tcBorders>
            <w:vAlign w:val="center"/>
          </w:tcPr>
          <w:p w14:paraId="40E83C97" w14:textId="77777777" w:rsidR="00DF3C38" w:rsidRDefault="00DF3C38" w:rsidP="008424FD">
            <w:pPr>
              <w:pStyle w:val="BodyText"/>
              <w:tabs>
                <w:tab w:val="left" w:pos="-540"/>
                <w:tab w:val="left" w:pos="4860"/>
                <w:tab w:val="left" w:pos="6660"/>
                <w:tab w:val="left" w:pos="7740"/>
                <w:tab w:val="right" w:pos="8820"/>
              </w:tabs>
              <w:spacing w:before="120"/>
              <w:ind w:left="-108" w:right="-516"/>
              <w:rPr>
                <w:rFonts w:ascii="Arial" w:hAnsi="Arial" w:cs="Arial"/>
                <w:bCs/>
                <w:iCs/>
              </w:rPr>
            </w:pPr>
            <w:r>
              <w:rPr>
                <w:rFonts w:ascii="Arial" w:hAnsi="Arial" w:cs="Arial"/>
                <w:bCs/>
                <w:iCs/>
              </w:rPr>
              <w:t xml:space="preserve"> Department</w:t>
            </w:r>
          </w:p>
        </w:tc>
        <w:tc>
          <w:tcPr>
            <w:tcW w:w="2876" w:type="dxa"/>
            <w:gridSpan w:val="4"/>
            <w:tcBorders>
              <w:top w:val="single" w:sz="4" w:space="0" w:color="auto"/>
              <w:left w:val="single" w:sz="4" w:space="0" w:color="auto"/>
              <w:bottom w:val="single" w:sz="4" w:space="0" w:color="auto"/>
              <w:right w:val="nil"/>
            </w:tcBorders>
            <w:vAlign w:val="center"/>
          </w:tcPr>
          <w:p w14:paraId="286935C3"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
                <w:bCs/>
                <w:iCs/>
              </w:rPr>
            </w:pPr>
          </w:p>
        </w:tc>
        <w:tc>
          <w:tcPr>
            <w:tcW w:w="242" w:type="dxa"/>
            <w:tcBorders>
              <w:top w:val="nil"/>
              <w:left w:val="single" w:sz="4" w:space="0" w:color="auto"/>
              <w:bottom w:val="nil"/>
              <w:right w:val="nil"/>
            </w:tcBorders>
            <w:vAlign w:val="center"/>
          </w:tcPr>
          <w:p w14:paraId="67404990"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4771" w:type="dxa"/>
            <w:gridSpan w:val="4"/>
            <w:tcBorders>
              <w:top w:val="nil"/>
              <w:left w:val="nil"/>
              <w:bottom w:val="nil"/>
              <w:right w:val="nil"/>
            </w:tcBorders>
            <w:vAlign w:val="center"/>
          </w:tcPr>
          <w:p w14:paraId="2852FD58"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11B3ECB9" w14:textId="77777777" w:rsidTr="273A31E3">
        <w:trPr>
          <w:cantSplit/>
          <w:trHeight w:val="300"/>
        </w:trPr>
        <w:tc>
          <w:tcPr>
            <w:tcW w:w="5592" w:type="dxa"/>
            <w:gridSpan w:val="6"/>
            <w:tcBorders>
              <w:top w:val="nil"/>
              <w:left w:val="nil"/>
              <w:bottom w:val="nil"/>
              <w:right w:val="nil"/>
            </w:tcBorders>
          </w:tcPr>
          <w:p w14:paraId="7EFA829F" w14:textId="77777777" w:rsidR="00DF3C38" w:rsidRDefault="00DF3C38" w:rsidP="008424FD">
            <w:pPr>
              <w:pStyle w:val="BodyText"/>
              <w:tabs>
                <w:tab w:val="left" w:pos="-540"/>
                <w:tab w:val="left" w:pos="4860"/>
                <w:tab w:val="left" w:pos="6660"/>
                <w:tab w:val="left" w:pos="7740"/>
                <w:tab w:val="right" w:pos="8820"/>
              </w:tabs>
              <w:ind w:right="-516" w:hanging="108"/>
              <w:rPr>
                <w:rFonts w:ascii="Arial" w:hAnsi="Arial" w:cs="Arial"/>
                <w:bCs/>
                <w:iCs/>
                <w:sz w:val="16"/>
              </w:rPr>
            </w:pPr>
          </w:p>
        </w:tc>
        <w:tc>
          <w:tcPr>
            <w:tcW w:w="4771" w:type="dxa"/>
            <w:gridSpan w:val="4"/>
            <w:tcBorders>
              <w:top w:val="nil"/>
              <w:left w:val="nil"/>
              <w:bottom w:val="nil"/>
              <w:right w:val="nil"/>
            </w:tcBorders>
          </w:tcPr>
          <w:p w14:paraId="6B720EF0" w14:textId="77777777" w:rsidR="00DF3C38" w:rsidRDefault="00DF3C38" w:rsidP="008424FD">
            <w:pPr>
              <w:pStyle w:val="BodyText"/>
              <w:tabs>
                <w:tab w:val="left" w:pos="-540"/>
                <w:tab w:val="left" w:pos="4860"/>
                <w:tab w:val="left" w:pos="6660"/>
                <w:tab w:val="left" w:pos="7740"/>
                <w:tab w:val="right" w:pos="8820"/>
              </w:tabs>
              <w:ind w:right="-516" w:hanging="108"/>
              <w:rPr>
                <w:rFonts w:ascii="Arial" w:hAnsi="Arial" w:cs="Arial"/>
                <w:bCs/>
                <w:iCs/>
                <w:sz w:val="16"/>
              </w:rPr>
            </w:pPr>
          </w:p>
        </w:tc>
      </w:tr>
      <w:tr w:rsidR="00B1573E" w14:paraId="383C4029" w14:textId="77777777" w:rsidTr="273A31E3">
        <w:trPr>
          <w:cantSplit/>
          <w:trHeight w:val="468"/>
        </w:trPr>
        <w:tc>
          <w:tcPr>
            <w:tcW w:w="2474" w:type="dxa"/>
            <w:tcBorders>
              <w:top w:val="nil"/>
              <w:left w:val="nil"/>
              <w:bottom w:val="nil"/>
              <w:right w:val="single" w:sz="4" w:space="0" w:color="auto"/>
            </w:tcBorders>
            <w:vAlign w:val="center"/>
          </w:tcPr>
          <w:p w14:paraId="3E8D3F76"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 xml:space="preserve">Clinic phone </w:t>
            </w:r>
          </w:p>
          <w:p w14:paraId="4BC86BEE"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p>
        </w:tc>
        <w:tc>
          <w:tcPr>
            <w:tcW w:w="2876" w:type="dxa"/>
            <w:gridSpan w:val="4"/>
            <w:tcBorders>
              <w:top w:val="single" w:sz="4" w:space="0" w:color="auto"/>
              <w:left w:val="single" w:sz="4" w:space="0" w:color="auto"/>
              <w:bottom w:val="single" w:sz="4" w:space="0" w:color="auto"/>
              <w:right w:val="nil"/>
            </w:tcBorders>
            <w:vAlign w:val="center"/>
          </w:tcPr>
          <w:p w14:paraId="62E17009"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
                <w:bCs/>
                <w:iCs/>
              </w:rPr>
            </w:pPr>
          </w:p>
        </w:tc>
        <w:tc>
          <w:tcPr>
            <w:tcW w:w="242" w:type="dxa"/>
            <w:tcBorders>
              <w:top w:val="nil"/>
              <w:left w:val="single" w:sz="4" w:space="0" w:color="auto"/>
              <w:bottom w:val="nil"/>
              <w:right w:val="nil"/>
            </w:tcBorders>
            <w:vAlign w:val="center"/>
          </w:tcPr>
          <w:p w14:paraId="7D93FCA8"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r>
              <w:rPr>
                <w:rFonts w:ascii="Arial" w:hAnsi="Arial" w:cs="Arial"/>
                <w:bCs/>
                <w:iCs/>
              </w:rPr>
              <w:t xml:space="preserve"> </w:t>
            </w:r>
          </w:p>
        </w:tc>
        <w:tc>
          <w:tcPr>
            <w:tcW w:w="842" w:type="dxa"/>
            <w:tcBorders>
              <w:top w:val="nil"/>
              <w:left w:val="nil"/>
              <w:bottom w:val="nil"/>
              <w:right w:val="nil"/>
            </w:tcBorders>
            <w:vAlign w:val="center"/>
          </w:tcPr>
          <w:p w14:paraId="3150AEBF" w14:textId="77777777" w:rsidR="00DF3C38" w:rsidRDefault="00DF3C38" w:rsidP="007B67B8">
            <w:pPr>
              <w:pStyle w:val="BodyText"/>
              <w:tabs>
                <w:tab w:val="left" w:pos="-540"/>
                <w:tab w:val="left" w:pos="4860"/>
                <w:tab w:val="left" w:pos="6660"/>
                <w:tab w:val="left" w:pos="7740"/>
                <w:tab w:val="right" w:pos="8820"/>
              </w:tabs>
              <w:spacing w:before="120"/>
              <w:ind w:right="-516" w:hanging="128"/>
              <w:rPr>
                <w:rFonts w:ascii="Arial" w:hAnsi="Arial" w:cs="Arial"/>
                <w:bCs/>
                <w:iCs/>
              </w:rPr>
            </w:pPr>
            <w:r>
              <w:rPr>
                <w:rFonts w:ascii="Arial" w:hAnsi="Arial" w:cs="Arial"/>
                <w:bCs/>
                <w:iCs/>
              </w:rPr>
              <w:t xml:space="preserve">     </w:t>
            </w:r>
          </w:p>
        </w:tc>
        <w:tc>
          <w:tcPr>
            <w:tcW w:w="3929" w:type="dxa"/>
            <w:gridSpan w:val="3"/>
            <w:tcBorders>
              <w:top w:val="nil"/>
              <w:left w:val="nil"/>
              <w:bottom w:val="nil"/>
              <w:right w:val="nil"/>
            </w:tcBorders>
            <w:vAlign w:val="center"/>
          </w:tcPr>
          <w:p w14:paraId="7F4C96A5"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
                <w:bCs/>
                <w:iCs/>
              </w:rPr>
            </w:pPr>
          </w:p>
        </w:tc>
      </w:tr>
      <w:tr w:rsidR="00DF3C38" w14:paraId="3B2895F3" w14:textId="77777777" w:rsidTr="273A31E3">
        <w:trPr>
          <w:cantSplit/>
          <w:trHeight w:val="300"/>
        </w:trPr>
        <w:tc>
          <w:tcPr>
            <w:tcW w:w="5592" w:type="dxa"/>
            <w:gridSpan w:val="6"/>
            <w:tcBorders>
              <w:top w:val="nil"/>
              <w:left w:val="nil"/>
              <w:bottom w:val="nil"/>
              <w:right w:val="nil"/>
            </w:tcBorders>
          </w:tcPr>
          <w:p w14:paraId="7A76476C" w14:textId="77777777" w:rsidR="00DF3C38" w:rsidRDefault="00DF3C38" w:rsidP="008424FD">
            <w:pPr>
              <w:pStyle w:val="BodyText"/>
              <w:tabs>
                <w:tab w:val="left" w:pos="-540"/>
                <w:tab w:val="left" w:pos="4860"/>
                <w:tab w:val="left" w:pos="6660"/>
                <w:tab w:val="left" w:pos="7740"/>
                <w:tab w:val="right" w:pos="8820"/>
              </w:tabs>
              <w:ind w:right="-516" w:hanging="108"/>
              <w:rPr>
                <w:rFonts w:ascii="Arial" w:hAnsi="Arial" w:cs="Arial"/>
                <w:bCs/>
                <w:iCs/>
                <w:sz w:val="16"/>
              </w:rPr>
            </w:pPr>
          </w:p>
        </w:tc>
        <w:tc>
          <w:tcPr>
            <w:tcW w:w="4771" w:type="dxa"/>
            <w:gridSpan w:val="4"/>
            <w:tcBorders>
              <w:top w:val="nil"/>
              <w:left w:val="nil"/>
              <w:bottom w:val="nil"/>
              <w:right w:val="nil"/>
            </w:tcBorders>
          </w:tcPr>
          <w:p w14:paraId="269EF4F8" w14:textId="77777777" w:rsidR="00DF3C38" w:rsidRDefault="00DF3C38" w:rsidP="008424FD">
            <w:pPr>
              <w:pStyle w:val="BodyText"/>
              <w:tabs>
                <w:tab w:val="left" w:pos="-540"/>
                <w:tab w:val="left" w:pos="4860"/>
                <w:tab w:val="left" w:pos="6660"/>
                <w:tab w:val="left" w:pos="7740"/>
                <w:tab w:val="right" w:pos="8820"/>
              </w:tabs>
              <w:ind w:right="-516" w:hanging="128"/>
              <w:rPr>
                <w:rFonts w:ascii="Arial" w:hAnsi="Arial" w:cs="Arial"/>
                <w:bCs/>
                <w:iCs/>
                <w:sz w:val="16"/>
              </w:rPr>
            </w:pPr>
          </w:p>
        </w:tc>
      </w:tr>
      <w:tr w:rsidR="00B1573E" w14:paraId="4AF479AA" w14:textId="77777777" w:rsidTr="273A31E3">
        <w:trPr>
          <w:cantSplit/>
          <w:trHeight w:val="468"/>
        </w:trPr>
        <w:tc>
          <w:tcPr>
            <w:tcW w:w="2474" w:type="dxa"/>
            <w:tcBorders>
              <w:top w:val="nil"/>
              <w:left w:val="nil"/>
              <w:bottom w:val="nil"/>
              <w:right w:val="single" w:sz="4" w:space="0" w:color="auto"/>
            </w:tcBorders>
            <w:vAlign w:val="center"/>
          </w:tcPr>
          <w:p w14:paraId="1F0D6C89"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Consultant</w:t>
            </w:r>
          </w:p>
        </w:tc>
        <w:tc>
          <w:tcPr>
            <w:tcW w:w="2876" w:type="dxa"/>
            <w:gridSpan w:val="4"/>
            <w:tcBorders>
              <w:top w:val="single" w:sz="4" w:space="0" w:color="auto"/>
              <w:left w:val="single" w:sz="4" w:space="0" w:color="auto"/>
              <w:bottom w:val="single" w:sz="4" w:space="0" w:color="auto"/>
              <w:right w:val="nil"/>
            </w:tcBorders>
            <w:vAlign w:val="center"/>
          </w:tcPr>
          <w:p w14:paraId="610994C4"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42" w:type="dxa"/>
            <w:tcBorders>
              <w:top w:val="nil"/>
              <w:left w:val="single" w:sz="4" w:space="0" w:color="auto"/>
              <w:bottom w:val="nil"/>
              <w:right w:val="nil"/>
            </w:tcBorders>
            <w:vAlign w:val="center"/>
          </w:tcPr>
          <w:p w14:paraId="479D0A9B"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 xml:space="preserve">  </w:t>
            </w:r>
          </w:p>
        </w:tc>
        <w:tc>
          <w:tcPr>
            <w:tcW w:w="842" w:type="dxa"/>
            <w:tcBorders>
              <w:top w:val="nil"/>
              <w:left w:val="nil"/>
              <w:bottom w:val="nil"/>
              <w:right w:val="nil"/>
            </w:tcBorders>
            <w:vAlign w:val="center"/>
          </w:tcPr>
          <w:p w14:paraId="6EACA942" w14:textId="77777777" w:rsidR="00DF3C38" w:rsidRDefault="00DF3C38" w:rsidP="008424FD">
            <w:pPr>
              <w:pStyle w:val="BodyText"/>
              <w:tabs>
                <w:tab w:val="left" w:pos="-540"/>
                <w:tab w:val="left" w:pos="4860"/>
                <w:tab w:val="left" w:pos="6660"/>
                <w:tab w:val="left" w:pos="7740"/>
                <w:tab w:val="right" w:pos="8820"/>
              </w:tabs>
              <w:spacing w:before="120"/>
              <w:ind w:right="-516" w:hanging="128"/>
              <w:rPr>
                <w:rFonts w:ascii="Arial" w:hAnsi="Arial" w:cs="Arial"/>
                <w:bCs/>
                <w:iCs/>
              </w:rPr>
            </w:pPr>
            <w:r>
              <w:rPr>
                <w:rFonts w:ascii="Arial" w:hAnsi="Arial" w:cs="Arial"/>
                <w:bCs/>
                <w:iCs/>
              </w:rPr>
              <w:t xml:space="preserve">  Email</w:t>
            </w:r>
          </w:p>
        </w:tc>
        <w:tc>
          <w:tcPr>
            <w:tcW w:w="3929" w:type="dxa"/>
            <w:gridSpan w:val="3"/>
            <w:tcBorders>
              <w:top w:val="single" w:sz="4" w:space="0" w:color="auto"/>
              <w:left w:val="single" w:sz="4" w:space="0" w:color="auto"/>
              <w:bottom w:val="single" w:sz="4" w:space="0" w:color="auto"/>
              <w:right w:val="single" w:sz="4" w:space="0" w:color="auto"/>
            </w:tcBorders>
            <w:vAlign w:val="center"/>
          </w:tcPr>
          <w:p w14:paraId="70E637B8"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
                <w:bCs/>
                <w:iCs/>
              </w:rPr>
            </w:pPr>
          </w:p>
        </w:tc>
      </w:tr>
      <w:tr w:rsidR="00DF3C38" w14:paraId="48DD4DE8" w14:textId="77777777" w:rsidTr="273A31E3">
        <w:trPr>
          <w:cantSplit/>
          <w:trHeight w:val="287"/>
        </w:trPr>
        <w:tc>
          <w:tcPr>
            <w:tcW w:w="10363" w:type="dxa"/>
            <w:gridSpan w:val="10"/>
            <w:tcBorders>
              <w:top w:val="nil"/>
              <w:left w:val="nil"/>
              <w:bottom w:val="nil"/>
              <w:right w:val="nil"/>
            </w:tcBorders>
          </w:tcPr>
          <w:p w14:paraId="1FEC5749" w14:textId="77777777" w:rsidR="00DF3C38" w:rsidRDefault="00DF3C38" w:rsidP="008424FD">
            <w:pPr>
              <w:pStyle w:val="BodyText"/>
              <w:tabs>
                <w:tab w:val="left" w:pos="-540"/>
                <w:tab w:val="left" w:pos="4860"/>
                <w:tab w:val="left" w:pos="6660"/>
                <w:tab w:val="left" w:pos="7740"/>
                <w:tab w:val="right" w:pos="8820"/>
              </w:tabs>
              <w:ind w:right="-516" w:hanging="108"/>
              <w:rPr>
                <w:rFonts w:ascii="Arial" w:hAnsi="Arial" w:cs="Arial"/>
                <w:bCs/>
                <w:iCs/>
                <w:sz w:val="16"/>
              </w:rPr>
            </w:pPr>
          </w:p>
        </w:tc>
      </w:tr>
      <w:tr w:rsidR="00DF3C38" w14:paraId="0C3606EF" w14:textId="77777777" w:rsidTr="273A31E3">
        <w:trPr>
          <w:cantSplit/>
          <w:trHeight w:val="403"/>
        </w:trPr>
        <w:tc>
          <w:tcPr>
            <w:tcW w:w="2474" w:type="dxa"/>
            <w:tcBorders>
              <w:top w:val="nil"/>
              <w:left w:val="nil"/>
              <w:bottom w:val="nil"/>
              <w:right w:val="single" w:sz="4" w:space="0" w:color="auto"/>
            </w:tcBorders>
            <w:vAlign w:val="center"/>
          </w:tcPr>
          <w:p w14:paraId="6D029492" w14:textId="77777777" w:rsidR="00DF3C38" w:rsidRPr="007B487A" w:rsidRDefault="00DF3C38" w:rsidP="008424FD">
            <w:pPr>
              <w:pStyle w:val="BodyText"/>
              <w:tabs>
                <w:tab w:val="left" w:pos="-540"/>
                <w:tab w:val="left" w:pos="4860"/>
                <w:tab w:val="left" w:pos="6660"/>
                <w:tab w:val="left" w:pos="7740"/>
                <w:tab w:val="right" w:pos="8820"/>
              </w:tabs>
              <w:spacing w:before="120"/>
              <w:ind w:left="-108" w:right="-516"/>
              <w:rPr>
                <w:rFonts w:ascii="Arial" w:hAnsi="Arial" w:cs="Arial"/>
                <w:bCs/>
                <w:iCs/>
              </w:rPr>
            </w:pPr>
            <w:r>
              <w:rPr>
                <w:rFonts w:ascii="Arial" w:hAnsi="Arial" w:cs="Arial"/>
                <w:bCs/>
                <w:iCs/>
              </w:rPr>
              <w:t>Indication for prescription</w:t>
            </w:r>
          </w:p>
        </w:tc>
        <w:tc>
          <w:tcPr>
            <w:tcW w:w="7889" w:type="dxa"/>
            <w:gridSpan w:val="9"/>
            <w:tcBorders>
              <w:top w:val="single" w:sz="4" w:space="0" w:color="auto"/>
              <w:left w:val="nil"/>
              <w:bottom w:val="single" w:sz="4" w:space="0" w:color="auto"/>
              <w:right w:val="single" w:sz="4" w:space="0" w:color="auto"/>
            </w:tcBorders>
            <w:vAlign w:val="center"/>
          </w:tcPr>
          <w:p w14:paraId="170A9655"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24428D76" w14:textId="77777777" w:rsidTr="273A31E3">
        <w:trPr>
          <w:cantSplit/>
          <w:trHeight w:val="300"/>
        </w:trPr>
        <w:tc>
          <w:tcPr>
            <w:tcW w:w="10363" w:type="dxa"/>
            <w:gridSpan w:val="10"/>
            <w:tcBorders>
              <w:top w:val="nil"/>
              <w:left w:val="nil"/>
              <w:bottom w:val="nil"/>
              <w:right w:val="nil"/>
            </w:tcBorders>
          </w:tcPr>
          <w:p w14:paraId="0FB4C051"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r w:rsidR="00DF3C38" w14:paraId="26342C91" w14:textId="77777777" w:rsidTr="273A31E3">
        <w:trPr>
          <w:cantSplit/>
          <w:trHeight w:val="403"/>
        </w:trPr>
        <w:tc>
          <w:tcPr>
            <w:tcW w:w="2474" w:type="dxa"/>
            <w:tcBorders>
              <w:top w:val="nil"/>
              <w:left w:val="nil"/>
              <w:bottom w:val="nil"/>
              <w:right w:val="single" w:sz="4" w:space="0" w:color="auto"/>
            </w:tcBorders>
            <w:vAlign w:val="center"/>
          </w:tcPr>
          <w:p w14:paraId="2839BDE3" w14:textId="77777777" w:rsidR="00DF3C38" w:rsidRPr="007B487A" w:rsidRDefault="00DF3C38" w:rsidP="008424FD">
            <w:pPr>
              <w:pStyle w:val="BodyText"/>
              <w:tabs>
                <w:tab w:val="left" w:pos="-540"/>
                <w:tab w:val="left" w:pos="4860"/>
                <w:tab w:val="left" w:pos="6660"/>
                <w:tab w:val="left" w:pos="7740"/>
                <w:tab w:val="right" w:pos="8820"/>
              </w:tabs>
              <w:spacing w:before="120"/>
              <w:ind w:left="-108" w:right="-516"/>
              <w:rPr>
                <w:rFonts w:ascii="Arial" w:hAnsi="Arial" w:cs="Arial"/>
                <w:bCs/>
                <w:iCs/>
              </w:rPr>
            </w:pPr>
            <w:r>
              <w:rPr>
                <w:rFonts w:ascii="Arial" w:hAnsi="Arial" w:cs="Arial"/>
                <w:bCs/>
                <w:iCs/>
              </w:rPr>
              <w:t>Drug prescribed</w:t>
            </w:r>
          </w:p>
        </w:tc>
        <w:tc>
          <w:tcPr>
            <w:tcW w:w="7889" w:type="dxa"/>
            <w:gridSpan w:val="9"/>
            <w:tcBorders>
              <w:top w:val="single" w:sz="4" w:space="0" w:color="auto"/>
              <w:left w:val="nil"/>
              <w:bottom w:val="single" w:sz="4" w:space="0" w:color="auto"/>
              <w:right w:val="single" w:sz="4" w:space="0" w:color="auto"/>
            </w:tcBorders>
            <w:vAlign w:val="center"/>
          </w:tcPr>
          <w:p w14:paraId="4A367505"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6B805EA5" w14:textId="77777777" w:rsidTr="273A31E3">
        <w:trPr>
          <w:cantSplit/>
          <w:trHeight w:val="300"/>
        </w:trPr>
        <w:tc>
          <w:tcPr>
            <w:tcW w:w="10363" w:type="dxa"/>
            <w:gridSpan w:val="10"/>
            <w:tcBorders>
              <w:top w:val="nil"/>
              <w:left w:val="nil"/>
              <w:bottom w:val="nil"/>
              <w:right w:val="nil"/>
            </w:tcBorders>
          </w:tcPr>
          <w:p w14:paraId="3A9E71CB"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r w:rsidR="00B1573E" w14:paraId="4D10A921" w14:textId="77777777" w:rsidTr="273A31E3">
        <w:trPr>
          <w:cantSplit/>
          <w:trHeight w:val="462"/>
        </w:trPr>
        <w:tc>
          <w:tcPr>
            <w:tcW w:w="4074" w:type="dxa"/>
            <w:gridSpan w:val="2"/>
            <w:tcBorders>
              <w:top w:val="nil"/>
              <w:left w:val="nil"/>
              <w:bottom w:val="nil"/>
              <w:right w:val="single" w:sz="4" w:space="0" w:color="auto"/>
            </w:tcBorders>
          </w:tcPr>
          <w:p w14:paraId="36BBE158" w14:textId="77777777" w:rsidR="00DF3C38" w:rsidRDefault="00DF3C38" w:rsidP="00D831A5">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Date                                     Drug started</w:t>
            </w:r>
          </w:p>
        </w:tc>
        <w:tc>
          <w:tcPr>
            <w:tcW w:w="1019" w:type="dxa"/>
            <w:gridSpan w:val="2"/>
            <w:tcBorders>
              <w:top w:val="single" w:sz="4" w:space="0" w:color="auto"/>
              <w:left w:val="nil"/>
              <w:bottom w:val="single" w:sz="4" w:space="0" w:color="auto"/>
              <w:right w:val="single" w:sz="4" w:space="0" w:color="auto"/>
            </w:tcBorders>
          </w:tcPr>
          <w:p w14:paraId="60C0BB1E"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475" w:type="dxa"/>
            <w:gridSpan w:val="4"/>
            <w:tcBorders>
              <w:top w:val="nil"/>
              <w:left w:val="nil"/>
              <w:bottom w:val="nil"/>
              <w:right w:val="single" w:sz="4" w:space="0" w:color="auto"/>
            </w:tcBorders>
          </w:tcPr>
          <w:p w14:paraId="5CD7590B" w14:textId="77777777" w:rsidR="00DF3C38" w:rsidRDefault="00DF3C38" w:rsidP="00D831A5">
            <w:pPr>
              <w:pStyle w:val="BodyText"/>
              <w:tabs>
                <w:tab w:val="left" w:pos="-540"/>
                <w:tab w:val="left" w:pos="4860"/>
                <w:tab w:val="left" w:pos="6660"/>
                <w:tab w:val="left" w:pos="7740"/>
                <w:tab w:val="right" w:pos="8820"/>
              </w:tabs>
              <w:spacing w:before="120"/>
              <w:ind w:right="-516"/>
              <w:rPr>
                <w:rFonts w:ascii="Arial" w:hAnsi="Arial" w:cs="Arial"/>
                <w:bCs/>
                <w:iCs/>
              </w:rPr>
            </w:pPr>
            <w:r>
              <w:rPr>
                <w:rFonts w:ascii="Arial" w:hAnsi="Arial" w:cs="Arial"/>
                <w:bCs/>
                <w:iCs/>
              </w:rPr>
              <w:t xml:space="preserve">              Current dose</w:t>
            </w:r>
          </w:p>
        </w:tc>
        <w:tc>
          <w:tcPr>
            <w:tcW w:w="875" w:type="dxa"/>
            <w:tcBorders>
              <w:top w:val="single" w:sz="4" w:space="0" w:color="auto"/>
              <w:left w:val="single" w:sz="4" w:space="0" w:color="auto"/>
              <w:bottom w:val="single" w:sz="4" w:space="0" w:color="auto"/>
              <w:right w:val="single" w:sz="4" w:space="0" w:color="auto"/>
            </w:tcBorders>
          </w:tcPr>
          <w:p w14:paraId="4C7FF175"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1920" w:type="dxa"/>
            <w:tcBorders>
              <w:top w:val="nil"/>
              <w:left w:val="single" w:sz="4" w:space="0" w:color="auto"/>
              <w:bottom w:val="nil"/>
              <w:right w:val="nil"/>
            </w:tcBorders>
          </w:tcPr>
          <w:p w14:paraId="635EF602"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7D148A5D" w14:textId="77777777" w:rsidTr="273A31E3">
        <w:trPr>
          <w:cantSplit/>
          <w:trHeight w:val="300"/>
        </w:trPr>
        <w:tc>
          <w:tcPr>
            <w:tcW w:w="10363" w:type="dxa"/>
            <w:gridSpan w:val="10"/>
            <w:tcBorders>
              <w:top w:val="nil"/>
              <w:left w:val="nil"/>
              <w:bottom w:val="nil"/>
              <w:right w:val="nil"/>
            </w:tcBorders>
          </w:tcPr>
          <w:p w14:paraId="1335413D" w14:textId="77777777" w:rsidR="00DF3C38" w:rsidRDefault="00DF3C38" w:rsidP="008424FD">
            <w:pPr>
              <w:pStyle w:val="BodyText"/>
              <w:tabs>
                <w:tab w:val="left" w:pos="-540"/>
                <w:tab w:val="left" w:pos="4860"/>
                <w:tab w:val="left" w:pos="6660"/>
                <w:tab w:val="left" w:pos="7740"/>
                <w:tab w:val="right" w:pos="8820"/>
              </w:tabs>
              <w:ind w:right="-516" w:hanging="108"/>
              <w:rPr>
                <w:rFonts w:ascii="Arial" w:hAnsi="Arial" w:cs="Arial"/>
                <w:bCs/>
                <w:iCs/>
                <w:sz w:val="16"/>
              </w:rPr>
            </w:pPr>
          </w:p>
        </w:tc>
      </w:tr>
      <w:tr w:rsidR="00DF3C38" w14:paraId="457EB596" w14:textId="77777777" w:rsidTr="273A31E3">
        <w:trPr>
          <w:cantSplit/>
          <w:trHeight w:val="468"/>
        </w:trPr>
        <w:tc>
          <w:tcPr>
            <w:tcW w:w="2474" w:type="dxa"/>
            <w:tcBorders>
              <w:top w:val="nil"/>
              <w:left w:val="nil"/>
              <w:bottom w:val="nil"/>
              <w:right w:val="single" w:sz="4" w:space="0" w:color="auto"/>
            </w:tcBorders>
          </w:tcPr>
          <w:p w14:paraId="180CFD63"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 xml:space="preserve">Relevant conditions </w:t>
            </w:r>
          </w:p>
        </w:tc>
        <w:tc>
          <w:tcPr>
            <w:tcW w:w="7889" w:type="dxa"/>
            <w:gridSpan w:val="9"/>
            <w:tcBorders>
              <w:top w:val="single" w:sz="4" w:space="0" w:color="auto"/>
              <w:left w:val="single" w:sz="4" w:space="0" w:color="auto"/>
              <w:bottom w:val="single" w:sz="4" w:space="0" w:color="auto"/>
              <w:right w:val="single" w:sz="4" w:space="0" w:color="auto"/>
            </w:tcBorders>
          </w:tcPr>
          <w:p w14:paraId="45616C26"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5C956EC6" w14:textId="77777777" w:rsidTr="273A31E3">
        <w:trPr>
          <w:cantSplit/>
          <w:trHeight w:val="300"/>
        </w:trPr>
        <w:tc>
          <w:tcPr>
            <w:tcW w:w="10363" w:type="dxa"/>
            <w:gridSpan w:val="10"/>
            <w:tcBorders>
              <w:top w:val="nil"/>
              <w:left w:val="nil"/>
              <w:bottom w:val="nil"/>
              <w:right w:val="nil"/>
            </w:tcBorders>
          </w:tcPr>
          <w:p w14:paraId="290915C8"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r w:rsidR="00DF3C38" w14:paraId="3D38F875" w14:textId="77777777" w:rsidTr="273A31E3">
        <w:trPr>
          <w:cantSplit/>
          <w:trHeight w:val="468"/>
        </w:trPr>
        <w:tc>
          <w:tcPr>
            <w:tcW w:w="2474" w:type="dxa"/>
            <w:tcBorders>
              <w:top w:val="nil"/>
              <w:left w:val="nil"/>
              <w:bottom w:val="nil"/>
              <w:right w:val="single" w:sz="4" w:space="0" w:color="auto"/>
            </w:tcBorders>
          </w:tcPr>
          <w:p w14:paraId="6BC788F4"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Monitoring variations</w:t>
            </w:r>
          </w:p>
        </w:tc>
        <w:tc>
          <w:tcPr>
            <w:tcW w:w="7889" w:type="dxa"/>
            <w:gridSpan w:val="9"/>
            <w:tcBorders>
              <w:top w:val="single" w:sz="4" w:space="0" w:color="auto"/>
              <w:left w:val="single" w:sz="4" w:space="0" w:color="auto"/>
              <w:bottom w:val="single" w:sz="4" w:space="0" w:color="auto"/>
              <w:right w:val="single" w:sz="4" w:space="0" w:color="auto"/>
            </w:tcBorders>
          </w:tcPr>
          <w:p w14:paraId="60DDEF7A"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1F3D8242" w14:textId="77777777" w:rsidTr="273A31E3">
        <w:trPr>
          <w:cantSplit/>
          <w:trHeight w:val="300"/>
        </w:trPr>
        <w:tc>
          <w:tcPr>
            <w:tcW w:w="10363" w:type="dxa"/>
            <w:gridSpan w:val="10"/>
            <w:tcBorders>
              <w:top w:val="nil"/>
              <w:left w:val="nil"/>
              <w:bottom w:val="nil"/>
              <w:right w:val="nil"/>
            </w:tcBorders>
          </w:tcPr>
          <w:p w14:paraId="4DA071E0" w14:textId="77777777" w:rsidR="00DF3C38" w:rsidRDefault="00DF3C38" w:rsidP="008424FD">
            <w:pPr>
              <w:pStyle w:val="BodyText"/>
              <w:tabs>
                <w:tab w:val="left" w:pos="-540"/>
                <w:tab w:val="left" w:pos="5112"/>
                <w:tab w:val="left" w:pos="6660"/>
                <w:tab w:val="left" w:pos="7740"/>
                <w:tab w:val="right" w:pos="8820"/>
              </w:tabs>
              <w:ind w:right="-516" w:hanging="108"/>
              <w:rPr>
                <w:rFonts w:ascii="Arial" w:hAnsi="Arial" w:cs="Arial"/>
                <w:bCs/>
                <w:iCs/>
                <w:sz w:val="16"/>
              </w:rPr>
            </w:pPr>
          </w:p>
        </w:tc>
      </w:tr>
      <w:tr w:rsidR="00B1573E" w14:paraId="5FF00A50" w14:textId="77777777" w:rsidTr="273A31E3">
        <w:trPr>
          <w:cantSplit/>
          <w:trHeight w:val="468"/>
        </w:trPr>
        <w:tc>
          <w:tcPr>
            <w:tcW w:w="2474" w:type="dxa"/>
            <w:tcBorders>
              <w:top w:val="nil"/>
              <w:left w:val="nil"/>
              <w:bottom w:val="nil"/>
              <w:right w:val="single" w:sz="4" w:space="0" w:color="auto"/>
            </w:tcBorders>
          </w:tcPr>
          <w:p w14:paraId="15BAD653" w14:textId="77777777" w:rsidR="00DF3C38" w:rsidRDefault="00DF3C38" w:rsidP="008424FD">
            <w:pPr>
              <w:pStyle w:val="BodyText"/>
              <w:tabs>
                <w:tab w:val="left" w:pos="-540"/>
                <w:tab w:val="left" w:pos="5112"/>
                <w:tab w:val="left" w:pos="6660"/>
                <w:tab w:val="left" w:pos="7740"/>
                <w:tab w:val="right" w:pos="8820"/>
              </w:tabs>
              <w:spacing w:before="120"/>
              <w:ind w:right="-516" w:hanging="108"/>
              <w:rPr>
                <w:rFonts w:ascii="Arial" w:hAnsi="Arial" w:cs="Arial"/>
                <w:bCs/>
                <w:iCs/>
              </w:rPr>
            </w:pPr>
            <w:r>
              <w:rPr>
                <w:rFonts w:ascii="Arial" w:hAnsi="Arial" w:cs="Arial"/>
                <w:bCs/>
                <w:iCs/>
              </w:rPr>
              <w:t xml:space="preserve">Date next blood test </w:t>
            </w:r>
          </w:p>
        </w:tc>
        <w:tc>
          <w:tcPr>
            <w:tcW w:w="1980" w:type="dxa"/>
            <w:gridSpan w:val="2"/>
            <w:tcBorders>
              <w:top w:val="single" w:sz="4" w:space="0" w:color="auto"/>
              <w:left w:val="single" w:sz="4" w:space="0" w:color="auto"/>
              <w:bottom w:val="single" w:sz="4" w:space="0" w:color="auto"/>
              <w:right w:val="nil"/>
            </w:tcBorders>
          </w:tcPr>
          <w:p w14:paraId="3BBCF868" w14:textId="77777777" w:rsidR="00DF3C38" w:rsidRDefault="00DF3C38" w:rsidP="008424FD">
            <w:pPr>
              <w:pStyle w:val="BodyText"/>
              <w:tabs>
                <w:tab w:val="left" w:pos="-540"/>
                <w:tab w:val="left" w:pos="5112"/>
                <w:tab w:val="left" w:pos="6660"/>
                <w:tab w:val="left" w:pos="7740"/>
                <w:tab w:val="right" w:pos="8820"/>
              </w:tabs>
              <w:spacing w:before="120"/>
              <w:ind w:right="-516"/>
              <w:rPr>
                <w:rFonts w:ascii="Arial" w:hAnsi="Arial" w:cs="Arial"/>
                <w:bCs/>
                <w:iCs/>
              </w:rPr>
            </w:pPr>
          </w:p>
        </w:tc>
        <w:tc>
          <w:tcPr>
            <w:tcW w:w="3114" w:type="dxa"/>
            <w:gridSpan w:val="5"/>
            <w:tcBorders>
              <w:top w:val="nil"/>
              <w:left w:val="single" w:sz="4" w:space="0" w:color="auto"/>
              <w:bottom w:val="nil"/>
              <w:right w:val="single" w:sz="4" w:space="0" w:color="auto"/>
            </w:tcBorders>
          </w:tcPr>
          <w:p w14:paraId="5B9287D8" w14:textId="77777777" w:rsidR="00DF3C38" w:rsidRDefault="00DF3C38" w:rsidP="008424FD">
            <w:pPr>
              <w:pStyle w:val="BodyText"/>
              <w:tabs>
                <w:tab w:val="left" w:pos="-540"/>
                <w:tab w:val="left" w:pos="5112"/>
                <w:tab w:val="left" w:pos="6660"/>
                <w:tab w:val="left" w:pos="7740"/>
                <w:tab w:val="right" w:pos="8820"/>
              </w:tabs>
              <w:spacing w:before="120"/>
              <w:ind w:right="-516" w:hanging="149"/>
              <w:rPr>
                <w:rFonts w:ascii="Arial" w:hAnsi="Arial" w:cs="Arial"/>
                <w:bCs/>
                <w:iCs/>
              </w:rPr>
            </w:pPr>
            <w:r>
              <w:rPr>
                <w:rFonts w:ascii="Arial" w:hAnsi="Arial" w:cs="Arial"/>
                <w:bCs/>
                <w:iCs/>
              </w:rPr>
              <w:t xml:space="preserve">      Next disease review due in </w:t>
            </w:r>
          </w:p>
        </w:tc>
        <w:tc>
          <w:tcPr>
            <w:tcW w:w="875" w:type="dxa"/>
            <w:tcBorders>
              <w:top w:val="single" w:sz="4" w:space="0" w:color="auto"/>
              <w:left w:val="single" w:sz="4" w:space="0" w:color="auto"/>
              <w:bottom w:val="single" w:sz="4" w:space="0" w:color="auto"/>
              <w:right w:val="single" w:sz="4" w:space="0" w:color="auto"/>
            </w:tcBorders>
          </w:tcPr>
          <w:p w14:paraId="1F72500C" w14:textId="77777777" w:rsidR="00DF3C38" w:rsidRDefault="00DF3C38" w:rsidP="008424FD">
            <w:pPr>
              <w:pStyle w:val="BodyText"/>
              <w:tabs>
                <w:tab w:val="left" w:pos="-540"/>
                <w:tab w:val="left" w:pos="5112"/>
                <w:tab w:val="left" w:pos="6660"/>
                <w:tab w:val="left" w:pos="7740"/>
                <w:tab w:val="right" w:pos="8820"/>
              </w:tabs>
              <w:spacing w:before="120"/>
              <w:ind w:right="-516"/>
              <w:rPr>
                <w:rFonts w:ascii="Arial" w:hAnsi="Arial" w:cs="Arial"/>
                <w:bCs/>
                <w:iCs/>
              </w:rPr>
            </w:pPr>
          </w:p>
        </w:tc>
        <w:tc>
          <w:tcPr>
            <w:tcW w:w="1920" w:type="dxa"/>
            <w:tcBorders>
              <w:top w:val="nil"/>
              <w:left w:val="single" w:sz="4" w:space="0" w:color="auto"/>
              <w:bottom w:val="nil"/>
              <w:right w:val="nil"/>
            </w:tcBorders>
          </w:tcPr>
          <w:p w14:paraId="7F75A962" w14:textId="77777777" w:rsidR="00DF3C38" w:rsidRDefault="00DF3C38" w:rsidP="008424FD">
            <w:pPr>
              <w:pStyle w:val="BodyText"/>
              <w:tabs>
                <w:tab w:val="left" w:pos="-540"/>
                <w:tab w:val="left" w:pos="5112"/>
                <w:tab w:val="left" w:pos="6660"/>
                <w:tab w:val="left" w:pos="7740"/>
                <w:tab w:val="right" w:pos="8820"/>
              </w:tabs>
              <w:spacing w:before="120"/>
              <w:ind w:right="-516"/>
              <w:rPr>
                <w:rFonts w:ascii="Arial" w:hAnsi="Arial" w:cs="Arial"/>
                <w:bCs/>
                <w:iCs/>
              </w:rPr>
            </w:pPr>
            <w:r>
              <w:rPr>
                <w:rFonts w:ascii="Arial" w:hAnsi="Arial" w:cs="Arial"/>
                <w:bCs/>
                <w:iCs/>
              </w:rPr>
              <w:t>months’ time.</w:t>
            </w:r>
          </w:p>
        </w:tc>
      </w:tr>
      <w:tr w:rsidR="00DF3C38" w14:paraId="25E3EFCC" w14:textId="77777777" w:rsidTr="273A31E3">
        <w:trPr>
          <w:cantSplit/>
          <w:trHeight w:val="300"/>
        </w:trPr>
        <w:tc>
          <w:tcPr>
            <w:tcW w:w="10363" w:type="dxa"/>
            <w:gridSpan w:val="10"/>
            <w:tcBorders>
              <w:top w:val="nil"/>
              <w:left w:val="nil"/>
              <w:bottom w:val="nil"/>
              <w:right w:val="nil"/>
            </w:tcBorders>
          </w:tcPr>
          <w:p w14:paraId="16C886B1" w14:textId="77777777" w:rsidR="00DF3C38" w:rsidRDefault="00DF3C38" w:rsidP="008424FD">
            <w:pPr>
              <w:pStyle w:val="BodyText"/>
              <w:tabs>
                <w:tab w:val="left" w:pos="-540"/>
                <w:tab w:val="left" w:pos="5112"/>
                <w:tab w:val="left" w:pos="6660"/>
                <w:tab w:val="left" w:pos="7740"/>
                <w:tab w:val="right" w:pos="8820"/>
              </w:tabs>
              <w:ind w:right="-516"/>
              <w:rPr>
                <w:rFonts w:ascii="Arial" w:hAnsi="Arial" w:cs="Arial"/>
                <w:bCs/>
                <w:iCs/>
                <w:sz w:val="16"/>
              </w:rPr>
            </w:pPr>
          </w:p>
        </w:tc>
      </w:tr>
    </w:tbl>
    <w:p w14:paraId="34732121" w14:textId="77777777" w:rsidR="00DF3C38" w:rsidRDefault="00DF3C38" w:rsidP="00801EDB">
      <w:pPr>
        <w:spacing w:after="200" w:line="276" w:lineRule="auto"/>
        <w:rPr>
          <w:rFonts w:eastAsiaTheme="minorHAnsi" w:cs="Calibri"/>
          <w:sz w:val="22"/>
          <w:szCs w:val="22"/>
        </w:rPr>
      </w:pPr>
    </w:p>
    <w:p w14:paraId="3FCAB56C" w14:textId="77777777" w:rsidR="00DF3C38" w:rsidRDefault="00DF3C38">
      <w:pPr>
        <w:spacing w:after="200" w:line="276" w:lineRule="auto"/>
        <w:rPr>
          <w:rFonts w:eastAsiaTheme="minorHAnsi" w:cs="Calibri"/>
          <w:sz w:val="22"/>
          <w:szCs w:val="22"/>
        </w:rPr>
      </w:pPr>
      <w:r>
        <w:rPr>
          <w:rFonts w:eastAsiaTheme="minorHAnsi" w:cs="Calibri"/>
          <w:sz w:val="22"/>
          <w:szCs w:val="22"/>
        </w:rPr>
        <w:br w:type="page"/>
      </w:r>
    </w:p>
    <w:tbl>
      <w:tblPr>
        <w:tblW w:w="103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1422"/>
        <w:gridCol w:w="2546"/>
        <w:gridCol w:w="242"/>
        <w:gridCol w:w="4373"/>
      </w:tblGrid>
      <w:tr w:rsidR="00DF3C38" w14:paraId="228FA33A" w14:textId="77777777" w:rsidTr="273A31E3">
        <w:trPr>
          <w:cantSplit/>
          <w:trHeight w:val="789"/>
        </w:trPr>
        <w:tc>
          <w:tcPr>
            <w:tcW w:w="10363" w:type="dxa"/>
            <w:gridSpan w:val="5"/>
            <w:tcBorders>
              <w:top w:val="nil"/>
              <w:left w:val="nil"/>
              <w:bottom w:val="nil"/>
              <w:right w:val="nil"/>
            </w:tcBorders>
          </w:tcPr>
          <w:p w14:paraId="2FFD5F1D" w14:textId="54008206" w:rsidR="00DF3C38" w:rsidRDefault="00DF3C38" w:rsidP="273A31E3">
            <w:pPr>
              <w:pStyle w:val="BodyText"/>
              <w:tabs>
                <w:tab w:val="left" w:pos="4860"/>
                <w:tab w:val="left" w:pos="6660"/>
                <w:tab w:val="left" w:pos="7740"/>
                <w:tab w:val="right" w:pos="8820"/>
              </w:tabs>
              <w:spacing w:before="240"/>
              <w:ind w:left="-108" w:right="-516"/>
              <w:rPr>
                <w:rFonts w:ascii="Arial" w:hAnsi="Arial" w:cs="Arial"/>
              </w:rPr>
            </w:pPr>
            <w:r w:rsidRPr="273A31E3">
              <w:rPr>
                <w:rFonts w:ascii="Arial" w:hAnsi="Arial" w:cs="Arial"/>
                <w:b/>
                <w:bCs/>
              </w:rPr>
              <w:lastRenderedPageBreak/>
              <w:t xml:space="preserve">Section B: [Accept Shared Care] to be completed by </w:t>
            </w:r>
            <w:proofErr w:type="gramStart"/>
            <w:r w:rsidRPr="273A31E3">
              <w:rPr>
                <w:rFonts w:ascii="Arial" w:hAnsi="Arial" w:cs="Arial"/>
                <w:b/>
                <w:bCs/>
              </w:rPr>
              <w:t>practice</w:t>
            </w:r>
            <w:proofErr w:type="gramEnd"/>
            <w:r w:rsidRPr="273A31E3">
              <w:rPr>
                <w:rFonts w:ascii="Arial" w:hAnsi="Arial" w:cs="Arial"/>
                <w:b/>
                <w:bCs/>
              </w:rPr>
              <w:t xml:space="preserve"> </w:t>
            </w:r>
          </w:p>
          <w:p w14:paraId="3CA82804" w14:textId="5ECB612E" w:rsidR="273A31E3" w:rsidRDefault="00DF3C38" w:rsidP="009D3CF9">
            <w:pPr>
              <w:pStyle w:val="BodyText"/>
              <w:tabs>
                <w:tab w:val="left" w:pos="4860"/>
                <w:tab w:val="left" w:pos="6660"/>
                <w:tab w:val="left" w:pos="7740"/>
                <w:tab w:val="right" w:pos="8820"/>
              </w:tabs>
              <w:spacing w:before="120" w:after="240"/>
              <w:ind w:left="-108" w:right="-516"/>
              <w:rPr>
                <w:rFonts w:ascii="Arial" w:hAnsi="Arial" w:cs="Arial"/>
              </w:rPr>
            </w:pPr>
            <w:r w:rsidRPr="273A31E3">
              <w:rPr>
                <w:rFonts w:ascii="Arial" w:hAnsi="Arial" w:cs="Arial"/>
                <w:i/>
                <w:iCs/>
              </w:rPr>
              <w:t xml:space="preserve">Send back </w:t>
            </w:r>
            <w:r w:rsidRPr="273A31E3">
              <w:rPr>
                <w:rFonts w:ascii="Arial" w:hAnsi="Arial" w:cs="Arial"/>
                <w:b/>
                <w:bCs/>
                <w:i/>
                <w:iCs/>
              </w:rPr>
              <w:t>FAO referring consultant</w:t>
            </w:r>
            <w:r w:rsidRPr="273A31E3">
              <w:rPr>
                <w:rFonts w:ascii="Arial" w:hAnsi="Arial" w:cs="Arial"/>
                <w:i/>
                <w:iCs/>
              </w:rPr>
              <w:t xml:space="preserve"> </w:t>
            </w:r>
            <w:proofErr w:type="gramStart"/>
            <w:r w:rsidRPr="273A31E3">
              <w:rPr>
                <w:rFonts w:ascii="Arial" w:hAnsi="Arial" w:cs="Arial"/>
                <w:i/>
                <w:iCs/>
              </w:rPr>
              <w:t>above</w:t>
            </w:r>
            <w:proofErr w:type="gramEnd"/>
          </w:p>
          <w:p w14:paraId="0B3F9DA6" w14:textId="77777777" w:rsidR="00DF3C38" w:rsidRDefault="00DF3C38" w:rsidP="008424FD">
            <w:pPr>
              <w:pStyle w:val="BodyText"/>
              <w:tabs>
                <w:tab w:val="left" w:pos="-540"/>
                <w:tab w:val="left" w:pos="4860"/>
                <w:tab w:val="left" w:pos="6660"/>
                <w:tab w:val="left" w:pos="7740"/>
                <w:tab w:val="right" w:pos="8820"/>
              </w:tabs>
              <w:spacing w:before="120" w:after="240"/>
              <w:ind w:right="-516" w:hanging="108"/>
              <w:rPr>
                <w:rFonts w:ascii="Arial" w:hAnsi="Arial" w:cs="Arial"/>
                <w:b/>
                <w:iCs/>
              </w:rPr>
            </w:pPr>
            <w:r>
              <w:rPr>
                <w:rFonts w:ascii="Arial" w:hAnsi="Arial" w:cs="Arial"/>
                <w:bCs/>
                <w:iCs/>
              </w:rPr>
              <w:t>The above patient has been accepted into our monitoring service.</w:t>
            </w:r>
          </w:p>
        </w:tc>
      </w:tr>
      <w:tr w:rsidR="00DF3C38" w14:paraId="6C06BDE0" w14:textId="77777777" w:rsidTr="273A31E3">
        <w:trPr>
          <w:cantSplit/>
          <w:trHeight w:val="468"/>
        </w:trPr>
        <w:tc>
          <w:tcPr>
            <w:tcW w:w="3202" w:type="dxa"/>
            <w:gridSpan w:val="2"/>
            <w:tcBorders>
              <w:top w:val="nil"/>
              <w:left w:val="nil"/>
              <w:bottom w:val="nil"/>
              <w:right w:val="single" w:sz="4" w:space="0" w:color="auto"/>
            </w:tcBorders>
          </w:tcPr>
          <w:p w14:paraId="7B75AB34"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Practice date for next blood test</w:t>
            </w:r>
          </w:p>
        </w:tc>
        <w:tc>
          <w:tcPr>
            <w:tcW w:w="2546" w:type="dxa"/>
            <w:tcBorders>
              <w:top w:val="single" w:sz="4" w:space="0" w:color="auto"/>
              <w:left w:val="single" w:sz="4" w:space="0" w:color="auto"/>
              <w:bottom w:val="single" w:sz="4" w:space="0" w:color="auto"/>
              <w:right w:val="single" w:sz="4" w:space="0" w:color="auto"/>
            </w:tcBorders>
          </w:tcPr>
          <w:p w14:paraId="6C35E080"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42" w:type="dxa"/>
            <w:tcBorders>
              <w:top w:val="nil"/>
              <w:left w:val="single" w:sz="4" w:space="0" w:color="auto"/>
              <w:bottom w:val="nil"/>
              <w:right w:val="nil"/>
            </w:tcBorders>
          </w:tcPr>
          <w:p w14:paraId="69F27D04"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4373" w:type="dxa"/>
            <w:vMerge w:val="restart"/>
            <w:tcBorders>
              <w:top w:val="single" w:sz="4" w:space="0" w:color="auto"/>
              <w:left w:val="single" w:sz="4" w:space="0" w:color="auto"/>
              <w:bottom w:val="single" w:sz="4" w:space="0" w:color="auto"/>
              <w:right w:val="single" w:sz="4" w:space="0" w:color="auto"/>
            </w:tcBorders>
          </w:tcPr>
          <w:p w14:paraId="16B2FFA9" w14:textId="77777777" w:rsidR="00DF3C38" w:rsidRDefault="00DF3C38" w:rsidP="007B67B8">
            <w:pPr>
              <w:pStyle w:val="BodyText"/>
              <w:tabs>
                <w:tab w:val="left" w:pos="-540"/>
                <w:tab w:val="left" w:pos="4860"/>
                <w:tab w:val="left" w:pos="6660"/>
                <w:tab w:val="left" w:pos="7740"/>
                <w:tab w:val="right" w:pos="8820"/>
              </w:tabs>
              <w:spacing w:before="120"/>
              <w:ind w:right="-516"/>
              <w:rPr>
                <w:rFonts w:ascii="Arial" w:hAnsi="Arial" w:cs="Arial"/>
                <w:bCs/>
                <w:iCs/>
              </w:rPr>
            </w:pPr>
            <w:r>
              <w:rPr>
                <w:rFonts w:ascii="Arial" w:hAnsi="Arial" w:cs="Arial"/>
                <w:bCs/>
                <w:iCs/>
              </w:rPr>
              <w:t xml:space="preserve">Practice stamp </w:t>
            </w:r>
          </w:p>
        </w:tc>
      </w:tr>
      <w:tr w:rsidR="00DF3C38" w14:paraId="6B84C02B" w14:textId="77777777" w:rsidTr="273A31E3">
        <w:trPr>
          <w:cantSplit/>
          <w:trHeight w:val="300"/>
        </w:trPr>
        <w:tc>
          <w:tcPr>
            <w:tcW w:w="5748" w:type="dxa"/>
            <w:gridSpan w:val="3"/>
            <w:tcBorders>
              <w:top w:val="nil"/>
              <w:left w:val="nil"/>
              <w:bottom w:val="nil"/>
              <w:right w:val="nil"/>
            </w:tcBorders>
          </w:tcPr>
          <w:p w14:paraId="59AF1F27"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242" w:type="dxa"/>
            <w:tcBorders>
              <w:top w:val="nil"/>
              <w:left w:val="nil"/>
              <w:bottom w:val="nil"/>
              <w:right w:val="nil"/>
            </w:tcBorders>
          </w:tcPr>
          <w:p w14:paraId="2E4B00D9"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4373" w:type="dxa"/>
            <w:vMerge/>
          </w:tcPr>
          <w:p w14:paraId="0E6C4AF8"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r w:rsidR="00DF3C38" w14:paraId="28C1C121" w14:textId="77777777" w:rsidTr="273A31E3">
        <w:trPr>
          <w:cantSplit/>
          <w:trHeight w:val="468"/>
        </w:trPr>
        <w:tc>
          <w:tcPr>
            <w:tcW w:w="1780" w:type="dxa"/>
            <w:tcBorders>
              <w:top w:val="nil"/>
              <w:left w:val="nil"/>
              <w:bottom w:val="nil"/>
              <w:right w:val="single" w:sz="4" w:space="0" w:color="auto"/>
            </w:tcBorders>
          </w:tcPr>
          <w:p w14:paraId="5ECD14AD" w14:textId="77777777" w:rsidR="00DF3C38" w:rsidRDefault="00DF3C38" w:rsidP="008424FD">
            <w:pPr>
              <w:pStyle w:val="BodyText"/>
              <w:tabs>
                <w:tab w:val="left" w:pos="-540"/>
                <w:tab w:val="left" w:pos="4860"/>
                <w:tab w:val="left" w:pos="6660"/>
                <w:tab w:val="left" w:pos="7740"/>
                <w:tab w:val="right" w:pos="8820"/>
              </w:tabs>
              <w:spacing w:before="120"/>
              <w:ind w:left="-108" w:right="-516"/>
              <w:rPr>
                <w:rFonts w:ascii="Arial" w:hAnsi="Arial" w:cs="Arial"/>
                <w:bCs/>
                <w:iCs/>
              </w:rPr>
            </w:pPr>
            <w:r>
              <w:rPr>
                <w:rFonts w:ascii="Arial" w:hAnsi="Arial" w:cs="Arial"/>
                <w:bCs/>
                <w:iCs/>
              </w:rPr>
              <w:t>Signed /</w:t>
            </w:r>
          </w:p>
          <w:p w14:paraId="7C9F0FC7"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Designation</w:t>
            </w:r>
          </w:p>
        </w:tc>
        <w:tc>
          <w:tcPr>
            <w:tcW w:w="3968" w:type="dxa"/>
            <w:gridSpan w:val="2"/>
            <w:tcBorders>
              <w:top w:val="single" w:sz="4" w:space="0" w:color="auto"/>
              <w:left w:val="single" w:sz="4" w:space="0" w:color="auto"/>
              <w:bottom w:val="single" w:sz="4" w:space="0" w:color="auto"/>
              <w:right w:val="single" w:sz="4" w:space="0" w:color="auto"/>
            </w:tcBorders>
          </w:tcPr>
          <w:p w14:paraId="7D2D4AD0"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42" w:type="dxa"/>
            <w:tcBorders>
              <w:top w:val="nil"/>
              <w:left w:val="single" w:sz="4" w:space="0" w:color="auto"/>
              <w:bottom w:val="nil"/>
              <w:right w:val="nil"/>
            </w:tcBorders>
          </w:tcPr>
          <w:p w14:paraId="4D9C01C7"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4373" w:type="dxa"/>
            <w:vMerge/>
          </w:tcPr>
          <w:p w14:paraId="74FCFEA4"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0FBD5FC7" w14:textId="77777777" w:rsidTr="273A31E3">
        <w:trPr>
          <w:cantSplit/>
          <w:trHeight w:val="71"/>
        </w:trPr>
        <w:tc>
          <w:tcPr>
            <w:tcW w:w="5748" w:type="dxa"/>
            <w:gridSpan w:val="3"/>
            <w:tcBorders>
              <w:top w:val="nil"/>
              <w:left w:val="nil"/>
              <w:bottom w:val="nil"/>
              <w:right w:val="nil"/>
            </w:tcBorders>
          </w:tcPr>
          <w:p w14:paraId="2C1AEA07"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rPr>
            </w:pPr>
            <w:r>
              <w:rPr>
                <w:rFonts w:ascii="Arial" w:hAnsi="Arial" w:cs="Arial"/>
                <w:bCs/>
                <w:iCs/>
                <w:noProof/>
                <w:lang w:eastAsia="en-GB"/>
              </w:rPr>
              <mc:AlternateContent>
                <mc:Choice Requires="wps">
                  <w:drawing>
                    <wp:anchor distT="0" distB="0" distL="114300" distR="114300" simplePos="0" relativeHeight="251658240" behindDoc="0" locked="0" layoutInCell="1" allowOverlap="1" wp14:anchorId="33345C18" wp14:editId="002220C2">
                      <wp:simplePos x="0" y="0"/>
                      <wp:positionH relativeFrom="column">
                        <wp:posOffset>1068705</wp:posOffset>
                      </wp:positionH>
                      <wp:positionV relativeFrom="paragraph">
                        <wp:posOffset>146846</wp:posOffset>
                      </wp:positionV>
                      <wp:extent cx="2504364" cy="259308"/>
                      <wp:effectExtent l="0" t="0" r="10795" b="2667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04364" cy="25930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EEF2B54" id="Rectangle 3" o:spid="_x0000_s1026" alt="&quot;&quot;" style="position:absolute;margin-left:84.15pt;margin-top:11.55pt;width:197.2pt;height:20.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8ogwIAAGcFAAAOAAAAZHJzL2Uyb0RvYy54bWysVE1v2zAMvQ/YfxB0X22nST+COkXQosOA&#10;og3WDj0rshQbkEVNUuJkv36UZDtBV+wwLAeFMslH8onkze2+VWQnrGtAl7Q4yykRmkPV6E1Jf7w+&#10;fLmixHmmK6ZAi5IehKO3i8+fbjozFxOoQVXCEgTRbt6Zktbem3mWOV6LlrkzMEKjUoJtmcer3WSV&#10;ZR2ityqb5PlF1oGtjAUunMOv90lJFxFfSsH9s5ROeKJKirn5eNp4rsOZLW7YfGOZqRvep8H+IYuW&#10;NRqDjlD3zDOytc0fUG3DLTiQ/oxDm4GUDRexBqymyN9V81IzI2ItSI4zI03u/8Hyp92LWVmkoTNu&#10;7lAMVeylbcM/5kf2kazDSJbYe8Lx42SWT88vppRw1E1m1+f5VWAzO3ob6/xXAS0JQkktPkbkiO0e&#10;nU+mg0kIpuGhUSo+iNKkK+l5cTmLDg5UUwVlMIutIe6UJTuGj+r3RR/2xAqTUBpzOdYUJX9QIkAo&#10;/V1I0lShihQgtNsRk3EutC+SqmaVSKFmOf6GYINHrDgCBmSJSY7YPcBgmUAG7FR/bx9cRezW0Tn/&#10;W2LJefSIkUH70bltNNiPABRW1UdO9gNJiZrA0hqqw8oSC2lWnOEPDb7fI3N+xSwOB44RDrx/xkMq&#10;wHeCXqKkBvvro+/BHnsWtZR0OGwldT+3zApK1DeN3XxdTKdhOuNlOruc4MWeatanGr1t7wCfvsDV&#10;YngUg71XgygttG+4F5YhKqqY5hi7pNzb4XLn0xLAzcLFchnNcCIN84/6xfAAHlgN/fm6f2PW9E3s&#10;sf2fYBhMNn/Xy8k2eGpYbj3IJjb6kdeeb5zm2Dj95gnr4vQerY77cfEbAAD//wMAUEsDBBQABgAI&#10;AAAAIQAfiCnW3QAAAAkBAAAPAAAAZHJzL2Rvd25yZXYueG1sTI9BT4QwEIXvJv6HZky8GLcsuIhI&#10;2RgTriauG7126QgonRJaFvj3jic9vsyX974p9ovtxRlH3zlSsN1EIJBqZzpqFBzfqtsMhA+ajO4d&#10;oYIVPezLy4tC58bN9IrnQ2gEl5DPtYI2hCGX0tctWu03bkDi26cbrQ4cx0aaUc9cbnsZR1Eqre6I&#10;F1o94HOL9fdhsgruPvzNe/Yi1yjY45e1a7Wb5kqp66vl6RFEwCX8wfCrz+pQstPJTWS86DmnWcKo&#10;gjjZgmBgl8b3IE4K0uQBZFnI/x+UPwAAAP//AwBQSwECLQAUAAYACAAAACEAtoM4kv4AAADhAQAA&#10;EwAAAAAAAAAAAAAAAAAAAAAAW0NvbnRlbnRfVHlwZXNdLnhtbFBLAQItABQABgAIAAAAIQA4/SH/&#10;1gAAAJQBAAALAAAAAAAAAAAAAAAAAC8BAABfcmVscy8ucmVsc1BLAQItABQABgAIAAAAIQD1JG8o&#10;gwIAAGcFAAAOAAAAAAAAAAAAAAAAAC4CAABkcnMvZTJvRG9jLnhtbFBLAQItABQABgAIAAAAIQAf&#10;iCnW3QAAAAkBAAAPAAAAAAAAAAAAAAAAAN0EAABkcnMvZG93bnJldi54bWxQSwUGAAAAAAQABADz&#10;AAAA5wUAAAAA&#10;" filled="f" strokecolor="black [3213]" strokeweight=".25pt"/>
                  </w:pict>
                </mc:Fallback>
              </mc:AlternateContent>
            </w:r>
          </w:p>
          <w:p w14:paraId="1F90DC9F"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 xml:space="preserve">Date </w:t>
            </w:r>
          </w:p>
          <w:p w14:paraId="136C7D95"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rPr>
            </w:pPr>
          </w:p>
        </w:tc>
        <w:tc>
          <w:tcPr>
            <w:tcW w:w="242" w:type="dxa"/>
            <w:tcBorders>
              <w:top w:val="nil"/>
              <w:left w:val="nil"/>
              <w:bottom w:val="nil"/>
              <w:right w:val="nil"/>
            </w:tcBorders>
          </w:tcPr>
          <w:p w14:paraId="441A6AFC"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4373" w:type="dxa"/>
            <w:vMerge/>
          </w:tcPr>
          <w:p w14:paraId="448725AE"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bl>
    <w:p w14:paraId="6F10076B" w14:textId="77777777" w:rsidR="00801EDB" w:rsidRDefault="00801EDB" w:rsidP="00801EDB">
      <w:pPr>
        <w:spacing w:after="200" w:line="276" w:lineRule="auto"/>
        <w:rPr>
          <w:rFonts w:eastAsiaTheme="minorHAnsi" w:cs="Calibri"/>
          <w:sz w:val="22"/>
          <w:szCs w:val="22"/>
        </w:rPr>
      </w:pPr>
    </w:p>
    <w:p w14:paraId="54F98191" w14:textId="77777777" w:rsidR="00DF3C38" w:rsidRDefault="00DF3C38" w:rsidP="00801EDB">
      <w:pPr>
        <w:spacing w:after="200" w:line="276" w:lineRule="auto"/>
        <w:rPr>
          <w:rFonts w:eastAsiaTheme="minorHAnsi" w:cs="Calibri"/>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64"/>
        <w:gridCol w:w="3827"/>
        <w:gridCol w:w="284"/>
        <w:gridCol w:w="4394"/>
      </w:tblGrid>
      <w:tr w:rsidR="00DF3C38" w14:paraId="3BC395E4" w14:textId="77777777" w:rsidTr="273A31E3">
        <w:trPr>
          <w:cantSplit/>
          <w:trHeight w:val="789"/>
        </w:trPr>
        <w:tc>
          <w:tcPr>
            <w:tcW w:w="10349" w:type="dxa"/>
            <w:gridSpan w:val="5"/>
            <w:tcBorders>
              <w:top w:val="nil"/>
              <w:left w:val="nil"/>
              <w:bottom w:val="nil"/>
              <w:right w:val="nil"/>
            </w:tcBorders>
          </w:tcPr>
          <w:p w14:paraId="3C98AF6F" w14:textId="45DC7EC4" w:rsidR="00DF3C38" w:rsidRDefault="00DF3C38" w:rsidP="273A31E3">
            <w:pPr>
              <w:pStyle w:val="BodyText"/>
              <w:tabs>
                <w:tab w:val="left" w:pos="4860"/>
                <w:tab w:val="left" w:pos="6660"/>
                <w:tab w:val="left" w:pos="7740"/>
                <w:tab w:val="right" w:pos="8820"/>
              </w:tabs>
              <w:spacing w:before="240"/>
              <w:ind w:left="-108" w:right="-516"/>
              <w:rPr>
                <w:rFonts w:ascii="Arial" w:hAnsi="Arial" w:cs="Arial"/>
              </w:rPr>
            </w:pPr>
            <w:r w:rsidRPr="273A31E3">
              <w:rPr>
                <w:rFonts w:ascii="Arial" w:hAnsi="Arial" w:cs="Arial"/>
                <w:b/>
                <w:bCs/>
              </w:rPr>
              <w:t xml:space="preserve">Section B: [Reject Shared Care] to be completed by </w:t>
            </w:r>
            <w:proofErr w:type="gramStart"/>
            <w:r w:rsidRPr="273A31E3">
              <w:rPr>
                <w:rFonts w:ascii="Arial" w:hAnsi="Arial" w:cs="Arial"/>
                <w:b/>
                <w:bCs/>
              </w:rPr>
              <w:t>practice</w:t>
            </w:r>
            <w:proofErr w:type="gramEnd"/>
            <w:r w:rsidRPr="273A31E3">
              <w:rPr>
                <w:rFonts w:ascii="Arial" w:hAnsi="Arial" w:cs="Arial"/>
                <w:b/>
                <w:bCs/>
              </w:rPr>
              <w:t xml:space="preserve"> </w:t>
            </w:r>
          </w:p>
          <w:p w14:paraId="02EC6E86" w14:textId="3CD0DF04" w:rsidR="00DF3C38" w:rsidRDefault="00DF3C38" w:rsidP="273A31E3">
            <w:pPr>
              <w:pStyle w:val="BodyText"/>
              <w:tabs>
                <w:tab w:val="left" w:pos="4860"/>
                <w:tab w:val="left" w:pos="6660"/>
                <w:tab w:val="left" w:pos="7740"/>
                <w:tab w:val="right" w:pos="8820"/>
              </w:tabs>
              <w:spacing w:before="240"/>
              <w:ind w:left="-108" w:right="-516"/>
              <w:rPr>
                <w:rFonts w:ascii="Arial" w:hAnsi="Arial" w:cs="Arial"/>
              </w:rPr>
            </w:pPr>
            <w:r w:rsidRPr="273A31E3">
              <w:rPr>
                <w:rFonts w:ascii="Arial" w:hAnsi="Arial" w:cs="Arial"/>
                <w:i/>
                <w:iCs/>
              </w:rPr>
              <w:t xml:space="preserve">Send back </w:t>
            </w:r>
            <w:r w:rsidRPr="273A31E3">
              <w:rPr>
                <w:rFonts w:ascii="Arial" w:hAnsi="Arial" w:cs="Arial"/>
                <w:b/>
                <w:bCs/>
                <w:i/>
                <w:iCs/>
              </w:rPr>
              <w:t xml:space="preserve">FAO referring </w:t>
            </w:r>
            <w:proofErr w:type="gramStart"/>
            <w:r w:rsidRPr="273A31E3">
              <w:rPr>
                <w:rFonts w:ascii="Arial" w:hAnsi="Arial" w:cs="Arial"/>
                <w:b/>
                <w:bCs/>
                <w:i/>
                <w:iCs/>
              </w:rPr>
              <w:t>consultant</w:t>
            </w:r>
            <w:r w:rsidRPr="273A31E3">
              <w:rPr>
                <w:rFonts w:ascii="Arial" w:hAnsi="Arial" w:cs="Arial"/>
                <w:i/>
                <w:iCs/>
              </w:rPr>
              <w:t xml:space="preserve"> </w:t>
            </w:r>
            <w:r w:rsidR="5B7C9243" w:rsidRPr="273A31E3">
              <w:rPr>
                <w:rFonts w:ascii="Arial" w:hAnsi="Arial" w:cs="Arial"/>
                <w:i/>
                <w:iCs/>
              </w:rPr>
              <w:t xml:space="preserve"> </w:t>
            </w:r>
            <w:r w:rsidRPr="273A31E3">
              <w:rPr>
                <w:rFonts w:ascii="Arial" w:hAnsi="Arial" w:cs="Arial"/>
                <w:i/>
                <w:iCs/>
              </w:rPr>
              <w:t>above</w:t>
            </w:r>
            <w:proofErr w:type="gramEnd"/>
          </w:p>
          <w:p w14:paraId="4358ABCC" w14:textId="77777777" w:rsidR="00DF3C38" w:rsidRDefault="00DF3C38" w:rsidP="008424FD">
            <w:pPr>
              <w:pStyle w:val="BodyText"/>
              <w:tabs>
                <w:tab w:val="left" w:pos="-540"/>
                <w:tab w:val="left" w:pos="4860"/>
                <w:tab w:val="left" w:pos="6660"/>
                <w:tab w:val="left" w:pos="7740"/>
                <w:tab w:val="right" w:pos="8820"/>
              </w:tabs>
              <w:spacing w:before="120" w:after="240"/>
              <w:ind w:right="-516" w:hanging="108"/>
              <w:rPr>
                <w:rFonts w:ascii="Arial" w:hAnsi="Arial" w:cs="Arial"/>
                <w:b/>
                <w:iCs/>
              </w:rPr>
            </w:pPr>
            <w:r>
              <w:rPr>
                <w:rFonts w:ascii="Arial" w:hAnsi="Arial" w:cs="Arial"/>
                <w:bCs/>
                <w:iCs/>
              </w:rPr>
              <w:t>The above patient has not been accepted into our monitoring service.</w:t>
            </w:r>
          </w:p>
        </w:tc>
      </w:tr>
      <w:tr w:rsidR="00DF3C38" w14:paraId="33F2E994" w14:textId="77777777" w:rsidTr="273A31E3">
        <w:trPr>
          <w:cantSplit/>
          <w:trHeight w:val="468"/>
        </w:trPr>
        <w:tc>
          <w:tcPr>
            <w:tcW w:w="1844" w:type="dxa"/>
            <w:gridSpan w:val="2"/>
            <w:tcBorders>
              <w:top w:val="nil"/>
              <w:left w:val="nil"/>
              <w:bottom w:val="nil"/>
              <w:right w:val="single" w:sz="4" w:space="0" w:color="auto"/>
            </w:tcBorders>
          </w:tcPr>
          <w:p w14:paraId="595A2212"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Reason</w:t>
            </w:r>
          </w:p>
        </w:tc>
        <w:tc>
          <w:tcPr>
            <w:tcW w:w="3827" w:type="dxa"/>
            <w:tcBorders>
              <w:top w:val="single" w:sz="4" w:space="0" w:color="auto"/>
              <w:left w:val="single" w:sz="4" w:space="0" w:color="auto"/>
              <w:bottom w:val="single" w:sz="4" w:space="0" w:color="auto"/>
              <w:right w:val="single" w:sz="4" w:space="0" w:color="auto"/>
            </w:tcBorders>
          </w:tcPr>
          <w:p w14:paraId="71D9E8FF"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p w14:paraId="4FCC8462"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p w14:paraId="73FF8647"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p w14:paraId="2CCF5A77"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p w14:paraId="29CE46B2"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84" w:type="dxa"/>
            <w:tcBorders>
              <w:top w:val="nil"/>
              <w:left w:val="single" w:sz="4" w:space="0" w:color="auto"/>
              <w:bottom w:val="nil"/>
              <w:right w:val="nil"/>
            </w:tcBorders>
          </w:tcPr>
          <w:p w14:paraId="697AEEBB"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4394" w:type="dxa"/>
            <w:vMerge w:val="restart"/>
            <w:tcBorders>
              <w:top w:val="single" w:sz="4" w:space="0" w:color="auto"/>
              <w:left w:val="single" w:sz="4" w:space="0" w:color="auto"/>
              <w:bottom w:val="single" w:sz="4" w:space="0" w:color="auto"/>
              <w:right w:val="single" w:sz="4" w:space="0" w:color="auto"/>
            </w:tcBorders>
          </w:tcPr>
          <w:p w14:paraId="2C25747F" w14:textId="77777777" w:rsidR="00DF3C38" w:rsidRDefault="00DF3C38" w:rsidP="007B67B8">
            <w:pPr>
              <w:pStyle w:val="BodyText"/>
              <w:tabs>
                <w:tab w:val="left" w:pos="-540"/>
                <w:tab w:val="left" w:pos="4860"/>
                <w:tab w:val="left" w:pos="6660"/>
                <w:tab w:val="left" w:pos="7740"/>
                <w:tab w:val="right" w:pos="8820"/>
              </w:tabs>
              <w:spacing w:before="120"/>
              <w:ind w:right="-516"/>
              <w:rPr>
                <w:rFonts w:ascii="Arial" w:hAnsi="Arial" w:cs="Arial"/>
                <w:bCs/>
                <w:iCs/>
              </w:rPr>
            </w:pPr>
            <w:r>
              <w:rPr>
                <w:rFonts w:ascii="Arial" w:hAnsi="Arial" w:cs="Arial"/>
                <w:bCs/>
                <w:iCs/>
              </w:rPr>
              <w:t xml:space="preserve">Practice stamp </w:t>
            </w:r>
          </w:p>
        </w:tc>
      </w:tr>
      <w:tr w:rsidR="00DF3C38" w14:paraId="2D44ECF4" w14:textId="77777777" w:rsidTr="273A31E3">
        <w:trPr>
          <w:cantSplit/>
          <w:trHeight w:val="300"/>
        </w:trPr>
        <w:tc>
          <w:tcPr>
            <w:tcW w:w="5671" w:type="dxa"/>
            <w:gridSpan w:val="3"/>
            <w:tcBorders>
              <w:top w:val="nil"/>
              <w:left w:val="nil"/>
              <w:bottom w:val="nil"/>
              <w:right w:val="nil"/>
            </w:tcBorders>
          </w:tcPr>
          <w:p w14:paraId="08F7AA83"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284" w:type="dxa"/>
            <w:tcBorders>
              <w:top w:val="nil"/>
              <w:left w:val="nil"/>
              <w:bottom w:val="nil"/>
              <w:right w:val="nil"/>
            </w:tcBorders>
          </w:tcPr>
          <w:p w14:paraId="20550B9B"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4394" w:type="dxa"/>
            <w:vMerge/>
          </w:tcPr>
          <w:p w14:paraId="79AAECA2"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r w:rsidR="00DF3C38" w14:paraId="13685E0E" w14:textId="77777777" w:rsidTr="273A31E3">
        <w:trPr>
          <w:cantSplit/>
          <w:trHeight w:val="468"/>
        </w:trPr>
        <w:tc>
          <w:tcPr>
            <w:tcW w:w="1780" w:type="dxa"/>
            <w:tcBorders>
              <w:top w:val="nil"/>
              <w:left w:val="nil"/>
              <w:bottom w:val="nil"/>
              <w:right w:val="single" w:sz="4" w:space="0" w:color="auto"/>
            </w:tcBorders>
          </w:tcPr>
          <w:p w14:paraId="484307E9" w14:textId="77777777" w:rsidR="00DF3C38" w:rsidRDefault="00DF3C38" w:rsidP="008424FD">
            <w:pPr>
              <w:pStyle w:val="BodyText"/>
              <w:tabs>
                <w:tab w:val="left" w:pos="-540"/>
                <w:tab w:val="left" w:pos="4860"/>
                <w:tab w:val="left" w:pos="6660"/>
                <w:tab w:val="left" w:pos="7740"/>
                <w:tab w:val="right" w:pos="8820"/>
              </w:tabs>
              <w:spacing w:before="120"/>
              <w:ind w:left="-108" w:right="-516"/>
              <w:rPr>
                <w:rFonts w:ascii="Arial" w:hAnsi="Arial" w:cs="Arial"/>
                <w:bCs/>
                <w:iCs/>
              </w:rPr>
            </w:pPr>
            <w:r>
              <w:rPr>
                <w:rFonts w:ascii="Arial" w:hAnsi="Arial" w:cs="Arial"/>
                <w:bCs/>
                <w:iCs/>
              </w:rPr>
              <w:t>Signed /</w:t>
            </w:r>
          </w:p>
          <w:p w14:paraId="4E93431F"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Designation</w:t>
            </w:r>
          </w:p>
        </w:tc>
        <w:tc>
          <w:tcPr>
            <w:tcW w:w="3891" w:type="dxa"/>
            <w:gridSpan w:val="2"/>
            <w:tcBorders>
              <w:top w:val="single" w:sz="4" w:space="0" w:color="auto"/>
              <w:left w:val="single" w:sz="4" w:space="0" w:color="auto"/>
              <w:bottom w:val="single" w:sz="4" w:space="0" w:color="auto"/>
              <w:right w:val="single" w:sz="4" w:space="0" w:color="auto"/>
            </w:tcBorders>
          </w:tcPr>
          <w:p w14:paraId="0282CF10"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284" w:type="dxa"/>
            <w:tcBorders>
              <w:top w:val="nil"/>
              <w:left w:val="single" w:sz="4" w:space="0" w:color="auto"/>
              <w:bottom w:val="nil"/>
              <w:right w:val="nil"/>
            </w:tcBorders>
          </w:tcPr>
          <w:p w14:paraId="6F4E4145"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c>
          <w:tcPr>
            <w:tcW w:w="4394" w:type="dxa"/>
            <w:vMerge/>
          </w:tcPr>
          <w:p w14:paraId="282AF792" w14:textId="77777777" w:rsidR="00DF3C38" w:rsidRDefault="00DF3C38" w:rsidP="008424FD">
            <w:pPr>
              <w:pStyle w:val="BodyText"/>
              <w:tabs>
                <w:tab w:val="left" w:pos="-540"/>
                <w:tab w:val="left" w:pos="4860"/>
                <w:tab w:val="left" w:pos="6660"/>
                <w:tab w:val="left" w:pos="7740"/>
                <w:tab w:val="right" w:pos="8820"/>
              </w:tabs>
              <w:spacing w:before="120"/>
              <w:ind w:right="-516"/>
              <w:rPr>
                <w:rFonts w:ascii="Arial" w:hAnsi="Arial" w:cs="Arial"/>
                <w:bCs/>
                <w:iCs/>
              </w:rPr>
            </w:pPr>
          </w:p>
        </w:tc>
      </w:tr>
      <w:tr w:rsidR="00DF3C38" w14:paraId="16EE89F9" w14:textId="77777777" w:rsidTr="273A31E3">
        <w:trPr>
          <w:cantSplit/>
          <w:trHeight w:val="71"/>
        </w:trPr>
        <w:tc>
          <w:tcPr>
            <w:tcW w:w="5671" w:type="dxa"/>
            <w:gridSpan w:val="3"/>
            <w:tcBorders>
              <w:top w:val="nil"/>
              <w:left w:val="nil"/>
              <w:bottom w:val="nil"/>
              <w:right w:val="nil"/>
            </w:tcBorders>
          </w:tcPr>
          <w:p w14:paraId="25ECF38A"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rPr>
            </w:pPr>
            <w:r>
              <w:rPr>
                <w:rFonts w:ascii="Arial" w:hAnsi="Arial" w:cs="Arial"/>
                <w:bCs/>
                <w:iCs/>
                <w:noProof/>
                <w:lang w:eastAsia="en-GB"/>
              </w:rPr>
              <mc:AlternateContent>
                <mc:Choice Requires="wps">
                  <w:drawing>
                    <wp:anchor distT="0" distB="0" distL="114300" distR="114300" simplePos="0" relativeHeight="251658241" behindDoc="0" locked="0" layoutInCell="1" allowOverlap="1" wp14:anchorId="5DC5B703" wp14:editId="384F6847">
                      <wp:simplePos x="0" y="0"/>
                      <wp:positionH relativeFrom="column">
                        <wp:posOffset>1068705</wp:posOffset>
                      </wp:positionH>
                      <wp:positionV relativeFrom="paragraph">
                        <wp:posOffset>146846</wp:posOffset>
                      </wp:positionV>
                      <wp:extent cx="2504364" cy="259308"/>
                      <wp:effectExtent l="0" t="0" r="10795" b="2667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04364" cy="25930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409A621" id="Rectangle 4" o:spid="_x0000_s1026" alt="&quot;&quot;" style="position:absolute;margin-left:84.15pt;margin-top:11.55pt;width:197.2pt;height:20.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8ogwIAAGcFAAAOAAAAZHJzL2Uyb0RvYy54bWysVE1v2zAMvQ/YfxB0X22nST+COkXQosOA&#10;og3WDj0rshQbkEVNUuJkv36UZDtBV+wwLAeFMslH8onkze2+VWQnrGtAl7Q4yykRmkPV6E1Jf7w+&#10;fLmixHmmK6ZAi5IehKO3i8+fbjozFxOoQVXCEgTRbt6Zktbem3mWOV6LlrkzMEKjUoJtmcer3WSV&#10;ZR2ityqb5PlF1oGtjAUunMOv90lJFxFfSsH9s5ROeKJKirn5eNp4rsOZLW7YfGOZqRvep8H+IYuW&#10;NRqDjlD3zDOytc0fUG3DLTiQ/oxDm4GUDRexBqymyN9V81IzI2ItSI4zI03u/8Hyp92LWVmkoTNu&#10;7lAMVeylbcM/5kf2kazDSJbYe8Lx42SWT88vppRw1E1m1+f5VWAzO3ob6/xXAS0JQkktPkbkiO0e&#10;nU+mg0kIpuGhUSo+iNKkK+l5cTmLDg5UUwVlMIutIe6UJTuGj+r3RR/2xAqTUBpzOdYUJX9QIkAo&#10;/V1I0lShihQgtNsRk3EutC+SqmaVSKFmOf6GYINHrDgCBmSJSY7YPcBgmUAG7FR/bx9cRezW0Tn/&#10;W2LJefSIkUH70bltNNiPABRW1UdO9gNJiZrA0hqqw8oSC2lWnOEPDb7fI3N+xSwOB44RDrx/xkMq&#10;wHeCXqKkBvvro+/BHnsWtZR0OGwldT+3zApK1DeN3XxdTKdhOuNlOruc4MWeatanGr1t7wCfvsDV&#10;YngUg71XgygttG+4F5YhKqqY5hi7pNzb4XLn0xLAzcLFchnNcCIN84/6xfAAHlgN/fm6f2PW9E3s&#10;sf2fYBhMNn/Xy8k2eGpYbj3IJjb6kdeeb5zm2Dj95gnr4vQerY77cfEbAAD//wMAUEsDBBQABgAI&#10;AAAAIQAfiCnW3QAAAAkBAAAPAAAAZHJzL2Rvd25yZXYueG1sTI9BT4QwEIXvJv6HZky8GLcsuIhI&#10;2RgTriauG7126QgonRJaFvj3jic9vsyX974p9ovtxRlH3zlSsN1EIJBqZzpqFBzfqtsMhA+ajO4d&#10;oYIVPezLy4tC58bN9IrnQ2gEl5DPtYI2hCGX0tctWu03bkDi26cbrQ4cx0aaUc9cbnsZR1Eqre6I&#10;F1o94HOL9fdhsgruPvzNe/Yi1yjY45e1a7Wb5kqp66vl6RFEwCX8wfCrz+pQstPJTWS86DmnWcKo&#10;gjjZgmBgl8b3IE4K0uQBZFnI/x+UPwAAAP//AwBQSwECLQAUAAYACAAAACEAtoM4kv4AAADhAQAA&#10;EwAAAAAAAAAAAAAAAAAAAAAAW0NvbnRlbnRfVHlwZXNdLnhtbFBLAQItABQABgAIAAAAIQA4/SH/&#10;1gAAAJQBAAALAAAAAAAAAAAAAAAAAC8BAABfcmVscy8ucmVsc1BLAQItABQABgAIAAAAIQD1JG8o&#10;gwIAAGcFAAAOAAAAAAAAAAAAAAAAAC4CAABkcnMvZTJvRG9jLnhtbFBLAQItABQABgAIAAAAIQAf&#10;iCnW3QAAAAkBAAAPAAAAAAAAAAAAAAAAAN0EAABkcnMvZG93bnJldi54bWxQSwUGAAAAAAQABADz&#10;AAAA5wUAAAAA&#10;" filled="f" strokecolor="black [3213]" strokeweight=".25pt"/>
                  </w:pict>
                </mc:Fallback>
              </mc:AlternateContent>
            </w:r>
          </w:p>
          <w:p w14:paraId="0E47AE4E" w14:textId="77777777" w:rsidR="00DF3C38" w:rsidRDefault="00DF3C38" w:rsidP="008424FD">
            <w:pPr>
              <w:pStyle w:val="BodyText"/>
              <w:tabs>
                <w:tab w:val="left" w:pos="-540"/>
                <w:tab w:val="left" w:pos="4860"/>
                <w:tab w:val="left" w:pos="6660"/>
                <w:tab w:val="left" w:pos="7740"/>
                <w:tab w:val="right" w:pos="8820"/>
              </w:tabs>
              <w:spacing w:before="120"/>
              <w:ind w:right="-516" w:hanging="108"/>
              <w:rPr>
                <w:rFonts w:ascii="Arial" w:hAnsi="Arial" w:cs="Arial"/>
                <w:bCs/>
                <w:iCs/>
              </w:rPr>
            </w:pPr>
            <w:r>
              <w:rPr>
                <w:rFonts w:ascii="Arial" w:hAnsi="Arial" w:cs="Arial"/>
                <w:bCs/>
                <w:iCs/>
              </w:rPr>
              <w:t xml:space="preserve">Date </w:t>
            </w:r>
          </w:p>
          <w:p w14:paraId="6EF6B083"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rPr>
            </w:pPr>
          </w:p>
        </w:tc>
        <w:tc>
          <w:tcPr>
            <w:tcW w:w="284" w:type="dxa"/>
            <w:tcBorders>
              <w:top w:val="nil"/>
              <w:left w:val="nil"/>
              <w:bottom w:val="nil"/>
              <w:right w:val="nil"/>
            </w:tcBorders>
          </w:tcPr>
          <w:p w14:paraId="08DE8B0D"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c>
          <w:tcPr>
            <w:tcW w:w="4394" w:type="dxa"/>
            <w:vMerge/>
          </w:tcPr>
          <w:p w14:paraId="5C893621" w14:textId="77777777" w:rsidR="00DF3C38" w:rsidRDefault="00DF3C38" w:rsidP="008424FD">
            <w:pPr>
              <w:pStyle w:val="BodyText"/>
              <w:tabs>
                <w:tab w:val="left" w:pos="-540"/>
                <w:tab w:val="left" w:pos="4860"/>
                <w:tab w:val="left" w:pos="6660"/>
                <w:tab w:val="left" w:pos="7740"/>
                <w:tab w:val="right" w:pos="8820"/>
              </w:tabs>
              <w:ind w:right="-516"/>
              <w:rPr>
                <w:rFonts w:ascii="Arial" w:hAnsi="Arial" w:cs="Arial"/>
                <w:bCs/>
                <w:iCs/>
                <w:sz w:val="16"/>
              </w:rPr>
            </w:pPr>
          </w:p>
        </w:tc>
      </w:tr>
    </w:tbl>
    <w:p w14:paraId="582FE435" w14:textId="77777777" w:rsidR="00DF3C38" w:rsidRDefault="00DF3C38" w:rsidP="00801EDB">
      <w:pPr>
        <w:spacing w:after="200" w:line="276" w:lineRule="auto"/>
        <w:rPr>
          <w:rFonts w:eastAsiaTheme="minorHAnsi" w:cs="Calibri"/>
          <w:sz w:val="22"/>
          <w:szCs w:val="22"/>
        </w:rPr>
      </w:pPr>
    </w:p>
    <w:p w14:paraId="40529B6C" w14:textId="77777777" w:rsidR="00DF3C38" w:rsidRDefault="00DF3C38" w:rsidP="00801EDB">
      <w:pPr>
        <w:spacing w:after="200" w:line="276" w:lineRule="auto"/>
        <w:rPr>
          <w:rFonts w:eastAsiaTheme="minorHAnsi" w:cs="Calibri"/>
          <w:sz w:val="22"/>
          <w:szCs w:val="22"/>
        </w:rPr>
      </w:pPr>
    </w:p>
    <w:p w14:paraId="3C2153BA" w14:textId="77777777" w:rsidR="00DF3C38" w:rsidRDefault="00DF3C38" w:rsidP="00801EDB">
      <w:pPr>
        <w:spacing w:after="200" w:line="276" w:lineRule="auto"/>
        <w:rPr>
          <w:rFonts w:eastAsiaTheme="minorHAnsi" w:cs="Calibri"/>
          <w:sz w:val="22"/>
          <w:szCs w:val="22"/>
        </w:rPr>
      </w:pPr>
    </w:p>
    <w:p w14:paraId="54E8000A" w14:textId="77777777" w:rsidR="00DF3C38" w:rsidRPr="009D3CF9" w:rsidRDefault="00DF3C38" w:rsidP="00801EDB">
      <w:pPr>
        <w:spacing w:after="200" w:line="276" w:lineRule="auto"/>
        <w:rPr>
          <w:rFonts w:eastAsiaTheme="minorHAnsi" w:cs="Calibri"/>
          <w:strike/>
          <w:sz w:val="22"/>
          <w:szCs w:val="22"/>
        </w:rPr>
      </w:pPr>
    </w:p>
    <w:sectPr w:rsidR="00DF3C38" w:rsidRPr="009D3CF9" w:rsidSect="008A5E15">
      <w:footerReference w:type="default" r:id="rId34"/>
      <w:footerReference w:type="first" r:id="rId35"/>
      <w:footnotePr>
        <w:numFmt w:val="lowerLetter"/>
      </w:footnotePr>
      <w:pgSz w:w="11906" w:h="16838"/>
      <w:pgMar w:top="1134" w:right="1440" w:bottom="1440"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C559" w14:textId="77777777" w:rsidR="00EB599E" w:rsidRDefault="00EB599E" w:rsidP="00224B44">
      <w:r>
        <w:separator/>
      </w:r>
    </w:p>
  </w:endnote>
  <w:endnote w:type="continuationSeparator" w:id="0">
    <w:p w14:paraId="6B62BF9D" w14:textId="77777777" w:rsidR="00EB599E" w:rsidRDefault="00EB599E" w:rsidP="00224B44">
      <w:r>
        <w:continuationSeparator/>
      </w:r>
    </w:p>
  </w:endnote>
  <w:endnote w:type="continuationNotice" w:id="1">
    <w:p w14:paraId="1A54EA54" w14:textId="77777777" w:rsidR="00EB599E" w:rsidRDefault="00EB59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8C38" w14:textId="7839A555" w:rsidR="008424FD" w:rsidRDefault="008424FD" w:rsidP="00367357">
    <w:pPr>
      <w:pStyle w:val="Footer"/>
      <w:jc w:val="left"/>
    </w:pPr>
    <w:r>
      <w:t xml:space="preserve">North Central London </w:t>
    </w:r>
    <w:r w:rsidR="00130070">
      <w:t>Shared Care Group</w:t>
    </w:r>
    <w:r>
      <w:tab/>
    </w:r>
    <w:r>
      <w:tab/>
    </w:r>
    <w:r>
      <w:fldChar w:fldCharType="begin"/>
    </w:r>
    <w:r>
      <w:instrText xml:space="preserve"> PAGE  \* Arabic  \* MERGEFORMAT </w:instrText>
    </w:r>
    <w:r>
      <w:fldChar w:fldCharType="separate"/>
    </w:r>
    <w:r w:rsidR="001A4E75">
      <w:rPr>
        <w:noProof/>
      </w:rPr>
      <w:t>2</w:t>
    </w:r>
    <w:r>
      <w:fldChar w:fldCharType="end"/>
    </w:r>
    <w:r>
      <w:t xml:space="preserve"> of </w:t>
    </w:r>
    <w:fldSimple w:instr="NUMPAGES  \* Arabic  \* MERGEFORMAT">
      <w:r w:rsidR="001A4E75">
        <w:rPr>
          <w:noProof/>
        </w:rPr>
        <w:t>11</w:t>
      </w:r>
    </w:fldSimple>
  </w:p>
  <w:p w14:paraId="0ED5250E" w14:textId="77777777" w:rsidR="008424FD" w:rsidRDefault="008424FD" w:rsidP="00367357">
    <w:pPr>
      <w:pStyle w:val="Footer"/>
      <w:jc w:val="left"/>
    </w:pPr>
  </w:p>
  <w:p w14:paraId="25AFEE04" w14:textId="77777777" w:rsidR="00062FEE" w:rsidRDefault="00AA46DE" w:rsidP="00367357">
    <w:pPr>
      <w:pStyle w:val="Footer"/>
      <w:jc w:val="left"/>
    </w:pPr>
    <w:r>
      <w:t>Lokelma</w:t>
    </w:r>
    <w:r w:rsidR="006A3B1D">
      <w:rPr>
        <w:rFonts w:asciiTheme="minorHAnsi" w:hAnsiTheme="minorHAnsi"/>
        <w:sz w:val="22"/>
      </w:rPr>
      <w:t>®</w:t>
    </w:r>
    <w:r>
      <w:t xml:space="preserve"> </w:t>
    </w:r>
    <w:r w:rsidR="00340A2F">
      <w:t>(Sodium Zirconium</w:t>
    </w:r>
    <w:r w:rsidR="00D606AA">
      <w:t xml:space="preserve"> Cyclosilicate</w:t>
    </w:r>
    <w:r w:rsidR="00340A2F">
      <w:t>),</w:t>
    </w:r>
    <w:r>
      <w:t xml:space="preserve"> </w:t>
    </w:r>
  </w:p>
  <w:p w14:paraId="21FB3300" w14:textId="192D36F0" w:rsidR="008424FD" w:rsidRDefault="003243DF" w:rsidP="00367357">
    <w:pPr>
      <w:pStyle w:val="Footer"/>
      <w:jc w:val="left"/>
    </w:pPr>
    <w:proofErr w:type="spellStart"/>
    <w:r>
      <w:t>Veltassa</w:t>
    </w:r>
    <w:proofErr w:type="spellEnd"/>
    <w:r w:rsidR="006A3B1D">
      <w:rPr>
        <w:rFonts w:asciiTheme="minorHAnsi" w:hAnsiTheme="minorHAnsi"/>
        <w:sz w:val="22"/>
      </w:rPr>
      <w:t>®</w:t>
    </w:r>
    <w:r w:rsidR="00340A2F">
      <w:t xml:space="preserve"> (</w:t>
    </w:r>
    <w:proofErr w:type="spellStart"/>
    <w:r w:rsidR="00340A2F">
      <w:t>Patiromer</w:t>
    </w:r>
    <w:proofErr w:type="spellEnd"/>
    <w:r w:rsidR="00340A2F">
      <w:t xml:space="preserve"> </w:t>
    </w:r>
    <w:r w:rsidR="00B562C7">
      <w:t>Calcium) NCL</w:t>
    </w:r>
    <w:r w:rsidR="008424FD">
      <w:t xml:space="preserve"> Shared Care</w:t>
    </w:r>
    <w:r w:rsidR="00062FEE">
      <w:t xml:space="preserve">                                </w:t>
    </w:r>
    <w:r w:rsidR="008424FD">
      <w:tab/>
      <w:t xml:space="preserve">Approval date: </w:t>
    </w:r>
    <w:r w:rsidR="00062FEE">
      <w:t>Oct 2024</w:t>
    </w:r>
  </w:p>
  <w:p w14:paraId="3CE04138" w14:textId="0374DB28" w:rsidR="008424FD" w:rsidRDefault="008424FD" w:rsidP="00367357">
    <w:pPr>
      <w:pStyle w:val="Footer"/>
      <w:jc w:val="left"/>
    </w:pPr>
    <w:r>
      <w:t xml:space="preserve">Version </w:t>
    </w:r>
    <w:r w:rsidR="00062FEE">
      <w:t>1.0</w:t>
    </w:r>
    <w:r>
      <w:tab/>
    </w:r>
    <w:r>
      <w:tab/>
      <w:t xml:space="preserve">Review date: </w:t>
    </w:r>
    <w:r w:rsidR="00062FEE">
      <w:t>Oct 202</w:t>
    </w:r>
    <w:r w:rsidR="00CB1EFE">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C2D2" w14:textId="77777777" w:rsidR="008424FD" w:rsidRDefault="008424FD" w:rsidP="00367357">
    <w:pPr>
      <w:pStyle w:val="Footer"/>
      <w:jc w:val="left"/>
    </w:pPr>
    <w:r>
      <w:t>North Central London Joint Formulary Committee</w:t>
    </w:r>
    <w:r>
      <w:tab/>
    </w:r>
    <w:r>
      <w:ptab w:relativeTo="margin" w:alignment="center" w:leader="none"/>
    </w:r>
    <w:r>
      <w:tab/>
    </w:r>
    <w:r>
      <w:fldChar w:fldCharType="begin"/>
    </w:r>
    <w:r>
      <w:instrText xml:space="preserve"> PAGE  \* Arabic  \* MERGEFORMAT </w:instrText>
    </w:r>
    <w:r>
      <w:fldChar w:fldCharType="separate"/>
    </w:r>
    <w:r>
      <w:rPr>
        <w:noProof/>
      </w:rPr>
      <w:t>1</w:t>
    </w:r>
    <w:r>
      <w:fldChar w:fldCharType="end"/>
    </w:r>
    <w:r>
      <w:t xml:space="preserve"> of </w:t>
    </w:r>
    <w:fldSimple w:instr="NUMPAGES  \* Arabic  \* MERGEFORMAT">
      <w:r w:rsidR="007B67B8">
        <w:rPr>
          <w:noProof/>
        </w:rPr>
        <w:t>3</w:t>
      </w:r>
    </w:fldSimple>
  </w:p>
  <w:p w14:paraId="479FE23C" w14:textId="77777777" w:rsidR="008424FD" w:rsidRDefault="008424FD" w:rsidP="00367357">
    <w:pPr>
      <w:pStyle w:val="Footer"/>
      <w:jc w:val="left"/>
    </w:pPr>
  </w:p>
  <w:p w14:paraId="5BB6F096" w14:textId="77777777" w:rsidR="008424FD" w:rsidRDefault="008424FD" w:rsidP="00367357">
    <w:pPr>
      <w:pStyle w:val="Footer"/>
      <w:jc w:val="left"/>
    </w:pPr>
    <w:r>
      <w:t xml:space="preserve">Document </w:t>
    </w:r>
    <w:proofErr w:type="gramStart"/>
    <w:r>
      <w:t>title</w:t>
    </w:r>
    <w:proofErr w:type="gramEnd"/>
  </w:p>
  <w:p w14:paraId="14388DB3" w14:textId="77777777" w:rsidR="008424FD" w:rsidRDefault="008424FD" w:rsidP="00367357">
    <w:pPr>
      <w:pStyle w:val="Footer"/>
      <w:jc w:val="left"/>
    </w:pPr>
    <w:r>
      <w:t>Version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DD6B" w14:textId="77777777" w:rsidR="00EB599E" w:rsidRDefault="00EB599E" w:rsidP="00224B44">
      <w:r>
        <w:separator/>
      </w:r>
    </w:p>
  </w:footnote>
  <w:footnote w:type="continuationSeparator" w:id="0">
    <w:p w14:paraId="79D43D91" w14:textId="77777777" w:rsidR="00EB599E" w:rsidRDefault="00EB599E" w:rsidP="00224B44">
      <w:r>
        <w:continuationSeparator/>
      </w:r>
    </w:p>
  </w:footnote>
  <w:footnote w:type="continuationNotice" w:id="1">
    <w:p w14:paraId="7A543DA3" w14:textId="77777777" w:rsidR="00EB599E" w:rsidRDefault="00EB59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370"/>
    <w:multiLevelType w:val="hybridMultilevel"/>
    <w:tmpl w:val="7C3442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C2096D"/>
    <w:multiLevelType w:val="hybridMultilevel"/>
    <w:tmpl w:val="78F6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40E6"/>
    <w:multiLevelType w:val="hybridMultilevel"/>
    <w:tmpl w:val="B5E6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B6959"/>
    <w:multiLevelType w:val="hybridMultilevel"/>
    <w:tmpl w:val="9848A49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1B7D35BA"/>
    <w:multiLevelType w:val="multilevel"/>
    <w:tmpl w:val="9C202792"/>
    <w:styleLink w:val="ReportHeadings"/>
    <w:lvl w:ilvl="0">
      <w:start w:val="1"/>
      <w:numFmt w:val="decimal"/>
      <w:pStyle w:val="NCLHeading1"/>
      <w:lvlText w:val="%1."/>
      <w:lvlJc w:val="left"/>
      <w:pPr>
        <w:ind w:left="851" w:hanging="851"/>
      </w:pPr>
    </w:lvl>
    <w:lvl w:ilvl="1">
      <w:start w:val="1"/>
      <w:numFmt w:val="decimal"/>
      <w:pStyle w:val="NCLHeading2"/>
      <w:lvlText w:val="%1.%2."/>
      <w:lvlJc w:val="left"/>
      <w:pPr>
        <w:ind w:left="851" w:hanging="851"/>
      </w:pPr>
    </w:lvl>
    <w:lvl w:ilvl="2">
      <w:start w:val="1"/>
      <w:numFmt w:val="decimal"/>
      <w:pStyle w:val="NCLHeading3"/>
      <w:lvlText w:val="%1.%2.%3."/>
      <w:lvlJc w:val="left"/>
      <w:pPr>
        <w:ind w:left="851" w:hanging="851"/>
      </w:pPr>
    </w:lvl>
    <w:lvl w:ilvl="3">
      <w:start w:val="1"/>
      <w:numFmt w:val="decimal"/>
      <w:lvlText w:val="%1.%2.%3.%4."/>
      <w:lvlJc w:val="left"/>
      <w:pPr>
        <w:tabs>
          <w:tab w:val="num" w:pos="851"/>
        </w:tabs>
        <w:ind w:left="851" w:hanging="851"/>
      </w:pPr>
    </w:lvl>
    <w:lvl w:ilvl="4">
      <w:start w:val="1"/>
      <w:numFmt w:val="decimal"/>
      <w:pStyle w:val="NCLTableheading"/>
      <w:suff w:val="nothing"/>
      <w:lvlText w:val=""/>
      <w:lvlJc w:val="left"/>
      <w:pPr>
        <w:ind w:left="0" w:firstLine="0"/>
      </w:pPr>
    </w:lvl>
    <w:lvl w:ilvl="5">
      <w:start w:val="1"/>
      <w:numFmt w:val="decimal"/>
      <w:pStyle w:val="ReportHeading6"/>
      <w:suff w:val="nothing"/>
      <w:lvlText w:val=""/>
      <w:lvlJc w:val="left"/>
      <w:pPr>
        <w:ind w:left="0" w:firstLine="0"/>
      </w:pPr>
    </w:lvl>
    <w:lvl w:ilvl="6">
      <w:start w:val="1"/>
      <w:numFmt w:val="decimal"/>
      <w:lvlText w:val=""/>
      <w:lvlJc w:val="left"/>
      <w:pPr>
        <w:ind w:left="567" w:hanging="567"/>
      </w:pPr>
    </w:lvl>
    <w:lvl w:ilvl="7">
      <w:start w:val="1"/>
      <w:numFmt w:val="decimal"/>
      <w:lvlText w:val=""/>
      <w:lvlJc w:val="left"/>
      <w:pPr>
        <w:ind w:left="567" w:hanging="567"/>
      </w:pPr>
    </w:lvl>
    <w:lvl w:ilvl="8">
      <w:start w:val="1"/>
      <w:numFmt w:val="decimal"/>
      <w:lvlText w:val=""/>
      <w:lvlJc w:val="left"/>
      <w:pPr>
        <w:ind w:left="567" w:hanging="567"/>
      </w:pPr>
    </w:lvl>
  </w:abstractNum>
  <w:abstractNum w:abstractNumId="5" w15:restartNumberingAfterBreak="0">
    <w:nsid w:val="1C192BD7"/>
    <w:multiLevelType w:val="singleLevel"/>
    <w:tmpl w:val="1180BBB0"/>
    <w:lvl w:ilvl="0">
      <w:start w:val="1"/>
      <w:numFmt w:val="decimal"/>
      <w:lvlText w:val="%1."/>
      <w:lvlJc w:val="left"/>
      <w:pPr>
        <w:tabs>
          <w:tab w:val="num" w:pos="360"/>
        </w:tabs>
        <w:ind w:left="360" w:hanging="360"/>
      </w:pPr>
      <w:rPr>
        <w:sz w:val="22"/>
        <w:szCs w:val="22"/>
      </w:rPr>
    </w:lvl>
  </w:abstractNum>
  <w:abstractNum w:abstractNumId="6" w15:restartNumberingAfterBreak="0">
    <w:nsid w:val="26C21D3F"/>
    <w:multiLevelType w:val="hybridMultilevel"/>
    <w:tmpl w:val="656A2212"/>
    <w:lvl w:ilvl="0" w:tplc="B7F6E5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D5336"/>
    <w:multiLevelType w:val="hybridMultilevel"/>
    <w:tmpl w:val="E8D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72780"/>
    <w:multiLevelType w:val="hybridMultilevel"/>
    <w:tmpl w:val="55BA3FA4"/>
    <w:lvl w:ilvl="0" w:tplc="1A6271C6">
      <w:start w:val="1"/>
      <w:numFmt w:val="decimal"/>
      <w:lvlText w:val="%1."/>
      <w:lvlJc w:val="left"/>
      <w:pPr>
        <w:ind w:left="720" w:hanging="6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359F40B3"/>
    <w:multiLevelType w:val="multilevel"/>
    <w:tmpl w:val="C62AAEC6"/>
    <w:styleLink w:val="ListNumbers"/>
    <w:lvl w:ilvl="0">
      <w:start w:val="1"/>
      <w:numFmt w:val="decimal"/>
      <w:pStyle w:val="ListNumber"/>
      <w:lvlText w:val="%1)"/>
      <w:lvlJc w:val="left"/>
      <w:pPr>
        <w:ind w:left="567" w:hanging="283"/>
      </w:pPr>
    </w:lvl>
    <w:lvl w:ilvl="1">
      <w:start w:val="1"/>
      <w:numFmt w:val="lowerLetter"/>
      <w:pStyle w:val="ListNumber2"/>
      <w:lvlText w:val="%2)"/>
      <w:lvlJc w:val="left"/>
      <w:pPr>
        <w:ind w:left="851" w:hanging="283"/>
      </w:pPr>
      <w:rPr>
        <w:rFonts w:hint="default"/>
      </w:rPr>
    </w:lvl>
    <w:lvl w:ilvl="2">
      <w:start w:val="1"/>
      <w:numFmt w:val="lowerRoman"/>
      <w:pStyle w:val="ListNumber3"/>
      <w:lvlText w:val="%3)"/>
      <w:lvlJc w:val="left"/>
      <w:pPr>
        <w:ind w:left="1135" w:hanging="283"/>
      </w:pPr>
      <w:rPr>
        <w:rFonts w:hint="default"/>
      </w:rPr>
    </w:lvl>
    <w:lvl w:ilvl="3">
      <w:start w:val="1"/>
      <w:numFmt w:val="none"/>
      <w:lvlText w:val=""/>
      <w:lvlJc w:val="left"/>
      <w:pPr>
        <w:ind w:left="1419" w:hanging="283"/>
      </w:pPr>
      <w:rPr>
        <w:rFonts w:hint="default"/>
      </w:rPr>
    </w:lvl>
    <w:lvl w:ilvl="4">
      <w:start w:val="1"/>
      <w:numFmt w:val="none"/>
      <w:lvlText w:val=""/>
      <w:lvlJc w:val="left"/>
      <w:pPr>
        <w:ind w:left="1703" w:hanging="283"/>
      </w:pPr>
      <w:rPr>
        <w:rFonts w:hint="default"/>
      </w:rPr>
    </w:lvl>
    <w:lvl w:ilvl="5">
      <w:start w:val="1"/>
      <w:numFmt w:val="none"/>
      <w:lvlText w:val=""/>
      <w:lvlJc w:val="left"/>
      <w:pPr>
        <w:ind w:left="1987" w:hanging="283"/>
      </w:pPr>
      <w:rPr>
        <w:rFonts w:hint="default"/>
      </w:rPr>
    </w:lvl>
    <w:lvl w:ilvl="6">
      <w:start w:val="1"/>
      <w:numFmt w:val="none"/>
      <w:lvlText w:val=""/>
      <w:lvlJc w:val="left"/>
      <w:pPr>
        <w:ind w:left="2271" w:hanging="283"/>
      </w:pPr>
      <w:rPr>
        <w:rFonts w:hint="default"/>
      </w:rPr>
    </w:lvl>
    <w:lvl w:ilvl="7">
      <w:start w:val="1"/>
      <w:numFmt w:val="none"/>
      <w:lvlText w:val=""/>
      <w:lvlJc w:val="left"/>
      <w:pPr>
        <w:ind w:left="2555" w:hanging="283"/>
      </w:pPr>
      <w:rPr>
        <w:rFonts w:hint="default"/>
      </w:rPr>
    </w:lvl>
    <w:lvl w:ilvl="8">
      <w:start w:val="1"/>
      <w:numFmt w:val="none"/>
      <w:lvlText w:val=""/>
      <w:lvlJc w:val="left"/>
      <w:pPr>
        <w:ind w:left="2839" w:hanging="283"/>
      </w:pPr>
      <w:rPr>
        <w:rFonts w:hint="default"/>
      </w:rPr>
    </w:lvl>
  </w:abstractNum>
  <w:abstractNum w:abstractNumId="10" w15:restartNumberingAfterBreak="0">
    <w:nsid w:val="36A04703"/>
    <w:multiLevelType w:val="hybridMultilevel"/>
    <w:tmpl w:val="BC46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FF9E23"/>
    <w:multiLevelType w:val="multilevel"/>
    <w:tmpl w:val="CAC09E9A"/>
    <w:lvl w:ilvl="0">
      <w:start w:val="1"/>
      <w:numFmt w:val="decimal"/>
      <w:lvlText w:val="%1)"/>
      <w:lvlJc w:val="left"/>
      <w:pPr>
        <w:ind w:left="567"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236FD9"/>
    <w:multiLevelType w:val="multilevel"/>
    <w:tmpl w:val="1E6A1538"/>
    <w:lvl w:ilvl="0">
      <w:start w:val="1"/>
      <w:numFmt w:val="decimal"/>
      <w:pStyle w:val="Heading1"/>
      <w:lvlText w:val="%1"/>
      <w:lvlJc w:val="left"/>
      <w:pPr>
        <w:ind w:left="432" w:hanging="432"/>
      </w:pPr>
    </w:lvl>
    <w:lvl w:ilvl="1">
      <w:start w:val="1"/>
      <w:numFmt w:val="upperLetter"/>
      <w:pStyle w:val="Heading2"/>
      <w:lvlText w:val="%2."/>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708372B"/>
    <w:multiLevelType w:val="hybridMultilevel"/>
    <w:tmpl w:val="092054EE"/>
    <w:styleLink w:val="ListBullets"/>
    <w:lvl w:ilvl="0" w:tplc="1EF03BC2">
      <w:start w:val="1"/>
      <w:numFmt w:val="bullet"/>
      <w:pStyle w:val="ListBullet"/>
      <w:lvlText w:val=""/>
      <w:lvlJc w:val="left"/>
      <w:pPr>
        <w:ind w:left="567" w:hanging="283"/>
      </w:pPr>
      <w:rPr>
        <w:rFonts w:ascii="Symbol" w:hAnsi="Symbol" w:hint="default"/>
      </w:rPr>
    </w:lvl>
    <w:lvl w:ilvl="1" w:tplc="161EC2C0">
      <w:start w:val="1"/>
      <w:numFmt w:val="bullet"/>
      <w:pStyle w:val="ListBullet2"/>
      <w:lvlText w:val="o"/>
      <w:lvlJc w:val="left"/>
      <w:pPr>
        <w:ind w:left="851" w:hanging="283"/>
      </w:pPr>
      <w:rPr>
        <w:rFonts w:ascii="Courier New" w:hAnsi="Courier New" w:hint="default"/>
      </w:rPr>
    </w:lvl>
    <w:lvl w:ilvl="2" w:tplc="E81641E2">
      <w:start w:val="1"/>
      <w:numFmt w:val="bullet"/>
      <w:pStyle w:val="ListBullet3"/>
      <w:lvlText w:val=""/>
      <w:lvlJc w:val="left"/>
      <w:pPr>
        <w:ind w:left="1135" w:hanging="283"/>
      </w:pPr>
      <w:rPr>
        <w:rFonts w:ascii="Wingdings" w:hAnsi="Wingdings" w:hint="default"/>
      </w:rPr>
    </w:lvl>
    <w:lvl w:ilvl="3" w:tplc="E42E6DC4">
      <w:start w:val="1"/>
      <w:numFmt w:val="bullet"/>
      <w:pStyle w:val="ListBullet4"/>
      <w:lvlText w:val=""/>
      <w:lvlJc w:val="left"/>
      <w:pPr>
        <w:ind w:left="1419" w:hanging="283"/>
      </w:pPr>
      <w:rPr>
        <w:rFonts w:ascii="Symbol" w:hAnsi="Symbol" w:hint="default"/>
      </w:rPr>
    </w:lvl>
    <w:lvl w:ilvl="4" w:tplc="5F360786">
      <w:start w:val="1"/>
      <w:numFmt w:val="bullet"/>
      <w:pStyle w:val="ListBullet5"/>
      <w:lvlText w:val="o"/>
      <w:lvlJc w:val="left"/>
      <w:pPr>
        <w:ind w:left="1703" w:hanging="283"/>
      </w:pPr>
      <w:rPr>
        <w:rFonts w:ascii="Courier New" w:hAnsi="Courier New" w:hint="default"/>
      </w:rPr>
    </w:lvl>
    <w:lvl w:ilvl="5" w:tplc="E13A20B2">
      <w:start w:val="1"/>
      <w:numFmt w:val="decimal"/>
      <w:lvlText w:val=""/>
      <w:lvlJc w:val="left"/>
      <w:pPr>
        <w:ind w:left="1987" w:hanging="286"/>
      </w:pPr>
    </w:lvl>
    <w:lvl w:ilvl="6" w:tplc="A7782B28">
      <w:start w:val="1"/>
      <w:numFmt w:val="decimal"/>
      <w:lvlText w:val="%7"/>
      <w:lvlJc w:val="left"/>
      <w:pPr>
        <w:ind w:left="2271" w:hanging="283"/>
      </w:pPr>
    </w:lvl>
    <w:lvl w:ilvl="7" w:tplc="29B0D1CC">
      <w:start w:val="1"/>
      <w:numFmt w:val="decimal"/>
      <w:lvlText w:val="%8"/>
      <w:lvlJc w:val="left"/>
      <w:pPr>
        <w:ind w:left="2555" w:hanging="283"/>
      </w:pPr>
    </w:lvl>
    <w:lvl w:ilvl="8" w:tplc="2DDCDB14">
      <w:start w:val="1"/>
      <w:numFmt w:val="decimal"/>
      <w:lvlText w:val="%9"/>
      <w:lvlJc w:val="left"/>
      <w:pPr>
        <w:ind w:left="2839" w:hanging="283"/>
      </w:pPr>
    </w:lvl>
  </w:abstractNum>
  <w:abstractNum w:abstractNumId="14" w15:restartNumberingAfterBreak="0">
    <w:nsid w:val="4F3C6DC3"/>
    <w:multiLevelType w:val="hybridMultilevel"/>
    <w:tmpl w:val="62A48C5E"/>
    <w:lvl w:ilvl="0" w:tplc="831EA7E4">
      <w:start w:val="1"/>
      <w:numFmt w:val="decimal"/>
      <w:lvlText w:val="%1."/>
      <w:lvlJc w:val="left"/>
      <w:pPr>
        <w:tabs>
          <w:tab w:val="num" w:pos="534"/>
        </w:tabs>
        <w:ind w:left="534" w:hanging="390"/>
      </w:pPr>
      <w:rPr>
        <w:rFonts w:hint="default"/>
      </w:rPr>
    </w:lvl>
    <w:lvl w:ilvl="1" w:tplc="6C462270">
      <w:start w:val="1"/>
      <w:numFmt w:val="lowerLetter"/>
      <w:lvlText w:val="%2."/>
      <w:lvlJc w:val="left"/>
      <w:pPr>
        <w:tabs>
          <w:tab w:val="num" w:pos="1224"/>
        </w:tabs>
        <w:ind w:left="1224" w:hanging="360"/>
      </w:pPr>
    </w:lvl>
    <w:lvl w:ilvl="2" w:tplc="A4FE48B2">
      <w:start w:val="1"/>
      <w:numFmt w:val="lowerRoman"/>
      <w:lvlText w:val="%3."/>
      <w:lvlJc w:val="right"/>
      <w:pPr>
        <w:tabs>
          <w:tab w:val="num" w:pos="1944"/>
        </w:tabs>
        <w:ind w:left="1944" w:hanging="180"/>
      </w:pPr>
    </w:lvl>
    <w:lvl w:ilvl="3" w:tplc="593A8482">
      <w:start w:val="1"/>
      <w:numFmt w:val="decimal"/>
      <w:lvlText w:val="%4."/>
      <w:lvlJc w:val="left"/>
      <w:pPr>
        <w:tabs>
          <w:tab w:val="num" w:pos="2664"/>
        </w:tabs>
        <w:ind w:left="2664" w:hanging="360"/>
      </w:pPr>
    </w:lvl>
    <w:lvl w:ilvl="4" w:tplc="E3D065F0">
      <w:start w:val="1"/>
      <w:numFmt w:val="lowerLetter"/>
      <w:lvlText w:val="%5."/>
      <w:lvlJc w:val="left"/>
      <w:pPr>
        <w:tabs>
          <w:tab w:val="num" w:pos="3384"/>
        </w:tabs>
        <w:ind w:left="3384" w:hanging="360"/>
      </w:pPr>
    </w:lvl>
    <w:lvl w:ilvl="5" w:tplc="12048B7C">
      <w:start w:val="1"/>
      <w:numFmt w:val="lowerRoman"/>
      <w:lvlText w:val="%6."/>
      <w:lvlJc w:val="right"/>
      <w:pPr>
        <w:tabs>
          <w:tab w:val="num" w:pos="4104"/>
        </w:tabs>
        <w:ind w:left="4104" w:hanging="180"/>
      </w:pPr>
    </w:lvl>
    <w:lvl w:ilvl="6" w:tplc="A442F12C">
      <w:start w:val="1"/>
      <w:numFmt w:val="decimal"/>
      <w:lvlText w:val="%7."/>
      <w:lvlJc w:val="left"/>
      <w:pPr>
        <w:tabs>
          <w:tab w:val="num" w:pos="4824"/>
        </w:tabs>
        <w:ind w:left="4824" w:hanging="360"/>
      </w:pPr>
    </w:lvl>
    <w:lvl w:ilvl="7" w:tplc="DF4C1C82">
      <w:start w:val="1"/>
      <w:numFmt w:val="lowerLetter"/>
      <w:lvlText w:val="%8."/>
      <w:lvlJc w:val="left"/>
      <w:pPr>
        <w:tabs>
          <w:tab w:val="num" w:pos="5544"/>
        </w:tabs>
        <w:ind w:left="5544" w:hanging="360"/>
      </w:pPr>
    </w:lvl>
    <w:lvl w:ilvl="8" w:tplc="1486DE90">
      <w:start w:val="1"/>
      <w:numFmt w:val="lowerRoman"/>
      <w:lvlText w:val="%9."/>
      <w:lvlJc w:val="right"/>
      <w:pPr>
        <w:tabs>
          <w:tab w:val="num" w:pos="6264"/>
        </w:tabs>
        <w:ind w:left="6264" w:hanging="180"/>
      </w:pPr>
    </w:lvl>
  </w:abstractNum>
  <w:abstractNum w:abstractNumId="15" w15:restartNumberingAfterBreak="0">
    <w:nsid w:val="53007789"/>
    <w:multiLevelType w:val="singleLevel"/>
    <w:tmpl w:val="9488CE46"/>
    <w:lvl w:ilvl="0">
      <w:start w:val="1"/>
      <w:numFmt w:val="decimal"/>
      <w:lvlText w:val="%1."/>
      <w:lvlJc w:val="left"/>
      <w:pPr>
        <w:tabs>
          <w:tab w:val="num" w:pos="360"/>
        </w:tabs>
        <w:ind w:left="360" w:hanging="360"/>
      </w:pPr>
      <w:rPr>
        <w:b w:val="0"/>
        <w:sz w:val="22"/>
        <w:szCs w:val="22"/>
      </w:rPr>
    </w:lvl>
  </w:abstractNum>
  <w:abstractNum w:abstractNumId="16" w15:restartNumberingAfterBreak="0">
    <w:nsid w:val="543F3BD2"/>
    <w:multiLevelType w:val="hybridMultilevel"/>
    <w:tmpl w:val="BF92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71DC2"/>
    <w:multiLevelType w:val="multilevel"/>
    <w:tmpl w:val="C890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D08CB1"/>
    <w:multiLevelType w:val="multilevel"/>
    <w:tmpl w:val="4B0EC7A4"/>
    <w:lvl w:ilvl="0">
      <w:start w:val="1"/>
      <w:numFmt w:val="decimal"/>
      <w:lvlText w:val="%1)"/>
      <w:lvlJc w:val="left"/>
      <w:pPr>
        <w:ind w:left="567"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0667775">
    <w:abstractNumId w:val="18"/>
  </w:num>
  <w:num w:numId="2" w16cid:durableId="2013146021">
    <w:abstractNumId w:val="11"/>
  </w:num>
  <w:num w:numId="3" w16cid:durableId="42608580">
    <w:abstractNumId w:val="12"/>
  </w:num>
  <w:num w:numId="4" w16cid:durableId="1392583905">
    <w:abstractNumId w:val="13"/>
  </w:num>
  <w:num w:numId="5" w16cid:durableId="286858108">
    <w:abstractNumId w:val="9"/>
  </w:num>
  <w:num w:numId="6" w16cid:durableId="316108554">
    <w:abstractNumId w:val="4"/>
  </w:num>
  <w:num w:numId="7" w16cid:durableId="1057583484">
    <w:abstractNumId w:val="7"/>
  </w:num>
  <w:num w:numId="8" w16cid:durableId="2016348259">
    <w:abstractNumId w:val="6"/>
  </w:num>
  <w:num w:numId="9" w16cid:durableId="821387875">
    <w:abstractNumId w:val="1"/>
  </w:num>
  <w:num w:numId="10" w16cid:durableId="70742866">
    <w:abstractNumId w:val="3"/>
  </w:num>
  <w:num w:numId="11" w16cid:durableId="738095343">
    <w:abstractNumId w:val="15"/>
  </w:num>
  <w:num w:numId="12" w16cid:durableId="732049233">
    <w:abstractNumId w:val="5"/>
  </w:num>
  <w:num w:numId="13" w16cid:durableId="1732583200">
    <w:abstractNumId w:val="14"/>
  </w:num>
  <w:num w:numId="14" w16cid:durableId="553663030">
    <w:abstractNumId w:val="0"/>
  </w:num>
  <w:num w:numId="15" w16cid:durableId="3516149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80284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32309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1247464">
    <w:abstractNumId w:val="17"/>
  </w:num>
  <w:num w:numId="19" w16cid:durableId="80413095">
    <w:abstractNumId w:val="8"/>
  </w:num>
  <w:num w:numId="20" w16cid:durableId="1325626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695241">
    <w:abstractNumId w:val="16"/>
  </w:num>
  <w:num w:numId="22" w16cid:durableId="26747315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50"/>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53"/>
    <w:rsid w:val="0000572E"/>
    <w:rsid w:val="00010673"/>
    <w:rsid w:val="00010BB2"/>
    <w:rsid w:val="00013367"/>
    <w:rsid w:val="00013FC5"/>
    <w:rsid w:val="00022EAC"/>
    <w:rsid w:val="00025E90"/>
    <w:rsid w:val="00026098"/>
    <w:rsid w:val="00030747"/>
    <w:rsid w:val="0003093A"/>
    <w:rsid w:val="0003213F"/>
    <w:rsid w:val="00032C7B"/>
    <w:rsid w:val="00035318"/>
    <w:rsid w:val="00035876"/>
    <w:rsid w:val="0004075A"/>
    <w:rsid w:val="00040B14"/>
    <w:rsid w:val="00041CE1"/>
    <w:rsid w:val="000427AC"/>
    <w:rsid w:val="00051962"/>
    <w:rsid w:val="0005242F"/>
    <w:rsid w:val="00052787"/>
    <w:rsid w:val="00056458"/>
    <w:rsid w:val="00057AE7"/>
    <w:rsid w:val="000604F1"/>
    <w:rsid w:val="00062FEE"/>
    <w:rsid w:val="00064B11"/>
    <w:rsid w:val="00064BC6"/>
    <w:rsid w:val="00064E4D"/>
    <w:rsid w:val="0006534B"/>
    <w:rsid w:val="000718FD"/>
    <w:rsid w:val="00072624"/>
    <w:rsid w:val="00073487"/>
    <w:rsid w:val="00073FBD"/>
    <w:rsid w:val="0007648A"/>
    <w:rsid w:val="000776EC"/>
    <w:rsid w:val="000819FD"/>
    <w:rsid w:val="0008231C"/>
    <w:rsid w:val="00082711"/>
    <w:rsid w:val="00085AE7"/>
    <w:rsid w:val="0008657C"/>
    <w:rsid w:val="00086B95"/>
    <w:rsid w:val="00086E92"/>
    <w:rsid w:val="00097307"/>
    <w:rsid w:val="000A3FDE"/>
    <w:rsid w:val="000A6B54"/>
    <w:rsid w:val="000A7242"/>
    <w:rsid w:val="000B0DB0"/>
    <w:rsid w:val="000B322C"/>
    <w:rsid w:val="000B5E05"/>
    <w:rsid w:val="000C69A6"/>
    <w:rsid w:val="000C7195"/>
    <w:rsid w:val="000C7631"/>
    <w:rsid w:val="000D1324"/>
    <w:rsid w:val="000D30FB"/>
    <w:rsid w:val="000D4C54"/>
    <w:rsid w:val="000E03C0"/>
    <w:rsid w:val="000F1DC5"/>
    <w:rsid w:val="000F2983"/>
    <w:rsid w:val="000F300B"/>
    <w:rsid w:val="00101928"/>
    <w:rsid w:val="00104310"/>
    <w:rsid w:val="0010557A"/>
    <w:rsid w:val="00106B63"/>
    <w:rsid w:val="001119FE"/>
    <w:rsid w:val="0011412C"/>
    <w:rsid w:val="00114DD7"/>
    <w:rsid w:val="00115D46"/>
    <w:rsid w:val="00115EAD"/>
    <w:rsid w:val="00121931"/>
    <w:rsid w:val="001223AA"/>
    <w:rsid w:val="00122516"/>
    <w:rsid w:val="00123AFD"/>
    <w:rsid w:val="00125BB6"/>
    <w:rsid w:val="00126AB8"/>
    <w:rsid w:val="00127046"/>
    <w:rsid w:val="00127F0E"/>
    <w:rsid w:val="00130070"/>
    <w:rsid w:val="0013244C"/>
    <w:rsid w:val="001331C1"/>
    <w:rsid w:val="001341BF"/>
    <w:rsid w:val="00134B1C"/>
    <w:rsid w:val="00136811"/>
    <w:rsid w:val="00137260"/>
    <w:rsid w:val="001401DE"/>
    <w:rsid w:val="001420A0"/>
    <w:rsid w:val="001502EA"/>
    <w:rsid w:val="00150E63"/>
    <w:rsid w:val="001558F8"/>
    <w:rsid w:val="00155D2D"/>
    <w:rsid w:val="001629C7"/>
    <w:rsid w:val="00162C6F"/>
    <w:rsid w:val="001649D7"/>
    <w:rsid w:val="001650F5"/>
    <w:rsid w:val="00173126"/>
    <w:rsid w:val="00174110"/>
    <w:rsid w:val="00183071"/>
    <w:rsid w:val="00192DAE"/>
    <w:rsid w:val="00195AD8"/>
    <w:rsid w:val="00195C73"/>
    <w:rsid w:val="00196841"/>
    <w:rsid w:val="00197216"/>
    <w:rsid w:val="001A0E9D"/>
    <w:rsid w:val="001A160D"/>
    <w:rsid w:val="001A4E75"/>
    <w:rsid w:val="001B2A6E"/>
    <w:rsid w:val="001B7B5A"/>
    <w:rsid w:val="001C0713"/>
    <w:rsid w:val="001C138A"/>
    <w:rsid w:val="001C287C"/>
    <w:rsid w:val="001C3184"/>
    <w:rsid w:val="001C3C6F"/>
    <w:rsid w:val="001C67DB"/>
    <w:rsid w:val="001D077C"/>
    <w:rsid w:val="001D2777"/>
    <w:rsid w:val="001D3047"/>
    <w:rsid w:val="001E072D"/>
    <w:rsid w:val="001E6402"/>
    <w:rsid w:val="001E698E"/>
    <w:rsid w:val="00200942"/>
    <w:rsid w:val="00203497"/>
    <w:rsid w:val="0021029F"/>
    <w:rsid w:val="00210FCA"/>
    <w:rsid w:val="0021191D"/>
    <w:rsid w:val="00211CC0"/>
    <w:rsid w:val="00211FE6"/>
    <w:rsid w:val="00212E69"/>
    <w:rsid w:val="00215CC9"/>
    <w:rsid w:val="002167D3"/>
    <w:rsid w:val="00217A87"/>
    <w:rsid w:val="00224710"/>
    <w:rsid w:val="00224B44"/>
    <w:rsid w:val="00226FBE"/>
    <w:rsid w:val="00227927"/>
    <w:rsid w:val="00227DD9"/>
    <w:rsid w:val="00230CD4"/>
    <w:rsid w:val="0023231A"/>
    <w:rsid w:val="00233643"/>
    <w:rsid w:val="00235B49"/>
    <w:rsid w:val="0024088C"/>
    <w:rsid w:val="00240FE6"/>
    <w:rsid w:val="002437D0"/>
    <w:rsid w:val="00246112"/>
    <w:rsid w:val="0025139A"/>
    <w:rsid w:val="00253966"/>
    <w:rsid w:val="00255815"/>
    <w:rsid w:val="00256318"/>
    <w:rsid w:val="00257B88"/>
    <w:rsid w:val="00261D36"/>
    <w:rsid w:val="00262855"/>
    <w:rsid w:val="00264235"/>
    <w:rsid w:val="00267D74"/>
    <w:rsid w:val="00270695"/>
    <w:rsid w:val="0028120B"/>
    <w:rsid w:val="0029202D"/>
    <w:rsid w:val="002935C3"/>
    <w:rsid w:val="00295077"/>
    <w:rsid w:val="002952BB"/>
    <w:rsid w:val="00296B32"/>
    <w:rsid w:val="00297353"/>
    <w:rsid w:val="002A039A"/>
    <w:rsid w:val="002A19DD"/>
    <w:rsid w:val="002A43D0"/>
    <w:rsid w:val="002A4C5B"/>
    <w:rsid w:val="002B4CCA"/>
    <w:rsid w:val="002B6477"/>
    <w:rsid w:val="002C27D0"/>
    <w:rsid w:val="002C5769"/>
    <w:rsid w:val="002C7951"/>
    <w:rsid w:val="002D0513"/>
    <w:rsid w:val="002D1070"/>
    <w:rsid w:val="002D154C"/>
    <w:rsid w:val="002D2698"/>
    <w:rsid w:val="002D55AC"/>
    <w:rsid w:val="002E1E1A"/>
    <w:rsid w:val="002E2340"/>
    <w:rsid w:val="002E2BB0"/>
    <w:rsid w:val="002E568A"/>
    <w:rsid w:val="002F04DD"/>
    <w:rsid w:val="002F48F2"/>
    <w:rsid w:val="002F7069"/>
    <w:rsid w:val="00302ED1"/>
    <w:rsid w:val="00304EC2"/>
    <w:rsid w:val="00306369"/>
    <w:rsid w:val="00310689"/>
    <w:rsid w:val="003129B3"/>
    <w:rsid w:val="00313F95"/>
    <w:rsid w:val="003200E0"/>
    <w:rsid w:val="00320A40"/>
    <w:rsid w:val="00321852"/>
    <w:rsid w:val="00323556"/>
    <w:rsid w:val="0032389F"/>
    <w:rsid w:val="003243DF"/>
    <w:rsid w:val="003250D0"/>
    <w:rsid w:val="00325A5B"/>
    <w:rsid w:val="003264B7"/>
    <w:rsid w:val="00327D98"/>
    <w:rsid w:val="0033129F"/>
    <w:rsid w:val="0033133B"/>
    <w:rsid w:val="0033548B"/>
    <w:rsid w:val="0033552D"/>
    <w:rsid w:val="00336430"/>
    <w:rsid w:val="00336C03"/>
    <w:rsid w:val="00340A2F"/>
    <w:rsid w:val="00354B84"/>
    <w:rsid w:val="0035613C"/>
    <w:rsid w:val="003566C9"/>
    <w:rsid w:val="00357226"/>
    <w:rsid w:val="00363727"/>
    <w:rsid w:val="00365086"/>
    <w:rsid w:val="003650C3"/>
    <w:rsid w:val="00365159"/>
    <w:rsid w:val="00365827"/>
    <w:rsid w:val="00367357"/>
    <w:rsid w:val="00370777"/>
    <w:rsid w:val="003719EA"/>
    <w:rsid w:val="00371ED4"/>
    <w:rsid w:val="00373F02"/>
    <w:rsid w:val="0037439A"/>
    <w:rsid w:val="00376EFB"/>
    <w:rsid w:val="00380365"/>
    <w:rsid w:val="0038143E"/>
    <w:rsid w:val="0038661E"/>
    <w:rsid w:val="00387099"/>
    <w:rsid w:val="003940DE"/>
    <w:rsid w:val="003948CA"/>
    <w:rsid w:val="00397295"/>
    <w:rsid w:val="0039732F"/>
    <w:rsid w:val="003A1343"/>
    <w:rsid w:val="003A5141"/>
    <w:rsid w:val="003B122E"/>
    <w:rsid w:val="003B13A2"/>
    <w:rsid w:val="003B31B5"/>
    <w:rsid w:val="003C22FE"/>
    <w:rsid w:val="003C3FB5"/>
    <w:rsid w:val="003C4C03"/>
    <w:rsid w:val="003C4C0D"/>
    <w:rsid w:val="003C5DFA"/>
    <w:rsid w:val="003C73C5"/>
    <w:rsid w:val="003E0769"/>
    <w:rsid w:val="003E5AD5"/>
    <w:rsid w:val="003F02A7"/>
    <w:rsid w:val="003F1A54"/>
    <w:rsid w:val="003F54DD"/>
    <w:rsid w:val="003F5AA4"/>
    <w:rsid w:val="003F6BEE"/>
    <w:rsid w:val="00400EFF"/>
    <w:rsid w:val="0040183B"/>
    <w:rsid w:val="004044B3"/>
    <w:rsid w:val="00405E03"/>
    <w:rsid w:val="00407498"/>
    <w:rsid w:val="0041091F"/>
    <w:rsid w:val="00412B82"/>
    <w:rsid w:val="00413636"/>
    <w:rsid w:val="0042324C"/>
    <w:rsid w:val="0042399E"/>
    <w:rsid w:val="00425127"/>
    <w:rsid w:val="0042546D"/>
    <w:rsid w:val="00431162"/>
    <w:rsid w:val="004315E5"/>
    <w:rsid w:val="00433776"/>
    <w:rsid w:val="004361B7"/>
    <w:rsid w:val="00437C1A"/>
    <w:rsid w:val="00440763"/>
    <w:rsid w:val="0044091E"/>
    <w:rsid w:val="00441640"/>
    <w:rsid w:val="004429E4"/>
    <w:rsid w:val="0044330D"/>
    <w:rsid w:val="0044347E"/>
    <w:rsid w:val="00444376"/>
    <w:rsid w:val="0044494B"/>
    <w:rsid w:val="004461BF"/>
    <w:rsid w:val="0045043D"/>
    <w:rsid w:val="00450A6B"/>
    <w:rsid w:val="0045319A"/>
    <w:rsid w:val="004550D4"/>
    <w:rsid w:val="00455C5A"/>
    <w:rsid w:val="00456AAA"/>
    <w:rsid w:val="00456BE4"/>
    <w:rsid w:val="0045714F"/>
    <w:rsid w:val="00462472"/>
    <w:rsid w:val="00463795"/>
    <w:rsid w:val="00464398"/>
    <w:rsid w:val="00465AA6"/>
    <w:rsid w:val="004673C8"/>
    <w:rsid w:val="004714FB"/>
    <w:rsid w:val="00474781"/>
    <w:rsid w:val="004811C2"/>
    <w:rsid w:val="00481244"/>
    <w:rsid w:val="004814E3"/>
    <w:rsid w:val="00483BAC"/>
    <w:rsid w:val="00485DB6"/>
    <w:rsid w:val="00491DF5"/>
    <w:rsid w:val="00494FE4"/>
    <w:rsid w:val="004A626F"/>
    <w:rsid w:val="004A6A7B"/>
    <w:rsid w:val="004A6B60"/>
    <w:rsid w:val="004A7C98"/>
    <w:rsid w:val="004B5258"/>
    <w:rsid w:val="004B65A2"/>
    <w:rsid w:val="004B7222"/>
    <w:rsid w:val="004B74A5"/>
    <w:rsid w:val="004B7FF7"/>
    <w:rsid w:val="004C0006"/>
    <w:rsid w:val="004C0221"/>
    <w:rsid w:val="004C0A94"/>
    <w:rsid w:val="004C49E0"/>
    <w:rsid w:val="004C79B4"/>
    <w:rsid w:val="004C7C17"/>
    <w:rsid w:val="004C7F72"/>
    <w:rsid w:val="004D4663"/>
    <w:rsid w:val="004D4FB7"/>
    <w:rsid w:val="004F3111"/>
    <w:rsid w:val="004F444E"/>
    <w:rsid w:val="004F568E"/>
    <w:rsid w:val="004F5FD1"/>
    <w:rsid w:val="00500358"/>
    <w:rsid w:val="005036F0"/>
    <w:rsid w:val="005044F4"/>
    <w:rsid w:val="005107F0"/>
    <w:rsid w:val="005110C1"/>
    <w:rsid w:val="0051225B"/>
    <w:rsid w:val="005160D9"/>
    <w:rsid w:val="00520168"/>
    <w:rsid w:val="00520DB2"/>
    <w:rsid w:val="0052313F"/>
    <w:rsid w:val="00523C52"/>
    <w:rsid w:val="00532005"/>
    <w:rsid w:val="00533D38"/>
    <w:rsid w:val="005344DB"/>
    <w:rsid w:val="005376BB"/>
    <w:rsid w:val="00540657"/>
    <w:rsid w:val="00540816"/>
    <w:rsid w:val="00540E75"/>
    <w:rsid w:val="00542641"/>
    <w:rsid w:val="00542857"/>
    <w:rsid w:val="00542A5A"/>
    <w:rsid w:val="005434BE"/>
    <w:rsid w:val="00544450"/>
    <w:rsid w:val="0054702D"/>
    <w:rsid w:val="00555FD1"/>
    <w:rsid w:val="00556B19"/>
    <w:rsid w:val="00560B00"/>
    <w:rsid w:val="00561447"/>
    <w:rsid w:val="00567938"/>
    <w:rsid w:val="00570CA3"/>
    <w:rsid w:val="00571086"/>
    <w:rsid w:val="0057157D"/>
    <w:rsid w:val="00571C34"/>
    <w:rsid w:val="00576A13"/>
    <w:rsid w:val="00591105"/>
    <w:rsid w:val="00592DE9"/>
    <w:rsid w:val="00593514"/>
    <w:rsid w:val="00593DC2"/>
    <w:rsid w:val="0059478A"/>
    <w:rsid w:val="005A08D2"/>
    <w:rsid w:val="005A0ED7"/>
    <w:rsid w:val="005A26CF"/>
    <w:rsid w:val="005A468C"/>
    <w:rsid w:val="005A5F9C"/>
    <w:rsid w:val="005B0DD5"/>
    <w:rsid w:val="005B2F03"/>
    <w:rsid w:val="005B3879"/>
    <w:rsid w:val="005B4FB8"/>
    <w:rsid w:val="005B551F"/>
    <w:rsid w:val="005B6D87"/>
    <w:rsid w:val="005C123C"/>
    <w:rsid w:val="005C55EA"/>
    <w:rsid w:val="005D0C88"/>
    <w:rsid w:val="005D11E1"/>
    <w:rsid w:val="005D172E"/>
    <w:rsid w:val="005D26A4"/>
    <w:rsid w:val="005D2D33"/>
    <w:rsid w:val="005D340B"/>
    <w:rsid w:val="005D5BEC"/>
    <w:rsid w:val="005D5CD0"/>
    <w:rsid w:val="005E0DA7"/>
    <w:rsid w:val="005E25C4"/>
    <w:rsid w:val="005E26DC"/>
    <w:rsid w:val="005E2EA8"/>
    <w:rsid w:val="005E34CA"/>
    <w:rsid w:val="005F0373"/>
    <w:rsid w:val="005F1616"/>
    <w:rsid w:val="005F2312"/>
    <w:rsid w:val="005F2FD7"/>
    <w:rsid w:val="005F532B"/>
    <w:rsid w:val="005F55F5"/>
    <w:rsid w:val="005F7098"/>
    <w:rsid w:val="00602244"/>
    <w:rsid w:val="00602EB4"/>
    <w:rsid w:val="00602EF4"/>
    <w:rsid w:val="00604B2F"/>
    <w:rsid w:val="00612071"/>
    <w:rsid w:val="0061457A"/>
    <w:rsid w:val="00614D6C"/>
    <w:rsid w:val="00620DAA"/>
    <w:rsid w:val="00625CF2"/>
    <w:rsid w:val="006274B8"/>
    <w:rsid w:val="006308B5"/>
    <w:rsid w:val="006331DF"/>
    <w:rsid w:val="006404AF"/>
    <w:rsid w:val="0064621E"/>
    <w:rsid w:val="006477A9"/>
    <w:rsid w:val="00650266"/>
    <w:rsid w:val="00654147"/>
    <w:rsid w:val="00655533"/>
    <w:rsid w:val="006617F4"/>
    <w:rsid w:val="00664225"/>
    <w:rsid w:val="0066557B"/>
    <w:rsid w:val="00666EA1"/>
    <w:rsid w:val="006806BF"/>
    <w:rsid w:val="00680819"/>
    <w:rsid w:val="006811B0"/>
    <w:rsid w:val="0068298D"/>
    <w:rsid w:val="00686276"/>
    <w:rsid w:val="00686DBA"/>
    <w:rsid w:val="00686FB6"/>
    <w:rsid w:val="00691203"/>
    <w:rsid w:val="00695A11"/>
    <w:rsid w:val="00695F99"/>
    <w:rsid w:val="006A0661"/>
    <w:rsid w:val="006A1C9B"/>
    <w:rsid w:val="006A24A5"/>
    <w:rsid w:val="006A3291"/>
    <w:rsid w:val="006A3B1D"/>
    <w:rsid w:val="006A61B5"/>
    <w:rsid w:val="006A7DE0"/>
    <w:rsid w:val="006B15DA"/>
    <w:rsid w:val="006B383D"/>
    <w:rsid w:val="006B587E"/>
    <w:rsid w:val="006C1A47"/>
    <w:rsid w:val="006C3284"/>
    <w:rsid w:val="006C4366"/>
    <w:rsid w:val="006C58E4"/>
    <w:rsid w:val="006C68B7"/>
    <w:rsid w:val="006D671B"/>
    <w:rsid w:val="006E1C89"/>
    <w:rsid w:val="006E4754"/>
    <w:rsid w:val="006F0B9E"/>
    <w:rsid w:val="006F39CE"/>
    <w:rsid w:val="006F550A"/>
    <w:rsid w:val="006F5C79"/>
    <w:rsid w:val="006F6D5D"/>
    <w:rsid w:val="006F7049"/>
    <w:rsid w:val="007131A1"/>
    <w:rsid w:val="007145D1"/>
    <w:rsid w:val="00715DA0"/>
    <w:rsid w:val="007171DB"/>
    <w:rsid w:val="00722463"/>
    <w:rsid w:val="00733AED"/>
    <w:rsid w:val="00737FA9"/>
    <w:rsid w:val="007424B2"/>
    <w:rsid w:val="0074256D"/>
    <w:rsid w:val="0074323C"/>
    <w:rsid w:val="00745719"/>
    <w:rsid w:val="0074607A"/>
    <w:rsid w:val="00750488"/>
    <w:rsid w:val="007542FA"/>
    <w:rsid w:val="00754F0F"/>
    <w:rsid w:val="00755DFE"/>
    <w:rsid w:val="00757E04"/>
    <w:rsid w:val="00762873"/>
    <w:rsid w:val="007629D8"/>
    <w:rsid w:val="00762D48"/>
    <w:rsid w:val="007633A8"/>
    <w:rsid w:val="00764368"/>
    <w:rsid w:val="00766039"/>
    <w:rsid w:val="00770FEE"/>
    <w:rsid w:val="00772051"/>
    <w:rsid w:val="00772781"/>
    <w:rsid w:val="00772D7F"/>
    <w:rsid w:val="007774D2"/>
    <w:rsid w:val="00781DC9"/>
    <w:rsid w:val="00784AFA"/>
    <w:rsid w:val="00786037"/>
    <w:rsid w:val="00793088"/>
    <w:rsid w:val="00793C90"/>
    <w:rsid w:val="007974A8"/>
    <w:rsid w:val="007A194F"/>
    <w:rsid w:val="007A21AB"/>
    <w:rsid w:val="007A23E8"/>
    <w:rsid w:val="007A2BF6"/>
    <w:rsid w:val="007A2E6C"/>
    <w:rsid w:val="007A435C"/>
    <w:rsid w:val="007A4EC5"/>
    <w:rsid w:val="007A5FDA"/>
    <w:rsid w:val="007A6BDC"/>
    <w:rsid w:val="007B0F9C"/>
    <w:rsid w:val="007B2793"/>
    <w:rsid w:val="007B382F"/>
    <w:rsid w:val="007B4D49"/>
    <w:rsid w:val="007B67B8"/>
    <w:rsid w:val="007C4B50"/>
    <w:rsid w:val="007C4D7D"/>
    <w:rsid w:val="007C4FC7"/>
    <w:rsid w:val="007C5064"/>
    <w:rsid w:val="007D2BF5"/>
    <w:rsid w:val="007D4581"/>
    <w:rsid w:val="007D4FA5"/>
    <w:rsid w:val="007D7332"/>
    <w:rsid w:val="007E4B93"/>
    <w:rsid w:val="007E505F"/>
    <w:rsid w:val="007F13B0"/>
    <w:rsid w:val="007F637A"/>
    <w:rsid w:val="007F63FC"/>
    <w:rsid w:val="00801EDB"/>
    <w:rsid w:val="0080385B"/>
    <w:rsid w:val="00804052"/>
    <w:rsid w:val="0081130B"/>
    <w:rsid w:val="008142B2"/>
    <w:rsid w:val="00814AAF"/>
    <w:rsid w:val="008153BD"/>
    <w:rsid w:val="00816691"/>
    <w:rsid w:val="00817B6C"/>
    <w:rsid w:val="00822551"/>
    <w:rsid w:val="00823480"/>
    <w:rsid w:val="008255E9"/>
    <w:rsid w:val="0083035E"/>
    <w:rsid w:val="008306B9"/>
    <w:rsid w:val="00830959"/>
    <w:rsid w:val="0083250E"/>
    <w:rsid w:val="0083278E"/>
    <w:rsid w:val="00833857"/>
    <w:rsid w:val="008365E2"/>
    <w:rsid w:val="00837BE9"/>
    <w:rsid w:val="008424FD"/>
    <w:rsid w:val="0084531A"/>
    <w:rsid w:val="00850710"/>
    <w:rsid w:val="00852833"/>
    <w:rsid w:val="00854630"/>
    <w:rsid w:val="00854A01"/>
    <w:rsid w:val="0085538B"/>
    <w:rsid w:val="00856B53"/>
    <w:rsid w:val="008667BC"/>
    <w:rsid w:val="00870F79"/>
    <w:rsid w:val="00872CF6"/>
    <w:rsid w:val="00877DA0"/>
    <w:rsid w:val="0088083B"/>
    <w:rsid w:val="00883B0F"/>
    <w:rsid w:val="008850AA"/>
    <w:rsid w:val="00893577"/>
    <w:rsid w:val="00893BC2"/>
    <w:rsid w:val="00895E04"/>
    <w:rsid w:val="008962F6"/>
    <w:rsid w:val="008A1AA2"/>
    <w:rsid w:val="008A1EF0"/>
    <w:rsid w:val="008A3B23"/>
    <w:rsid w:val="008A5E15"/>
    <w:rsid w:val="008B06C2"/>
    <w:rsid w:val="008B0763"/>
    <w:rsid w:val="008B40CB"/>
    <w:rsid w:val="008B4206"/>
    <w:rsid w:val="008B5D0A"/>
    <w:rsid w:val="008C1F8A"/>
    <w:rsid w:val="008C51D9"/>
    <w:rsid w:val="008C64FF"/>
    <w:rsid w:val="008C7299"/>
    <w:rsid w:val="008C76B4"/>
    <w:rsid w:val="008D2A45"/>
    <w:rsid w:val="008D4C89"/>
    <w:rsid w:val="008D53D6"/>
    <w:rsid w:val="008D71D9"/>
    <w:rsid w:val="008D7C26"/>
    <w:rsid w:val="008E6153"/>
    <w:rsid w:val="008E6613"/>
    <w:rsid w:val="008F1339"/>
    <w:rsid w:val="008F1B07"/>
    <w:rsid w:val="008F2EF8"/>
    <w:rsid w:val="008F6140"/>
    <w:rsid w:val="0090148E"/>
    <w:rsid w:val="00902608"/>
    <w:rsid w:val="00903CBF"/>
    <w:rsid w:val="00904231"/>
    <w:rsid w:val="00906F79"/>
    <w:rsid w:val="009119DA"/>
    <w:rsid w:val="00911DD8"/>
    <w:rsid w:val="00915D8E"/>
    <w:rsid w:val="00922068"/>
    <w:rsid w:val="00922E0C"/>
    <w:rsid w:val="0092660C"/>
    <w:rsid w:val="00930DB9"/>
    <w:rsid w:val="00935651"/>
    <w:rsid w:val="00937177"/>
    <w:rsid w:val="009407A2"/>
    <w:rsid w:val="0094797D"/>
    <w:rsid w:val="009546AB"/>
    <w:rsid w:val="00956470"/>
    <w:rsid w:val="009639CC"/>
    <w:rsid w:val="00965652"/>
    <w:rsid w:val="00966229"/>
    <w:rsid w:val="00967082"/>
    <w:rsid w:val="009765B4"/>
    <w:rsid w:val="0098458A"/>
    <w:rsid w:val="00990869"/>
    <w:rsid w:val="0099510D"/>
    <w:rsid w:val="00997935"/>
    <w:rsid w:val="009A10B9"/>
    <w:rsid w:val="009A682E"/>
    <w:rsid w:val="009B7A82"/>
    <w:rsid w:val="009C1E26"/>
    <w:rsid w:val="009C5D40"/>
    <w:rsid w:val="009C66CE"/>
    <w:rsid w:val="009D1C76"/>
    <w:rsid w:val="009D1DF8"/>
    <w:rsid w:val="009D2F4A"/>
    <w:rsid w:val="009D3CF9"/>
    <w:rsid w:val="009D4250"/>
    <w:rsid w:val="009D794B"/>
    <w:rsid w:val="009E3088"/>
    <w:rsid w:val="009E3228"/>
    <w:rsid w:val="009F595B"/>
    <w:rsid w:val="00A000DD"/>
    <w:rsid w:val="00A0078A"/>
    <w:rsid w:val="00A01A64"/>
    <w:rsid w:val="00A030A6"/>
    <w:rsid w:val="00A03E68"/>
    <w:rsid w:val="00A06838"/>
    <w:rsid w:val="00A139A6"/>
    <w:rsid w:val="00A20540"/>
    <w:rsid w:val="00A237DB"/>
    <w:rsid w:val="00A25444"/>
    <w:rsid w:val="00A311A3"/>
    <w:rsid w:val="00A339EE"/>
    <w:rsid w:val="00A3435B"/>
    <w:rsid w:val="00A34A0D"/>
    <w:rsid w:val="00A35CCE"/>
    <w:rsid w:val="00A36816"/>
    <w:rsid w:val="00A40B26"/>
    <w:rsid w:val="00A420FC"/>
    <w:rsid w:val="00A45152"/>
    <w:rsid w:val="00A458F5"/>
    <w:rsid w:val="00A5103D"/>
    <w:rsid w:val="00A630AA"/>
    <w:rsid w:val="00A63718"/>
    <w:rsid w:val="00A66A49"/>
    <w:rsid w:val="00A66BEB"/>
    <w:rsid w:val="00A67487"/>
    <w:rsid w:val="00A77008"/>
    <w:rsid w:val="00A77F58"/>
    <w:rsid w:val="00A82D37"/>
    <w:rsid w:val="00A85025"/>
    <w:rsid w:val="00A86BD8"/>
    <w:rsid w:val="00A86F8F"/>
    <w:rsid w:val="00A940B2"/>
    <w:rsid w:val="00AA1DF4"/>
    <w:rsid w:val="00AA46DE"/>
    <w:rsid w:val="00AA6188"/>
    <w:rsid w:val="00AB4761"/>
    <w:rsid w:val="00AC02B8"/>
    <w:rsid w:val="00AC034C"/>
    <w:rsid w:val="00AC4BFF"/>
    <w:rsid w:val="00AC66EC"/>
    <w:rsid w:val="00AC6B90"/>
    <w:rsid w:val="00AD1391"/>
    <w:rsid w:val="00AD78BC"/>
    <w:rsid w:val="00AE1ABC"/>
    <w:rsid w:val="00AE758F"/>
    <w:rsid w:val="00AF0522"/>
    <w:rsid w:val="00B00D5B"/>
    <w:rsid w:val="00B02F41"/>
    <w:rsid w:val="00B0784C"/>
    <w:rsid w:val="00B1226B"/>
    <w:rsid w:val="00B13B86"/>
    <w:rsid w:val="00B14608"/>
    <w:rsid w:val="00B1573E"/>
    <w:rsid w:val="00B20D28"/>
    <w:rsid w:val="00B221B5"/>
    <w:rsid w:val="00B22880"/>
    <w:rsid w:val="00B23093"/>
    <w:rsid w:val="00B24D82"/>
    <w:rsid w:val="00B306E3"/>
    <w:rsid w:val="00B30C90"/>
    <w:rsid w:val="00B32D70"/>
    <w:rsid w:val="00B50413"/>
    <w:rsid w:val="00B510AB"/>
    <w:rsid w:val="00B525B3"/>
    <w:rsid w:val="00B53BAF"/>
    <w:rsid w:val="00B557AF"/>
    <w:rsid w:val="00B562C7"/>
    <w:rsid w:val="00B57FC6"/>
    <w:rsid w:val="00B62837"/>
    <w:rsid w:val="00B630E2"/>
    <w:rsid w:val="00B644C8"/>
    <w:rsid w:val="00B66E54"/>
    <w:rsid w:val="00B71BFC"/>
    <w:rsid w:val="00B75378"/>
    <w:rsid w:val="00B76441"/>
    <w:rsid w:val="00B824FD"/>
    <w:rsid w:val="00B9206E"/>
    <w:rsid w:val="00B955C4"/>
    <w:rsid w:val="00B975F9"/>
    <w:rsid w:val="00B97A52"/>
    <w:rsid w:val="00BA0D57"/>
    <w:rsid w:val="00BA74DF"/>
    <w:rsid w:val="00BB011C"/>
    <w:rsid w:val="00BB0448"/>
    <w:rsid w:val="00BB36D0"/>
    <w:rsid w:val="00BB408B"/>
    <w:rsid w:val="00BB43E9"/>
    <w:rsid w:val="00BC564F"/>
    <w:rsid w:val="00BD024A"/>
    <w:rsid w:val="00BD187B"/>
    <w:rsid w:val="00BD4E0A"/>
    <w:rsid w:val="00BD651C"/>
    <w:rsid w:val="00BD75F9"/>
    <w:rsid w:val="00BE03D5"/>
    <w:rsid w:val="00BF01FE"/>
    <w:rsid w:val="00BF3718"/>
    <w:rsid w:val="00BF62A6"/>
    <w:rsid w:val="00BF68B6"/>
    <w:rsid w:val="00BF7BA9"/>
    <w:rsid w:val="00C0148E"/>
    <w:rsid w:val="00C040C7"/>
    <w:rsid w:val="00C04A9F"/>
    <w:rsid w:val="00C11E23"/>
    <w:rsid w:val="00C132C7"/>
    <w:rsid w:val="00C1571A"/>
    <w:rsid w:val="00C16B74"/>
    <w:rsid w:val="00C20902"/>
    <w:rsid w:val="00C24315"/>
    <w:rsid w:val="00C24B81"/>
    <w:rsid w:val="00C251AC"/>
    <w:rsid w:val="00C2648F"/>
    <w:rsid w:val="00C27844"/>
    <w:rsid w:val="00C32A37"/>
    <w:rsid w:val="00C33BB0"/>
    <w:rsid w:val="00C36139"/>
    <w:rsid w:val="00C43B5D"/>
    <w:rsid w:val="00C43D44"/>
    <w:rsid w:val="00C44C11"/>
    <w:rsid w:val="00C45A15"/>
    <w:rsid w:val="00C50EE1"/>
    <w:rsid w:val="00C510C5"/>
    <w:rsid w:val="00C559EB"/>
    <w:rsid w:val="00C56C94"/>
    <w:rsid w:val="00C578A4"/>
    <w:rsid w:val="00C61BEF"/>
    <w:rsid w:val="00C77C88"/>
    <w:rsid w:val="00C832E7"/>
    <w:rsid w:val="00C863AD"/>
    <w:rsid w:val="00C877A4"/>
    <w:rsid w:val="00C929BB"/>
    <w:rsid w:val="00C94007"/>
    <w:rsid w:val="00C9435E"/>
    <w:rsid w:val="00CA1BD1"/>
    <w:rsid w:val="00CA4D20"/>
    <w:rsid w:val="00CA50A7"/>
    <w:rsid w:val="00CA635D"/>
    <w:rsid w:val="00CA7C32"/>
    <w:rsid w:val="00CB1EFE"/>
    <w:rsid w:val="00CB2709"/>
    <w:rsid w:val="00CB294D"/>
    <w:rsid w:val="00CB31F0"/>
    <w:rsid w:val="00CB41B8"/>
    <w:rsid w:val="00CB5905"/>
    <w:rsid w:val="00CB5E92"/>
    <w:rsid w:val="00CB62CE"/>
    <w:rsid w:val="00CC0497"/>
    <w:rsid w:val="00CC0BCE"/>
    <w:rsid w:val="00CC212A"/>
    <w:rsid w:val="00CC2D79"/>
    <w:rsid w:val="00CC34C1"/>
    <w:rsid w:val="00CC3923"/>
    <w:rsid w:val="00CC5FD9"/>
    <w:rsid w:val="00CD0B9D"/>
    <w:rsid w:val="00CD297A"/>
    <w:rsid w:val="00CD44E2"/>
    <w:rsid w:val="00CD4E83"/>
    <w:rsid w:val="00CD5432"/>
    <w:rsid w:val="00CD65D5"/>
    <w:rsid w:val="00CE0EE7"/>
    <w:rsid w:val="00CE1159"/>
    <w:rsid w:val="00CE3EA1"/>
    <w:rsid w:val="00CE3FAD"/>
    <w:rsid w:val="00CE49CD"/>
    <w:rsid w:val="00CE7508"/>
    <w:rsid w:val="00CF04B0"/>
    <w:rsid w:val="00CF198F"/>
    <w:rsid w:val="00CF26EF"/>
    <w:rsid w:val="00CF2D32"/>
    <w:rsid w:val="00CF5578"/>
    <w:rsid w:val="00CF6A79"/>
    <w:rsid w:val="00CF6DA3"/>
    <w:rsid w:val="00D010D2"/>
    <w:rsid w:val="00D0322A"/>
    <w:rsid w:val="00D07C7A"/>
    <w:rsid w:val="00D1085A"/>
    <w:rsid w:val="00D133FD"/>
    <w:rsid w:val="00D1419B"/>
    <w:rsid w:val="00D14C23"/>
    <w:rsid w:val="00D15EC8"/>
    <w:rsid w:val="00D20D7E"/>
    <w:rsid w:val="00D22B16"/>
    <w:rsid w:val="00D24C2A"/>
    <w:rsid w:val="00D270A2"/>
    <w:rsid w:val="00D41B45"/>
    <w:rsid w:val="00D42D64"/>
    <w:rsid w:val="00D44566"/>
    <w:rsid w:val="00D44767"/>
    <w:rsid w:val="00D44BD0"/>
    <w:rsid w:val="00D46B50"/>
    <w:rsid w:val="00D507C5"/>
    <w:rsid w:val="00D51070"/>
    <w:rsid w:val="00D51F30"/>
    <w:rsid w:val="00D53FF1"/>
    <w:rsid w:val="00D57B89"/>
    <w:rsid w:val="00D606AA"/>
    <w:rsid w:val="00D62A47"/>
    <w:rsid w:val="00D65D67"/>
    <w:rsid w:val="00D665EA"/>
    <w:rsid w:val="00D747B7"/>
    <w:rsid w:val="00D75E8A"/>
    <w:rsid w:val="00D76124"/>
    <w:rsid w:val="00D77083"/>
    <w:rsid w:val="00D77314"/>
    <w:rsid w:val="00D77FB9"/>
    <w:rsid w:val="00D80745"/>
    <w:rsid w:val="00D830E9"/>
    <w:rsid w:val="00D831A5"/>
    <w:rsid w:val="00D83E3D"/>
    <w:rsid w:val="00D8445B"/>
    <w:rsid w:val="00D905D3"/>
    <w:rsid w:val="00D9230B"/>
    <w:rsid w:val="00D93CC9"/>
    <w:rsid w:val="00D93D3C"/>
    <w:rsid w:val="00D9532A"/>
    <w:rsid w:val="00DA0280"/>
    <w:rsid w:val="00DA1499"/>
    <w:rsid w:val="00DA2397"/>
    <w:rsid w:val="00DA6B72"/>
    <w:rsid w:val="00DA7390"/>
    <w:rsid w:val="00DB0129"/>
    <w:rsid w:val="00DB1921"/>
    <w:rsid w:val="00DB2A55"/>
    <w:rsid w:val="00DB2CAD"/>
    <w:rsid w:val="00DB31D7"/>
    <w:rsid w:val="00DB5652"/>
    <w:rsid w:val="00DB6102"/>
    <w:rsid w:val="00DC1953"/>
    <w:rsid w:val="00DC40EE"/>
    <w:rsid w:val="00DC5B02"/>
    <w:rsid w:val="00DC6B0E"/>
    <w:rsid w:val="00DC7C2A"/>
    <w:rsid w:val="00DD04FD"/>
    <w:rsid w:val="00DD3505"/>
    <w:rsid w:val="00DF0D6A"/>
    <w:rsid w:val="00DF1A23"/>
    <w:rsid w:val="00DF3C38"/>
    <w:rsid w:val="00DF3C86"/>
    <w:rsid w:val="00DF5CDE"/>
    <w:rsid w:val="00E02659"/>
    <w:rsid w:val="00E02BEF"/>
    <w:rsid w:val="00E03581"/>
    <w:rsid w:val="00E05F44"/>
    <w:rsid w:val="00E1482F"/>
    <w:rsid w:val="00E15632"/>
    <w:rsid w:val="00E2081C"/>
    <w:rsid w:val="00E214B9"/>
    <w:rsid w:val="00E22B0E"/>
    <w:rsid w:val="00E22D03"/>
    <w:rsid w:val="00E24050"/>
    <w:rsid w:val="00E245B8"/>
    <w:rsid w:val="00E253FF"/>
    <w:rsid w:val="00E32483"/>
    <w:rsid w:val="00E32E0B"/>
    <w:rsid w:val="00E342DA"/>
    <w:rsid w:val="00E40FA7"/>
    <w:rsid w:val="00E41744"/>
    <w:rsid w:val="00E505E2"/>
    <w:rsid w:val="00E506C9"/>
    <w:rsid w:val="00E5091B"/>
    <w:rsid w:val="00E52B20"/>
    <w:rsid w:val="00E53615"/>
    <w:rsid w:val="00E56382"/>
    <w:rsid w:val="00E56A7E"/>
    <w:rsid w:val="00E600F7"/>
    <w:rsid w:val="00E602CB"/>
    <w:rsid w:val="00E62EC8"/>
    <w:rsid w:val="00E647FA"/>
    <w:rsid w:val="00E67A18"/>
    <w:rsid w:val="00E70A99"/>
    <w:rsid w:val="00E71DF0"/>
    <w:rsid w:val="00E7362B"/>
    <w:rsid w:val="00E7453A"/>
    <w:rsid w:val="00E74C52"/>
    <w:rsid w:val="00E75372"/>
    <w:rsid w:val="00E823AF"/>
    <w:rsid w:val="00E833DA"/>
    <w:rsid w:val="00E84973"/>
    <w:rsid w:val="00EA00A4"/>
    <w:rsid w:val="00EA0921"/>
    <w:rsid w:val="00EA0DFA"/>
    <w:rsid w:val="00EA1BD6"/>
    <w:rsid w:val="00EA2572"/>
    <w:rsid w:val="00EA3680"/>
    <w:rsid w:val="00EA7F3F"/>
    <w:rsid w:val="00EB43AE"/>
    <w:rsid w:val="00EB52D4"/>
    <w:rsid w:val="00EB599E"/>
    <w:rsid w:val="00EC00A4"/>
    <w:rsid w:val="00EC5980"/>
    <w:rsid w:val="00EC712F"/>
    <w:rsid w:val="00ED4819"/>
    <w:rsid w:val="00ED492D"/>
    <w:rsid w:val="00ED5349"/>
    <w:rsid w:val="00ED5B2E"/>
    <w:rsid w:val="00ED7A54"/>
    <w:rsid w:val="00EE13FE"/>
    <w:rsid w:val="00EE1482"/>
    <w:rsid w:val="00EE162F"/>
    <w:rsid w:val="00EE6750"/>
    <w:rsid w:val="00EE7239"/>
    <w:rsid w:val="00EE79AB"/>
    <w:rsid w:val="00EF2C66"/>
    <w:rsid w:val="00EF451B"/>
    <w:rsid w:val="00EF4B50"/>
    <w:rsid w:val="00EF594D"/>
    <w:rsid w:val="00EF7832"/>
    <w:rsid w:val="00EF7C8F"/>
    <w:rsid w:val="00F05C65"/>
    <w:rsid w:val="00F068B7"/>
    <w:rsid w:val="00F1003C"/>
    <w:rsid w:val="00F10905"/>
    <w:rsid w:val="00F12092"/>
    <w:rsid w:val="00F123CC"/>
    <w:rsid w:val="00F151DD"/>
    <w:rsid w:val="00F167E2"/>
    <w:rsid w:val="00F176E3"/>
    <w:rsid w:val="00F20D98"/>
    <w:rsid w:val="00F21946"/>
    <w:rsid w:val="00F2676C"/>
    <w:rsid w:val="00F270CF"/>
    <w:rsid w:val="00F3154A"/>
    <w:rsid w:val="00F32652"/>
    <w:rsid w:val="00F3383C"/>
    <w:rsid w:val="00F3487F"/>
    <w:rsid w:val="00F45003"/>
    <w:rsid w:val="00F463CB"/>
    <w:rsid w:val="00F47663"/>
    <w:rsid w:val="00F5262B"/>
    <w:rsid w:val="00F5363F"/>
    <w:rsid w:val="00F60680"/>
    <w:rsid w:val="00F60B53"/>
    <w:rsid w:val="00F6177F"/>
    <w:rsid w:val="00F6445F"/>
    <w:rsid w:val="00F660DE"/>
    <w:rsid w:val="00F7136B"/>
    <w:rsid w:val="00F7358C"/>
    <w:rsid w:val="00F73AF3"/>
    <w:rsid w:val="00F73D41"/>
    <w:rsid w:val="00F766B0"/>
    <w:rsid w:val="00F7781A"/>
    <w:rsid w:val="00F900F1"/>
    <w:rsid w:val="00F92DFD"/>
    <w:rsid w:val="00F93C9D"/>
    <w:rsid w:val="00F97BB5"/>
    <w:rsid w:val="00FA0C65"/>
    <w:rsid w:val="00FA4808"/>
    <w:rsid w:val="00FA69D9"/>
    <w:rsid w:val="00FB29AA"/>
    <w:rsid w:val="00FB74FC"/>
    <w:rsid w:val="00FC05EF"/>
    <w:rsid w:val="00FC07E2"/>
    <w:rsid w:val="00FC27D5"/>
    <w:rsid w:val="00FC2C3B"/>
    <w:rsid w:val="00FC6C05"/>
    <w:rsid w:val="00FC6E27"/>
    <w:rsid w:val="00FC6E77"/>
    <w:rsid w:val="00FD4EF3"/>
    <w:rsid w:val="00FD538B"/>
    <w:rsid w:val="00FE30AC"/>
    <w:rsid w:val="00FE4282"/>
    <w:rsid w:val="00FE44A1"/>
    <w:rsid w:val="00FE5B78"/>
    <w:rsid w:val="00FE69EE"/>
    <w:rsid w:val="00FF1170"/>
    <w:rsid w:val="00FF12A0"/>
    <w:rsid w:val="00FF2639"/>
    <w:rsid w:val="00FF26CB"/>
    <w:rsid w:val="00FF7C56"/>
    <w:rsid w:val="01102373"/>
    <w:rsid w:val="01444FFE"/>
    <w:rsid w:val="01FD150B"/>
    <w:rsid w:val="02113D0D"/>
    <w:rsid w:val="02408F7E"/>
    <w:rsid w:val="0258E0F3"/>
    <w:rsid w:val="02ABF3D4"/>
    <w:rsid w:val="047B5A33"/>
    <w:rsid w:val="05622FCA"/>
    <w:rsid w:val="062F6031"/>
    <w:rsid w:val="074FFE4A"/>
    <w:rsid w:val="086BE9F3"/>
    <w:rsid w:val="090F449B"/>
    <w:rsid w:val="091B3558"/>
    <w:rsid w:val="09C8156E"/>
    <w:rsid w:val="0B59F2AD"/>
    <w:rsid w:val="0BD96DEC"/>
    <w:rsid w:val="0C09153F"/>
    <w:rsid w:val="0C95F695"/>
    <w:rsid w:val="0CF61C7D"/>
    <w:rsid w:val="0D09DAE3"/>
    <w:rsid w:val="0D2C8AC0"/>
    <w:rsid w:val="0D92733F"/>
    <w:rsid w:val="0DEA80D3"/>
    <w:rsid w:val="0FC4BD90"/>
    <w:rsid w:val="10816C3A"/>
    <w:rsid w:val="117DD635"/>
    <w:rsid w:val="11819FE0"/>
    <w:rsid w:val="118FE652"/>
    <w:rsid w:val="11DE58C2"/>
    <w:rsid w:val="1253226C"/>
    <w:rsid w:val="127C094E"/>
    <w:rsid w:val="12C88938"/>
    <w:rsid w:val="1356A4FA"/>
    <w:rsid w:val="1415F2A3"/>
    <w:rsid w:val="1507EA17"/>
    <w:rsid w:val="1508ED6F"/>
    <w:rsid w:val="166424ED"/>
    <w:rsid w:val="16F548D0"/>
    <w:rsid w:val="180FE386"/>
    <w:rsid w:val="1943886C"/>
    <w:rsid w:val="1A2E65D2"/>
    <w:rsid w:val="1BEC9FBC"/>
    <w:rsid w:val="1CACD98D"/>
    <w:rsid w:val="1D2CB01E"/>
    <w:rsid w:val="1E44372C"/>
    <w:rsid w:val="1F5EC751"/>
    <w:rsid w:val="1F8EE4C4"/>
    <w:rsid w:val="1FC36567"/>
    <w:rsid w:val="207B353C"/>
    <w:rsid w:val="208A0272"/>
    <w:rsid w:val="215ADFAA"/>
    <w:rsid w:val="21DFF6D9"/>
    <w:rsid w:val="22AA88BF"/>
    <w:rsid w:val="23F44324"/>
    <w:rsid w:val="23F9E498"/>
    <w:rsid w:val="24326D1C"/>
    <w:rsid w:val="25D3AE2A"/>
    <w:rsid w:val="268F61EE"/>
    <w:rsid w:val="26C583AD"/>
    <w:rsid w:val="27344C57"/>
    <w:rsid w:val="273A31E3"/>
    <w:rsid w:val="289D77AB"/>
    <w:rsid w:val="293C13A3"/>
    <w:rsid w:val="296B661A"/>
    <w:rsid w:val="2AB7D74F"/>
    <w:rsid w:val="2AB8EA19"/>
    <w:rsid w:val="2B53AD48"/>
    <w:rsid w:val="2BA4D0C7"/>
    <w:rsid w:val="2BE6079B"/>
    <w:rsid w:val="2CF8F207"/>
    <w:rsid w:val="2D0D1A09"/>
    <w:rsid w:val="2E2CCA71"/>
    <w:rsid w:val="2ED2CF8F"/>
    <w:rsid w:val="2F1F0E30"/>
    <w:rsid w:val="2F2C1B6B"/>
    <w:rsid w:val="3070BA61"/>
    <w:rsid w:val="313BBD41"/>
    <w:rsid w:val="323516ED"/>
    <w:rsid w:val="3314C7B0"/>
    <w:rsid w:val="35AF4A78"/>
    <w:rsid w:val="35EC0D2A"/>
    <w:rsid w:val="3685A4E5"/>
    <w:rsid w:val="36BEC735"/>
    <w:rsid w:val="388857FD"/>
    <w:rsid w:val="3A535853"/>
    <w:rsid w:val="3AE24786"/>
    <w:rsid w:val="3BC39685"/>
    <w:rsid w:val="3C39E1A8"/>
    <w:rsid w:val="3D104386"/>
    <w:rsid w:val="3D1E7660"/>
    <w:rsid w:val="3E00A946"/>
    <w:rsid w:val="3EE1106C"/>
    <w:rsid w:val="4058B53F"/>
    <w:rsid w:val="40ED3979"/>
    <w:rsid w:val="410C7AB0"/>
    <w:rsid w:val="4190B0D5"/>
    <w:rsid w:val="41D5D14B"/>
    <w:rsid w:val="424541DB"/>
    <w:rsid w:val="426F30E5"/>
    <w:rsid w:val="42DE4A03"/>
    <w:rsid w:val="438C350F"/>
    <w:rsid w:val="446165DD"/>
    <w:rsid w:val="449FEAB0"/>
    <w:rsid w:val="44F64046"/>
    <w:rsid w:val="45658D74"/>
    <w:rsid w:val="4670A590"/>
    <w:rsid w:val="46F9587E"/>
    <w:rsid w:val="48CC8638"/>
    <w:rsid w:val="4935F392"/>
    <w:rsid w:val="4B774724"/>
    <w:rsid w:val="4C81967B"/>
    <w:rsid w:val="4CFA6610"/>
    <w:rsid w:val="4D0E1DA7"/>
    <w:rsid w:val="4DBAF651"/>
    <w:rsid w:val="4E34C8D1"/>
    <w:rsid w:val="4F5E03C7"/>
    <w:rsid w:val="4F63D3AC"/>
    <w:rsid w:val="4FCF618B"/>
    <w:rsid w:val="51A7328B"/>
    <w:rsid w:val="51D61622"/>
    <w:rsid w:val="521FE615"/>
    <w:rsid w:val="527BD9B3"/>
    <w:rsid w:val="5337D998"/>
    <w:rsid w:val="545E614A"/>
    <w:rsid w:val="54E3825D"/>
    <w:rsid w:val="5534B472"/>
    <w:rsid w:val="5550C648"/>
    <w:rsid w:val="56172FC5"/>
    <w:rsid w:val="561921EE"/>
    <w:rsid w:val="5623770C"/>
    <w:rsid w:val="5803E524"/>
    <w:rsid w:val="599F0F9C"/>
    <w:rsid w:val="5AE3CF91"/>
    <w:rsid w:val="5B0A7FA3"/>
    <w:rsid w:val="5B7C9243"/>
    <w:rsid w:val="5B8AEAA5"/>
    <w:rsid w:val="5C4F09EB"/>
    <w:rsid w:val="5C54A599"/>
    <w:rsid w:val="5CCCD4B1"/>
    <w:rsid w:val="5CE07E9E"/>
    <w:rsid w:val="5EB53E84"/>
    <w:rsid w:val="5EB6FA02"/>
    <w:rsid w:val="5F809176"/>
    <w:rsid w:val="60047D37"/>
    <w:rsid w:val="60535ABF"/>
    <w:rsid w:val="61CD3FBA"/>
    <w:rsid w:val="6247263B"/>
    <w:rsid w:val="631BAC87"/>
    <w:rsid w:val="6361143C"/>
    <w:rsid w:val="6391FC15"/>
    <w:rsid w:val="63FC1EF9"/>
    <w:rsid w:val="654F527B"/>
    <w:rsid w:val="663AA8E3"/>
    <w:rsid w:val="66E14385"/>
    <w:rsid w:val="6722BBB9"/>
    <w:rsid w:val="684858C5"/>
    <w:rsid w:val="6BA76763"/>
    <w:rsid w:val="6BC98D70"/>
    <w:rsid w:val="6CAA3796"/>
    <w:rsid w:val="6D23B673"/>
    <w:rsid w:val="6D5608A9"/>
    <w:rsid w:val="6E650F7F"/>
    <w:rsid w:val="6F3CABD9"/>
    <w:rsid w:val="6F690B42"/>
    <w:rsid w:val="6F91131B"/>
    <w:rsid w:val="731EA39F"/>
    <w:rsid w:val="7554459B"/>
    <w:rsid w:val="757C37FB"/>
    <w:rsid w:val="75F1EDB4"/>
    <w:rsid w:val="76408B0A"/>
    <w:rsid w:val="76474067"/>
    <w:rsid w:val="76638112"/>
    <w:rsid w:val="76C84076"/>
    <w:rsid w:val="770BE770"/>
    <w:rsid w:val="777B3B8B"/>
    <w:rsid w:val="78114E9A"/>
    <w:rsid w:val="782C9465"/>
    <w:rsid w:val="7CA0FF51"/>
    <w:rsid w:val="7CA7216E"/>
    <w:rsid w:val="7CACCE86"/>
    <w:rsid w:val="7D7B159B"/>
    <w:rsid w:val="7DC9F01B"/>
    <w:rsid w:val="7DD325DB"/>
    <w:rsid w:val="7E26A0A5"/>
    <w:rsid w:val="7EFD08E7"/>
    <w:rsid w:val="7F6F6C75"/>
    <w:rsid w:val="7F96C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B437"/>
  <w15:docId w15:val="{C6D4D458-0683-4A55-BED2-4754937F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ssessment_Normal"/>
    <w:rsid w:val="00C27844"/>
    <w:pPr>
      <w:spacing w:after="120" w:line="240" w:lineRule="auto"/>
    </w:pPr>
    <w:rPr>
      <w:rFonts w:ascii="Calibri" w:eastAsia="Times New Roman" w:hAnsi="Calibri" w:cs="Times New Roman"/>
      <w:sz w:val="20"/>
      <w:szCs w:val="20"/>
    </w:rPr>
  </w:style>
  <w:style w:type="paragraph" w:styleId="Heading1">
    <w:name w:val="heading 1"/>
    <w:basedOn w:val="Normal"/>
    <w:next w:val="Normal"/>
    <w:link w:val="Heading1Char"/>
    <w:uiPriority w:val="9"/>
    <w:semiHidden/>
    <w:rsid w:val="007145D1"/>
    <w:pPr>
      <w:keepNext/>
      <w:keepLines/>
      <w:numPr>
        <w:numId w:val="3"/>
      </w:numPr>
      <w:spacing w:before="480" w:after="240" w:line="276"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rsid w:val="007145D1"/>
    <w:pPr>
      <w:keepNext/>
      <w:keepLines/>
      <w:numPr>
        <w:ilvl w:val="1"/>
        <w:numId w:val="3"/>
      </w:numPr>
      <w:spacing w:before="180" w:after="0" w:line="276" w:lineRule="auto"/>
      <w:outlineLvl w:val="1"/>
    </w:pPr>
    <w:rPr>
      <w:rFonts w:eastAsiaTheme="majorEastAsia" w:cstheme="majorBidi"/>
      <w:b/>
      <w:bCs/>
      <w:sz w:val="24"/>
      <w:szCs w:val="26"/>
    </w:rPr>
  </w:style>
  <w:style w:type="paragraph" w:styleId="Heading3">
    <w:name w:val="heading 3"/>
    <w:basedOn w:val="Normal"/>
    <w:next w:val="Normal"/>
    <w:link w:val="Heading3Char"/>
    <w:uiPriority w:val="9"/>
    <w:semiHidden/>
    <w:rsid w:val="007145D1"/>
    <w:pPr>
      <w:keepNext/>
      <w:keepLines/>
      <w:numPr>
        <w:ilvl w:val="2"/>
        <w:numId w:val="3"/>
      </w:numPr>
      <w:spacing w:before="200" w:after="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rsid w:val="007145D1"/>
    <w:pPr>
      <w:keepNext/>
      <w:keepLines/>
      <w:numPr>
        <w:ilvl w:val="3"/>
        <w:numId w:val="3"/>
      </w:numPr>
      <w:spacing w:before="200" w:after="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rsid w:val="007145D1"/>
    <w:pPr>
      <w:keepNext/>
      <w:keepLines/>
      <w:numPr>
        <w:ilvl w:val="4"/>
        <w:numId w:val="3"/>
      </w:numPr>
      <w:spacing w:before="200" w:after="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qFormat/>
    <w:rsid w:val="007145D1"/>
    <w:pPr>
      <w:keepNext/>
      <w:keepLines/>
      <w:numPr>
        <w:ilvl w:val="5"/>
        <w:numId w:val="3"/>
      </w:numPr>
      <w:spacing w:before="200" w:after="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qFormat/>
    <w:rsid w:val="007145D1"/>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qFormat/>
    <w:rsid w:val="007145D1"/>
    <w:pPr>
      <w:keepNext/>
      <w:keepLines/>
      <w:numPr>
        <w:ilvl w:val="7"/>
        <w:numId w:val="3"/>
      </w:numPr>
      <w:spacing w:before="200" w:after="0" w:line="276"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7145D1"/>
    <w:pPr>
      <w:keepNext/>
      <w:keepLines/>
      <w:numPr>
        <w:ilvl w:val="8"/>
        <w:numId w:val="3"/>
      </w:numPr>
      <w:spacing w:before="200" w:after="0" w:line="276"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7145D1"/>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45D1"/>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semiHidden/>
    <w:rsid w:val="007145D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145D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145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45D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45D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45D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45D1"/>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semiHidden/>
    <w:unhideWhenUsed/>
    <w:rsid w:val="007145D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semiHidden/>
    <w:rsid w:val="007145D1"/>
    <w:rPr>
      <w:rFonts w:eastAsiaTheme="minorEastAsia"/>
      <w:lang w:val="en-US" w:eastAsia="ja-JP"/>
    </w:rPr>
  </w:style>
  <w:style w:type="paragraph" w:styleId="BalloonText">
    <w:name w:val="Balloon Text"/>
    <w:basedOn w:val="Normal"/>
    <w:link w:val="BalloonTextChar"/>
    <w:uiPriority w:val="99"/>
    <w:semiHidden/>
    <w:unhideWhenUsed/>
    <w:rsid w:val="007145D1"/>
    <w:pPr>
      <w:spacing w:before="180" w:after="0" w:line="276"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145D1"/>
    <w:rPr>
      <w:rFonts w:ascii="Tahoma" w:hAnsi="Tahoma" w:cs="Tahoma"/>
      <w:sz w:val="16"/>
      <w:szCs w:val="16"/>
    </w:rPr>
  </w:style>
  <w:style w:type="paragraph" w:styleId="Header">
    <w:name w:val="header"/>
    <w:basedOn w:val="Normal"/>
    <w:link w:val="HeaderChar"/>
    <w:uiPriority w:val="9"/>
    <w:unhideWhenUsed/>
    <w:rsid w:val="007145D1"/>
    <w:pPr>
      <w:tabs>
        <w:tab w:val="center" w:pos="4513"/>
        <w:tab w:val="right" w:pos="9026"/>
      </w:tabs>
      <w:spacing w:after="0"/>
    </w:pPr>
    <w:rPr>
      <w:rFonts w:eastAsiaTheme="minorHAnsi" w:cstheme="minorBidi"/>
      <w:color w:val="595959" w:themeColor="text1" w:themeTint="A6"/>
      <w:sz w:val="22"/>
      <w:szCs w:val="22"/>
    </w:rPr>
  </w:style>
  <w:style w:type="character" w:customStyle="1" w:styleId="HeaderChar">
    <w:name w:val="Header Char"/>
    <w:basedOn w:val="DefaultParagraphFont"/>
    <w:link w:val="Header"/>
    <w:uiPriority w:val="9"/>
    <w:rsid w:val="007145D1"/>
    <w:rPr>
      <w:rFonts w:ascii="Calibri" w:hAnsi="Calibri"/>
      <w:color w:val="595959" w:themeColor="text1" w:themeTint="A6"/>
    </w:rPr>
  </w:style>
  <w:style w:type="paragraph" w:styleId="Footer">
    <w:name w:val="footer"/>
    <w:basedOn w:val="Normal"/>
    <w:link w:val="FooterChar"/>
    <w:uiPriority w:val="99"/>
    <w:unhideWhenUsed/>
    <w:rsid w:val="007145D1"/>
    <w:pPr>
      <w:pBdr>
        <w:top w:val="single" w:sz="12" w:space="1" w:color="A6A6A6"/>
      </w:pBdr>
      <w:tabs>
        <w:tab w:val="center" w:pos="4513"/>
        <w:tab w:val="right" w:pos="9026"/>
      </w:tabs>
      <w:spacing w:after="0"/>
      <w:jc w:val="center"/>
    </w:pPr>
    <w:rPr>
      <w:rFonts w:eastAsiaTheme="minorHAnsi" w:cstheme="minorHAnsi"/>
      <w:color w:val="595959"/>
    </w:rPr>
  </w:style>
  <w:style w:type="character" w:customStyle="1" w:styleId="FooterChar">
    <w:name w:val="Footer Char"/>
    <w:basedOn w:val="DefaultParagraphFont"/>
    <w:link w:val="Footer"/>
    <w:uiPriority w:val="99"/>
    <w:rsid w:val="007145D1"/>
    <w:rPr>
      <w:rFonts w:ascii="Calibri" w:hAnsi="Calibri" w:cstheme="minorHAnsi"/>
      <w:color w:val="595959"/>
      <w:sz w:val="20"/>
      <w:szCs w:val="20"/>
    </w:rPr>
  </w:style>
  <w:style w:type="paragraph" w:customStyle="1" w:styleId="ReportClientDetails">
    <w:name w:val="Report Client Details"/>
    <w:basedOn w:val="NCLTableText"/>
    <w:uiPriority w:val="3"/>
    <w:rsid w:val="007145D1"/>
    <w:rPr>
      <w:color w:val="595959" w:themeColor="text1" w:themeTint="A6"/>
    </w:rPr>
  </w:style>
  <w:style w:type="table" w:styleId="TableGrid">
    <w:name w:val="Table Grid"/>
    <w:basedOn w:val="TableNormal"/>
    <w:uiPriority w:val="59"/>
    <w:rsid w:val="0071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145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7145D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urfulGridAccent1">
    <w:name w:val="Colorful Grid Accent 1"/>
    <w:basedOn w:val="TableNormal"/>
    <w:uiPriority w:val="73"/>
    <w:rsid w:val="007145D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Heading">
    <w:name w:val="TOC Heading"/>
    <w:basedOn w:val="Heading1"/>
    <w:next w:val="Normal"/>
    <w:uiPriority w:val="39"/>
    <w:semiHidden/>
    <w:unhideWhenUsed/>
    <w:qFormat/>
    <w:rsid w:val="007145D1"/>
    <w:pPr>
      <w:numPr>
        <w:numId w:val="0"/>
      </w:numPr>
      <w:outlineLvl w:val="9"/>
    </w:pPr>
    <w:rPr>
      <w:lang w:eastAsia="ja-JP"/>
    </w:rPr>
  </w:style>
  <w:style w:type="paragraph" w:styleId="TOC1">
    <w:name w:val="toc 1"/>
    <w:basedOn w:val="NCLBodyText"/>
    <w:next w:val="NCLBodyText"/>
    <w:uiPriority w:val="39"/>
    <w:rsid w:val="007145D1"/>
    <w:pPr>
      <w:spacing w:after="60"/>
    </w:pPr>
  </w:style>
  <w:style w:type="paragraph" w:styleId="TOC3">
    <w:name w:val="toc 3"/>
    <w:basedOn w:val="Normal"/>
    <w:next w:val="NCLBodyText"/>
    <w:uiPriority w:val="39"/>
    <w:rsid w:val="007145D1"/>
    <w:pPr>
      <w:spacing w:before="60" w:after="60"/>
      <w:ind w:left="442"/>
    </w:pPr>
    <w:rPr>
      <w:rFonts w:eastAsiaTheme="minorHAnsi" w:cstheme="minorBidi"/>
      <w:sz w:val="22"/>
      <w:szCs w:val="22"/>
    </w:rPr>
  </w:style>
  <w:style w:type="character" w:styleId="Hyperlink">
    <w:name w:val="Hyperlink"/>
    <w:basedOn w:val="DefaultParagraphFont"/>
    <w:uiPriority w:val="99"/>
    <w:unhideWhenUsed/>
    <w:rsid w:val="007145D1"/>
    <w:rPr>
      <w:color w:val="0000FF" w:themeColor="hyperlink"/>
      <w:u w:val="single"/>
    </w:rPr>
  </w:style>
  <w:style w:type="table" w:styleId="MediumList2-Accent1">
    <w:name w:val="Medium List 2 Accent 1"/>
    <w:basedOn w:val="TableNormal"/>
    <w:uiPriority w:val="66"/>
    <w:rsid w:val="007145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Text">
    <w:name w:val="annotation text"/>
    <w:basedOn w:val="Normal"/>
    <w:link w:val="CommentTextChar"/>
    <w:uiPriority w:val="99"/>
    <w:unhideWhenUsed/>
    <w:rsid w:val="007145D1"/>
    <w:pPr>
      <w:spacing w:before="180" w:after="0" w:line="276" w:lineRule="auto"/>
    </w:pPr>
    <w:rPr>
      <w:rFonts w:eastAsiaTheme="minorHAnsi" w:cstheme="minorBidi"/>
    </w:rPr>
  </w:style>
  <w:style w:type="character" w:customStyle="1" w:styleId="CommentTextChar">
    <w:name w:val="Comment Text Char"/>
    <w:basedOn w:val="DefaultParagraphFont"/>
    <w:link w:val="CommentText"/>
    <w:uiPriority w:val="99"/>
    <w:rsid w:val="007145D1"/>
    <w:rPr>
      <w:rFonts w:ascii="Calibri" w:hAnsi="Calibri"/>
      <w:sz w:val="20"/>
      <w:szCs w:val="20"/>
    </w:rPr>
  </w:style>
  <w:style w:type="table" w:styleId="LightShading-Accent1">
    <w:name w:val="Light Shading Accent 1"/>
    <w:basedOn w:val="TableNormal"/>
    <w:uiPriority w:val="60"/>
    <w:rsid w:val="007145D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2">
    <w:name w:val="toc 2"/>
    <w:basedOn w:val="Normal"/>
    <w:next w:val="NCLBodyText"/>
    <w:uiPriority w:val="39"/>
    <w:rsid w:val="007145D1"/>
    <w:pPr>
      <w:spacing w:before="60" w:after="60"/>
      <w:ind w:left="221"/>
    </w:pPr>
    <w:rPr>
      <w:rFonts w:eastAsiaTheme="minorHAnsi" w:cstheme="minorBidi"/>
      <w:sz w:val="22"/>
      <w:szCs w:val="22"/>
    </w:rPr>
  </w:style>
  <w:style w:type="character" w:styleId="CommentReference">
    <w:name w:val="annotation reference"/>
    <w:basedOn w:val="DefaultParagraphFont"/>
    <w:uiPriority w:val="99"/>
    <w:semiHidden/>
    <w:unhideWhenUsed/>
    <w:rsid w:val="007145D1"/>
    <w:rPr>
      <w:sz w:val="16"/>
      <w:szCs w:val="16"/>
    </w:rPr>
  </w:style>
  <w:style w:type="paragraph" w:styleId="Caption">
    <w:name w:val="caption"/>
    <w:basedOn w:val="Normal"/>
    <w:next w:val="NCLBodyText"/>
    <w:uiPriority w:val="8"/>
    <w:unhideWhenUsed/>
    <w:rsid w:val="007145D1"/>
    <w:pPr>
      <w:keepNext/>
      <w:spacing w:before="180" w:after="0" w:line="276" w:lineRule="auto"/>
    </w:pPr>
    <w:rPr>
      <w:rFonts w:eastAsiaTheme="minorHAnsi" w:cstheme="minorBidi"/>
      <w:b/>
      <w:bCs/>
      <w:color w:val="000000" w:themeColor="text1"/>
      <w:szCs w:val="18"/>
    </w:rPr>
  </w:style>
  <w:style w:type="paragraph" w:styleId="TOC4">
    <w:name w:val="toc 4"/>
    <w:basedOn w:val="Normal"/>
    <w:next w:val="NCLBodyText"/>
    <w:uiPriority w:val="39"/>
    <w:semiHidden/>
    <w:rsid w:val="007145D1"/>
    <w:pPr>
      <w:spacing w:before="180" w:after="100" w:line="276" w:lineRule="auto"/>
      <w:ind w:left="660"/>
    </w:pPr>
    <w:rPr>
      <w:rFonts w:eastAsiaTheme="minorEastAsia" w:cstheme="minorBidi"/>
      <w:sz w:val="22"/>
      <w:szCs w:val="22"/>
      <w:lang w:eastAsia="en-GB"/>
    </w:rPr>
  </w:style>
  <w:style w:type="paragraph" w:styleId="TOC5">
    <w:name w:val="toc 5"/>
    <w:basedOn w:val="Normal"/>
    <w:next w:val="NCLBodyText"/>
    <w:uiPriority w:val="39"/>
    <w:semiHidden/>
    <w:rsid w:val="007145D1"/>
    <w:pPr>
      <w:spacing w:before="180" w:after="100" w:line="276" w:lineRule="auto"/>
      <w:ind w:left="880"/>
    </w:pPr>
    <w:rPr>
      <w:rFonts w:eastAsiaTheme="minorEastAsia" w:cstheme="minorBidi"/>
      <w:sz w:val="22"/>
      <w:szCs w:val="22"/>
      <w:lang w:eastAsia="en-GB"/>
    </w:rPr>
  </w:style>
  <w:style w:type="paragraph" w:styleId="TOC6">
    <w:name w:val="toc 6"/>
    <w:basedOn w:val="Normal"/>
    <w:next w:val="Normal"/>
    <w:autoRedefine/>
    <w:uiPriority w:val="39"/>
    <w:semiHidden/>
    <w:rsid w:val="007145D1"/>
    <w:pPr>
      <w:spacing w:before="180" w:after="100" w:line="276" w:lineRule="auto"/>
      <w:ind w:left="1100"/>
    </w:pPr>
    <w:rPr>
      <w:rFonts w:eastAsiaTheme="minorEastAsia" w:cstheme="minorBidi"/>
      <w:sz w:val="22"/>
      <w:szCs w:val="22"/>
      <w:lang w:eastAsia="en-GB"/>
    </w:rPr>
  </w:style>
  <w:style w:type="paragraph" w:styleId="TOC7">
    <w:name w:val="toc 7"/>
    <w:basedOn w:val="Normal"/>
    <w:next w:val="Normal"/>
    <w:autoRedefine/>
    <w:uiPriority w:val="39"/>
    <w:semiHidden/>
    <w:rsid w:val="007145D1"/>
    <w:pPr>
      <w:spacing w:before="180" w:after="100" w:line="276" w:lineRule="auto"/>
      <w:ind w:left="1320"/>
    </w:pPr>
    <w:rPr>
      <w:rFonts w:eastAsiaTheme="minorEastAsia" w:cstheme="minorBidi"/>
      <w:sz w:val="22"/>
      <w:szCs w:val="22"/>
      <w:lang w:eastAsia="en-GB"/>
    </w:rPr>
  </w:style>
  <w:style w:type="paragraph" w:styleId="TOC8">
    <w:name w:val="toc 8"/>
    <w:basedOn w:val="Normal"/>
    <w:next w:val="Normal"/>
    <w:autoRedefine/>
    <w:uiPriority w:val="39"/>
    <w:semiHidden/>
    <w:rsid w:val="007145D1"/>
    <w:pPr>
      <w:spacing w:before="180" w:after="100" w:line="276" w:lineRule="auto"/>
      <w:ind w:left="1540"/>
    </w:pPr>
    <w:rPr>
      <w:rFonts w:eastAsiaTheme="minorEastAsia" w:cstheme="minorBidi"/>
      <w:sz w:val="22"/>
      <w:szCs w:val="22"/>
      <w:lang w:eastAsia="en-GB"/>
    </w:rPr>
  </w:style>
  <w:style w:type="paragraph" w:styleId="TOC9">
    <w:name w:val="toc 9"/>
    <w:basedOn w:val="Normal"/>
    <w:next w:val="Normal"/>
    <w:autoRedefine/>
    <w:uiPriority w:val="39"/>
    <w:semiHidden/>
    <w:rsid w:val="007145D1"/>
    <w:pPr>
      <w:spacing w:before="180" w:after="100" w:line="276" w:lineRule="auto"/>
      <w:ind w:left="1760"/>
    </w:pPr>
    <w:rPr>
      <w:rFonts w:eastAsiaTheme="minorEastAsia" w:cstheme="minorBidi"/>
      <w:sz w:val="22"/>
      <w:szCs w:val="22"/>
      <w:lang w:eastAsia="en-GB"/>
    </w:rPr>
  </w:style>
  <w:style w:type="paragraph" w:styleId="CommentSubject">
    <w:name w:val="annotation subject"/>
    <w:basedOn w:val="CommentText"/>
    <w:next w:val="CommentText"/>
    <w:link w:val="CommentSubjectChar"/>
    <w:uiPriority w:val="99"/>
    <w:semiHidden/>
    <w:unhideWhenUsed/>
    <w:rsid w:val="007145D1"/>
    <w:rPr>
      <w:b/>
      <w:bCs/>
    </w:rPr>
  </w:style>
  <w:style w:type="character" w:customStyle="1" w:styleId="CommentSubjectChar">
    <w:name w:val="Comment Subject Char"/>
    <w:basedOn w:val="CommentTextChar"/>
    <w:link w:val="CommentSubject"/>
    <w:uiPriority w:val="99"/>
    <w:semiHidden/>
    <w:rsid w:val="007145D1"/>
    <w:rPr>
      <w:rFonts w:ascii="Calibri" w:hAnsi="Calibri"/>
      <w:b/>
      <w:bCs/>
      <w:sz w:val="20"/>
      <w:szCs w:val="20"/>
    </w:rPr>
  </w:style>
  <w:style w:type="table" w:styleId="MediumShading1-Accent1">
    <w:name w:val="Medium Shading 1 Accent 1"/>
    <w:basedOn w:val="TableNormal"/>
    <w:uiPriority w:val="63"/>
    <w:rsid w:val="007145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ableofFigures">
    <w:name w:val="table of figures"/>
    <w:basedOn w:val="Normal"/>
    <w:next w:val="NCLBodyText"/>
    <w:uiPriority w:val="99"/>
    <w:unhideWhenUsed/>
    <w:rsid w:val="007145D1"/>
    <w:pPr>
      <w:spacing w:before="60" w:after="60"/>
    </w:pPr>
    <w:rPr>
      <w:rFonts w:eastAsiaTheme="minorHAnsi" w:cstheme="minorBidi"/>
      <w:sz w:val="22"/>
      <w:szCs w:val="22"/>
    </w:rPr>
  </w:style>
  <w:style w:type="paragraph" w:styleId="ListBullet">
    <w:name w:val="List Bullet"/>
    <w:basedOn w:val="NCLBodyText"/>
    <w:uiPriority w:val="1"/>
    <w:unhideWhenUsed/>
    <w:qFormat/>
    <w:rsid w:val="007145D1"/>
    <w:pPr>
      <w:numPr>
        <w:numId w:val="4"/>
      </w:numPr>
      <w:spacing w:before="0"/>
      <w:contextualSpacing/>
    </w:pPr>
  </w:style>
  <w:style w:type="paragraph" w:styleId="ListBullet2">
    <w:name w:val="List Bullet 2"/>
    <w:basedOn w:val="ListBullet"/>
    <w:uiPriority w:val="1"/>
    <w:unhideWhenUsed/>
    <w:rsid w:val="007145D1"/>
    <w:pPr>
      <w:numPr>
        <w:ilvl w:val="1"/>
      </w:numPr>
    </w:pPr>
  </w:style>
  <w:style w:type="paragraph" w:styleId="ListBullet3">
    <w:name w:val="List Bullet 3"/>
    <w:basedOn w:val="ListBullet"/>
    <w:uiPriority w:val="1"/>
    <w:unhideWhenUsed/>
    <w:rsid w:val="007145D1"/>
    <w:pPr>
      <w:numPr>
        <w:ilvl w:val="2"/>
      </w:numPr>
    </w:pPr>
  </w:style>
  <w:style w:type="paragraph" w:styleId="ListBullet4">
    <w:name w:val="List Bullet 4"/>
    <w:basedOn w:val="ListBullet"/>
    <w:uiPriority w:val="1"/>
    <w:unhideWhenUsed/>
    <w:rsid w:val="007145D1"/>
    <w:pPr>
      <w:numPr>
        <w:ilvl w:val="3"/>
      </w:numPr>
    </w:pPr>
  </w:style>
  <w:style w:type="paragraph" w:styleId="ListBullet5">
    <w:name w:val="List Bullet 5"/>
    <w:basedOn w:val="ListBullet"/>
    <w:uiPriority w:val="1"/>
    <w:unhideWhenUsed/>
    <w:rsid w:val="007145D1"/>
    <w:pPr>
      <w:numPr>
        <w:ilvl w:val="4"/>
      </w:numPr>
    </w:pPr>
  </w:style>
  <w:style w:type="paragraph" w:styleId="ListNumber">
    <w:name w:val="List Number"/>
    <w:basedOn w:val="Normal"/>
    <w:uiPriority w:val="1"/>
    <w:unhideWhenUsed/>
    <w:qFormat/>
    <w:rsid w:val="007145D1"/>
    <w:pPr>
      <w:numPr>
        <w:numId w:val="5"/>
      </w:numPr>
      <w:spacing w:after="0" w:line="276" w:lineRule="auto"/>
      <w:contextualSpacing/>
    </w:pPr>
    <w:rPr>
      <w:rFonts w:eastAsiaTheme="minorHAnsi" w:cstheme="minorBidi"/>
      <w:sz w:val="22"/>
      <w:szCs w:val="22"/>
    </w:rPr>
  </w:style>
  <w:style w:type="paragraph" w:styleId="ListNumber2">
    <w:name w:val="List Number 2"/>
    <w:basedOn w:val="Normal"/>
    <w:uiPriority w:val="1"/>
    <w:unhideWhenUsed/>
    <w:rsid w:val="007145D1"/>
    <w:pPr>
      <w:numPr>
        <w:ilvl w:val="1"/>
        <w:numId w:val="5"/>
      </w:numPr>
      <w:spacing w:after="0" w:line="276" w:lineRule="auto"/>
      <w:contextualSpacing/>
    </w:pPr>
    <w:rPr>
      <w:rFonts w:eastAsiaTheme="minorHAnsi" w:cstheme="minorBidi"/>
      <w:sz w:val="22"/>
      <w:szCs w:val="22"/>
    </w:rPr>
  </w:style>
  <w:style w:type="paragraph" w:styleId="ListNumber3">
    <w:name w:val="List Number 3"/>
    <w:basedOn w:val="Normal"/>
    <w:uiPriority w:val="1"/>
    <w:unhideWhenUsed/>
    <w:rsid w:val="007145D1"/>
    <w:pPr>
      <w:numPr>
        <w:ilvl w:val="2"/>
        <w:numId w:val="5"/>
      </w:numPr>
      <w:spacing w:after="0" w:line="276" w:lineRule="auto"/>
      <w:contextualSpacing/>
    </w:pPr>
    <w:rPr>
      <w:rFonts w:eastAsiaTheme="minorHAnsi" w:cstheme="minorBidi"/>
      <w:sz w:val="22"/>
      <w:szCs w:val="22"/>
    </w:rPr>
  </w:style>
  <w:style w:type="paragraph" w:customStyle="1" w:styleId="NCLBodyText">
    <w:name w:val="NCL Body Text"/>
    <w:basedOn w:val="Normal"/>
    <w:link w:val="NCLBodyTextChar"/>
    <w:qFormat/>
    <w:rsid w:val="00F6177F"/>
    <w:pPr>
      <w:spacing w:before="60" w:after="0"/>
      <w:jc w:val="both"/>
    </w:pPr>
    <w:rPr>
      <w:rFonts w:eastAsiaTheme="minorHAnsi" w:cs="Calibri"/>
      <w:sz w:val="22"/>
      <w:szCs w:val="22"/>
    </w:rPr>
  </w:style>
  <w:style w:type="character" w:customStyle="1" w:styleId="NCLBodyTextChar">
    <w:name w:val="NCL Body Text Char"/>
    <w:basedOn w:val="DefaultParagraphFont"/>
    <w:link w:val="NCLBodyText"/>
    <w:rsid w:val="00F6177F"/>
    <w:rPr>
      <w:rFonts w:ascii="Calibri" w:hAnsi="Calibri" w:cs="Calibri"/>
    </w:rPr>
  </w:style>
  <w:style w:type="paragraph" w:customStyle="1" w:styleId="NCLHeading1">
    <w:name w:val="NCL Heading 1"/>
    <w:basedOn w:val="Heading1"/>
    <w:next w:val="NCLBodyText"/>
    <w:link w:val="NCLHeading1Char"/>
    <w:qFormat/>
    <w:rsid w:val="00D46B50"/>
    <w:pPr>
      <w:numPr>
        <w:numId w:val="6"/>
      </w:numPr>
      <w:shd w:val="clear" w:color="auto" w:fill="548DD4" w:themeFill="text2" w:themeFillTint="99"/>
      <w:spacing w:before="240" w:after="120" w:line="240" w:lineRule="auto"/>
      <w:ind w:left="567" w:hanging="567"/>
    </w:pPr>
    <w:rPr>
      <w:color w:val="FFFFFF" w:themeColor="background1"/>
    </w:rPr>
  </w:style>
  <w:style w:type="character" w:customStyle="1" w:styleId="NCLHeading1Char">
    <w:name w:val="NCL Heading 1 Char"/>
    <w:basedOn w:val="Heading1Char"/>
    <w:link w:val="NCLHeading1"/>
    <w:rsid w:val="00D46B50"/>
    <w:rPr>
      <w:rFonts w:ascii="Calibri" w:eastAsiaTheme="majorEastAsia" w:hAnsi="Calibri" w:cstheme="majorBidi"/>
      <w:b/>
      <w:bCs/>
      <w:color w:val="FFFFFF" w:themeColor="background1"/>
      <w:sz w:val="28"/>
      <w:szCs w:val="28"/>
      <w:shd w:val="clear" w:color="auto" w:fill="548DD4" w:themeFill="text2" w:themeFillTint="99"/>
    </w:rPr>
  </w:style>
  <w:style w:type="paragraph" w:customStyle="1" w:styleId="NCLHeading2">
    <w:name w:val="NCL Heading 2"/>
    <w:basedOn w:val="Heading2"/>
    <w:next w:val="NCLBodyText"/>
    <w:link w:val="NCLHeading2Char"/>
    <w:qFormat/>
    <w:rsid w:val="007C4B50"/>
    <w:pPr>
      <w:numPr>
        <w:numId w:val="6"/>
      </w:numPr>
      <w:spacing w:before="120" w:after="60"/>
      <w:ind w:left="0" w:firstLine="0"/>
      <w:jc w:val="both"/>
    </w:pPr>
    <w:rPr>
      <w:color w:val="000000" w:themeColor="text1"/>
    </w:rPr>
  </w:style>
  <w:style w:type="character" w:customStyle="1" w:styleId="NCLHeading2Char">
    <w:name w:val="NCL Heading 2 Char"/>
    <w:basedOn w:val="Heading2Char"/>
    <w:link w:val="NCLHeading2"/>
    <w:rsid w:val="007C4B50"/>
    <w:rPr>
      <w:rFonts w:ascii="Calibri" w:eastAsiaTheme="majorEastAsia" w:hAnsi="Calibri" w:cstheme="majorBidi"/>
      <w:b/>
      <w:bCs/>
      <w:color w:val="000000" w:themeColor="text1"/>
      <w:sz w:val="24"/>
      <w:szCs w:val="26"/>
    </w:rPr>
  </w:style>
  <w:style w:type="paragraph" w:customStyle="1" w:styleId="NCLHeading3">
    <w:name w:val="NCL Heading 3"/>
    <w:basedOn w:val="Heading3"/>
    <w:next w:val="NCLBodyText"/>
    <w:link w:val="NCLHeading3Char"/>
    <w:qFormat/>
    <w:rsid w:val="007C4B50"/>
    <w:pPr>
      <w:numPr>
        <w:numId w:val="6"/>
      </w:numPr>
      <w:spacing w:before="120" w:after="60"/>
    </w:pPr>
    <w:rPr>
      <w:rFonts w:ascii="Calibri" w:hAnsi="Calibri"/>
      <w:b w:val="0"/>
      <w:color w:val="000000" w:themeColor="text1"/>
    </w:rPr>
  </w:style>
  <w:style w:type="character" w:customStyle="1" w:styleId="NCLHeading3Char">
    <w:name w:val="NCL Heading 3 Char"/>
    <w:basedOn w:val="Heading3Char"/>
    <w:link w:val="NCLHeading3"/>
    <w:rsid w:val="007C4B50"/>
    <w:rPr>
      <w:rFonts w:ascii="Calibri" w:eastAsiaTheme="majorEastAsia" w:hAnsi="Calibri" w:cstheme="majorBidi"/>
      <w:b w:val="0"/>
      <w:bCs/>
      <w:color w:val="000000" w:themeColor="text1"/>
    </w:rPr>
  </w:style>
  <w:style w:type="paragraph" w:customStyle="1" w:styleId="NCLSubsection">
    <w:name w:val="NCL Subsection"/>
    <w:basedOn w:val="Heading4"/>
    <w:next w:val="NCLBodyText"/>
    <w:link w:val="NCLSubsectionChar"/>
    <w:qFormat/>
    <w:rsid w:val="007C4B50"/>
    <w:pPr>
      <w:numPr>
        <w:ilvl w:val="0"/>
        <w:numId w:val="0"/>
      </w:numPr>
      <w:spacing w:before="120" w:after="60"/>
    </w:pPr>
    <w:rPr>
      <w:rFonts w:ascii="Calibri" w:hAnsi="Calibri"/>
      <w:b w:val="0"/>
      <w:color w:val="000000" w:themeColor="text1"/>
      <w:u w:val="single"/>
    </w:rPr>
  </w:style>
  <w:style w:type="character" w:customStyle="1" w:styleId="NCLSubsectionChar">
    <w:name w:val="NCL Subsection Char"/>
    <w:basedOn w:val="Heading4Char"/>
    <w:link w:val="NCLSubsection"/>
    <w:rsid w:val="007C4B50"/>
    <w:rPr>
      <w:rFonts w:ascii="Calibri" w:eastAsiaTheme="majorEastAsia" w:hAnsi="Calibri" w:cstheme="majorBidi"/>
      <w:b w:val="0"/>
      <w:bCs/>
      <w:i/>
      <w:iCs/>
      <w:color w:val="000000" w:themeColor="text1"/>
      <w:u w:val="single"/>
    </w:rPr>
  </w:style>
  <w:style w:type="paragraph" w:customStyle="1" w:styleId="NCLTableheading">
    <w:name w:val="NCL Table heading"/>
    <w:basedOn w:val="Heading5"/>
    <w:next w:val="NCLBodyText"/>
    <w:link w:val="NCLTableheadingChar"/>
    <w:qFormat/>
    <w:rsid w:val="007145D1"/>
    <w:pPr>
      <w:numPr>
        <w:numId w:val="6"/>
      </w:numPr>
      <w:spacing w:before="240" w:after="180"/>
    </w:pPr>
    <w:rPr>
      <w:rFonts w:ascii="Calibri" w:hAnsi="Calibri"/>
      <w:b/>
      <w:color w:val="000000"/>
    </w:rPr>
  </w:style>
  <w:style w:type="character" w:customStyle="1" w:styleId="NCLTableheadingChar">
    <w:name w:val="NCL Table heading Char"/>
    <w:basedOn w:val="Heading5Char"/>
    <w:link w:val="NCLTableheading"/>
    <w:rsid w:val="007145D1"/>
    <w:rPr>
      <w:rFonts w:ascii="Calibri" w:eastAsiaTheme="majorEastAsia" w:hAnsi="Calibri" w:cstheme="majorBidi"/>
      <w:b/>
      <w:color w:val="000000"/>
    </w:rPr>
  </w:style>
  <w:style w:type="numbering" w:customStyle="1" w:styleId="ReportHeadings">
    <w:name w:val="Report Headings"/>
    <w:uiPriority w:val="99"/>
    <w:rsid w:val="007145D1"/>
    <w:pPr>
      <w:numPr>
        <w:numId w:val="6"/>
      </w:numPr>
    </w:pPr>
  </w:style>
  <w:style w:type="paragraph" w:customStyle="1" w:styleId="ReportNonTOCHeading">
    <w:name w:val="Report NonTOC Heading"/>
    <w:basedOn w:val="NCLBodyText"/>
    <w:next w:val="NCLBodyText"/>
    <w:link w:val="ReportNonTOCHeadingChar"/>
    <w:rsid w:val="007145D1"/>
    <w:pPr>
      <w:keepNext/>
    </w:pPr>
    <w:rPr>
      <w:b/>
      <w:color w:val="17365D" w:themeColor="text2" w:themeShade="BF"/>
      <w:sz w:val="28"/>
    </w:rPr>
  </w:style>
  <w:style w:type="character" w:customStyle="1" w:styleId="ReportNonTOCHeadingChar">
    <w:name w:val="Report NonTOC Heading Char"/>
    <w:basedOn w:val="DefaultParagraphFont"/>
    <w:link w:val="ReportNonTOCHeading"/>
    <w:rsid w:val="007145D1"/>
    <w:rPr>
      <w:rFonts w:ascii="Calibri" w:hAnsi="Calibri" w:cs="Calibri"/>
      <w:b/>
      <w:color w:val="17365D" w:themeColor="text2" w:themeShade="BF"/>
      <w:sz w:val="28"/>
    </w:rPr>
  </w:style>
  <w:style w:type="paragraph" w:styleId="FootnoteText">
    <w:name w:val="footnote text"/>
    <w:basedOn w:val="Normal"/>
    <w:link w:val="FootnoteTextChar"/>
    <w:uiPriority w:val="99"/>
    <w:rsid w:val="007145D1"/>
    <w:pPr>
      <w:spacing w:before="180" w:after="0" w:line="276" w:lineRule="auto"/>
    </w:pPr>
    <w:rPr>
      <w:rFonts w:eastAsiaTheme="minorHAnsi" w:cstheme="minorBidi"/>
    </w:rPr>
  </w:style>
  <w:style w:type="character" w:customStyle="1" w:styleId="FootnoteTextChar">
    <w:name w:val="Footnote Text Char"/>
    <w:basedOn w:val="DefaultParagraphFont"/>
    <w:link w:val="FootnoteText"/>
    <w:uiPriority w:val="99"/>
    <w:rsid w:val="007145D1"/>
    <w:rPr>
      <w:rFonts w:ascii="Calibri" w:hAnsi="Calibri"/>
      <w:sz w:val="20"/>
      <w:szCs w:val="20"/>
    </w:rPr>
  </w:style>
  <w:style w:type="character" w:styleId="FootnoteReference">
    <w:name w:val="footnote reference"/>
    <w:basedOn w:val="DefaultParagraphFont"/>
    <w:uiPriority w:val="99"/>
    <w:rsid w:val="007145D1"/>
    <w:rPr>
      <w:vertAlign w:val="superscript"/>
    </w:rPr>
  </w:style>
  <w:style w:type="paragraph" w:styleId="BodyText">
    <w:name w:val="Body Text"/>
    <w:basedOn w:val="Normal"/>
    <w:link w:val="BodyTextChar"/>
    <w:uiPriority w:val="99"/>
    <w:unhideWhenUsed/>
    <w:rsid w:val="007145D1"/>
    <w:pPr>
      <w:spacing w:before="180" w:after="0" w:line="276" w:lineRule="auto"/>
    </w:pPr>
    <w:rPr>
      <w:rFonts w:eastAsiaTheme="minorHAnsi" w:cstheme="minorBidi"/>
      <w:sz w:val="22"/>
      <w:szCs w:val="22"/>
    </w:rPr>
  </w:style>
  <w:style w:type="character" w:customStyle="1" w:styleId="BodyTextChar">
    <w:name w:val="Body Text Char"/>
    <w:basedOn w:val="DefaultParagraphFont"/>
    <w:link w:val="BodyText"/>
    <w:uiPriority w:val="99"/>
    <w:rsid w:val="007145D1"/>
    <w:rPr>
      <w:rFonts w:ascii="Calibri" w:hAnsi="Calibri"/>
    </w:rPr>
  </w:style>
  <w:style w:type="table" w:customStyle="1" w:styleId="ReportSummaryBox">
    <w:name w:val="Report_Summary_Box"/>
    <w:basedOn w:val="TableNormal"/>
    <w:uiPriority w:val="99"/>
    <w:rsid w:val="007145D1"/>
    <w:pPr>
      <w:spacing w:after="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BFBFBF" w:themeFill="background1" w:themeFillShade="BF"/>
    </w:tcPr>
  </w:style>
  <w:style w:type="paragraph" w:customStyle="1" w:styleId="NCLTableFootnote">
    <w:name w:val="NCL Table Footnote"/>
    <w:basedOn w:val="NCLBodyText"/>
    <w:next w:val="NCLBodyText"/>
    <w:link w:val="NCLTableFootnoteChar"/>
    <w:uiPriority w:val="3"/>
    <w:qFormat/>
    <w:rsid w:val="007145D1"/>
    <w:pPr>
      <w:spacing w:before="0" w:after="480"/>
      <w:contextualSpacing/>
    </w:pPr>
    <w:rPr>
      <w:sz w:val="18"/>
    </w:rPr>
  </w:style>
  <w:style w:type="character" w:customStyle="1" w:styleId="NCLTableFootnoteChar">
    <w:name w:val="NCL Table Footnote Char"/>
    <w:basedOn w:val="NCLBodyTextChar"/>
    <w:link w:val="NCLTableFootnote"/>
    <w:uiPriority w:val="3"/>
    <w:rsid w:val="007145D1"/>
    <w:rPr>
      <w:rFonts w:ascii="Calibri" w:hAnsi="Calibri" w:cs="Calibri"/>
      <w:sz w:val="18"/>
    </w:rPr>
  </w:style>
  <w:style w:type="paragraph" w:customStyle="1" w:styleId="ReportHeading6">
    <w:name w:val="Report Heading 6"/>
    <w:basedOn w:val="Heading6"/>
    <w:next w:val="NCLBodyText"/>
    <w:rsid w:val="007145D1"/>
    <w:pPr>
      <w:numPr>
        <w:numId w:val="6"/>
      </w:numPr>
      <w:spacing w:before="240" w:after="180"/>
    </w:pPr>
    <w:rPr>
      <w:rFonts w:ascii="Calibri" w:hAnsi="Calibri"/>
      <w:color w:val="1F497D" w:themeColor="text2"/>
    </w:rPr>
  </w:style>
  <w:style w:type="paragraph" w:styleId="Revision">
    <w:name w:val="Revision"/>
    <w:hidden/>
    <w:uiPriority w:val="99"/>
    <w:semiHidden/>
    <w:rsid w:val="00EE6750"/>
    <w:pPr>
      <w:spacing w:after="0" w:line="240" w:lineRule="auto"/>
    </w:pPr>
    <w:rPr>
      <w:rFonts w:ascii="Calibri" w:hAnsi="Calibri"/>
    </w:rPr>
  </w:style>
  <w:style w:type="paragraph" w:customStyle="1" w:styleId="ReportTag">
    <w:name w:val="Report Tag"/>
    <w:basedOn w:val="NCLBodyText"/>
    <w:uiPriority w:val="3"/>
    <w:rsid w:val="007145D1"/>
    <w:pPr>
      <w:spacing w:before="0"/>
      <w:jc w:val="right"/>
    </w:pPr>
    <w:rPr>
      <w:color w:val="595959" w:themeColor="text1" w:themeTint="A6"/>
      <w:sz w:val="72"/>
      <w:szCs w:val="72"/>
    </w:rPr>
  </w:style>
  <w:style w:type="paragraph" w:customStyle="1" w:styleId="ReportTitle">
    <w:name w:val="Report Title"/>
    <w:basedOn w:val="NCLBodyText"/>
    <w:uiPriority w:val="3"/>
    <w:rsid w:val="00A0078A"/>
    <w:pPr>
      <w:spacing w:before="0"/>
    </w:pPr>
    <w:rPr>
      <w:color w:val="17365D" w:themeColor="text2" w:themeShade="BF"/>
      <w:sz w:val="48"/>
      <w:szCs w:val="48"/>
    </w:rPr>
  </w:style>
  <w:style w:type="paragraph" w:customStyle="1" w:styleId="NCLTableText">
    <w:name w:val="NCL Table Text"/>
    <w:basedOn w:val="NCLBodyText"/>
    <w:uiPriority w:val="3"/>
    <w:qFormat/>
    <w:rsid w:val="007145D1"/>
    <w:pPr>
      <w:spacing w:after="60"/>
    </w:pPr>
    <w:rPr>
      <w:sz w:val="20"/>
    </w:rPr>
  </w:style>
  <w:style w:type="paragraph" w:customStyle="1" w:styleId="ReportFrontPageTitle">
    <w:name w:val="Report Front Page Title"/>
    <w:basedOn w:val="NCLBodyText"/>
    <w:uiPriority w:val="3"/>
    <w:rsid w:val="007145D1"/>
    <w:pPr>
      <w:spacing w:before="0"/>
    </w:pPr>
    <w:rPr>
      <w:color w:val="17365D" w:themeColor="text2" w:themeShade="BF"/>
      <w:sz w:val="48"/>
      <w:szCs w:val="48"/>
    </w:rPr>
  </w:style>
  <w:style w:type="paragraph" w:customStyle="1" w:styleId="ReportSummaryBoxHeading">
    <w:name w:val="Report Summary Box Heading"/>
    <w:basedOn w:val="NCLBodyText"/>
    <w:uiPriority w:val="3"/>
    <w:rsid w:val="007145D1"/>
    <w:pPr>
      <w:spacing w:after="120"/>
    </w:pPr>
    <w:rPr>
      <w:b/>
      <w:i/>
    </w:rPr>
  </w:style>
  <w:style w:type="character" w:styleId="FollowedHyperlink">
    <w:name w:val="FollowedHyperlink"/>
    <w:basedOn w:val="DefaultParagraphFont"/>
    <w:uiPriority w:val="99"/>
    <w:semiHidden/>
    <w:unhideWhenUsed/>
    <w:rsid w:val="007145D1"/>
    <w:rPr>
      <w:color w:val="800080" w:themeColor="followedHyperlink"/>
      <w:u w:val="single"/>
    </w:rPr>
  </w:style>
  <w:style w:type="numbering" w:customStyle="1" w:styleId="ListBullets">
    <w:name w:val="List Bullets"/>
    <w:uiPriority w:val="99"/>
    <w:rsid w:val="007145D1"/>
    <w:pPr>
      <w:numPr>
        <w:numId w:val="4"/>
      </w:numPr>
    </w:pPr>
  </w:style>
  <w:style w:type="numbering" w:customStyle="1" w:styleId="ListNumbers">
    <w:name w:val="List Numbers"/>
    <w:uiPriority w:val="99"/>
    <w:rsid w:val="007145D1"/>
    <w:pPr>
      <w:numPr>
        <w:numId w:val="5"/>
      </w:numPr>
    </w:pPr>
  </w:style>
  <w:style w:type="table" w:customStyle="1" w:styleId="ReportTable">
    <w:name w:val="Report_Table"/>
    <w:basedOn w:val="TableNormal"/>
    <w:uiPriority w:val="99"/>
    <w:rsid w:val="00544450"/>
    <w:pPr>
      <w:spacing w:before="60" w:after="60" w:line="240" w:lineRule="auto"/>
      <w:jc w:val="center"/>
    </w:pPr>
    <w:rPr>
      <w:rFonts w:ascii="Calibri" w:hAnsi="Calibri"/>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Theme="minorHAnsi" w:hAnsiTheme="minorHAnsi"/>
        <w:b/>
        <w:sz w:val="20"/>
      </w:rPr>
      <w:tblPr/>
      <w:trPr>
        <w:cantSplit/>
      </w:trPr>
      <w:tcPr>
        <w:shd w:val="clear" w:color="auto" w:fill="BFBFBF" w:themeFill="background1" w:themeFillShade="BF"/>
      </w:tcPr>
    </w:tblStylePr>
    <w:tblStylePr w:type="firstCol">
      <w:pPr>
        <w:jc w:val="left"/>
      </w:pPr>
      <w:rPr>
        <w:rFonts w:asciiTheme="minorHAnsi" w:hAnsiTheme="minorHAnsi"/>
        <w:sz w:val="20"/>
      </w:rPr>
    </w:tblStylePr>
  </w:style>
  <w:style w:type="character" w:styleId="PlaceholderText">
    <w:name w:val="Placeholder Text"/>
    <w:basedOn w:val="DefaultParagraphFont"/>
    <w:uiPriority w:val="99"/>
    <w:semiHidden/>
    <w:rsid w:val="00325A5B"/>
    <w:rPr>
      <w:color w:val="808080"/>
    </w:rPr>
  </w:style>
  <w:style w:type="paragraph" w:customStyle="1" w:styleId="NCLAppendix">
    <w:name w:val="NCL Appendix"/>
    <w:basedOn w:val="NCLHeading1"/>
    <w:link w:val="NCLAppendixChar"/>
    <w:qFormat/>
    <w:rsid w:val="004C79B4"/>
    <w:pPr>
      <w:numPr>
        <w:numId w:val="0"/>
      </w:numPr>
      <w:ind w:left="567" w:hanging="567"/>
    </w:pPr>
  </w:style>
  <w:style w:type="character" w:customStyle="1" w:styleId="NCLAppendixChar">
    <w:name w:val="NCL Appendix Char"/>
    <w:basedOn w:val="NCLHeading1Char"/>
    <w:link w:val="NCLAppendix"/>
    <w:rsid w:val="004C79B4"/>
    <w:rPr>
      <w:rFonts w:ascii="Calibri" w:eastAsiaTheme="majorEastAsia" w:hAnsi="Calibri" w:cstheme="majorBidi"/>
      <w:b/>
      <w:bCs/>
      <w:color w:val="365F91" w:themeColor="accent1" w:themeShade="BF"/>
      <w:sz w:val="28"/>
      <w:szCs w:val="28"/>
      <w:shd w:val="clear" w:color="auto" w:fill="548DD4" w:themeFill="text2" w:themeFillTint="99"/>
    </w:rPr>
  </w:style>
  <w:style w:type="paragraph" w:customStyle="1" w:styleId="ReportHeading1">
    <w:name w:val="Report Heading 1"/>
    <w:basedOn w:val="Heading1"/>
    <w:next w:val="Normal"/>
    <w:link w:val="ReportHeading1Char"/>
    <w:rsid w:val="008962F6"/>
    <w:pPr>
      <w:numPr>
        <w:numId w:val="0"/>
      </w:numPr>
      <w:ind w:left="851" w:hanging="851"/>
    </w:pPr>
    <w:rPr>
      <w:color w:val="17365D" w:themeColor="text2" w:themeShade="BF"/>
      <w:sz w:val="32"/>
    </w:rPr>
  </w:style>
  <w:style w:type="character" w:customStyle="1" w:styleId="ReportHeading1Char">
    <w:name w:val="Report Heading 1 Char"/>
    <w:basedOn w:val="Heading1Char"/>
    <w:link w:val="ReportHeading1"/>
    <w:rsid w:val="008962F6"/>
    <w:rPr>
      <w:rFonts w:ascii="Calibri" w:eastAsiaTheme="majorEastAsia" w:hAnsi="Calibri" w:cstheme="majorBidi"/>
      <w:b/>
      <w:bCs/>
      <w:color w:val="17365D" w:themeColor="text2" w:themeShade="BF"/>
      <w:sz w:val="32"/>
      <w:szCs w:val="28"/>
    </w:rPr>
  </w:style>
  <w:style w:type="paragraph" w:customStyle="1" w:styleId="ReportHeading2">
    <w:name w:val="Report Heading 2"/>
    <w:basedOn w:val="Heading2"/>
    <w:next w:val="Normal"/>
    <w:link w:val="ReportHeading2Char"/>
    <w:rsid w:val="008962F6"/>
    <w:pPr>
      <w:numPr>
        <w:ilvl w:val="0"/>
        <w:numId w:val="0"/>
      </w:numPr>
      <w:spacing w:before="240" w:after="180"/>
      <w:ind w:left="851" w:hanging="851"/>
      <w:jc w:val="both"/>
    </w:pPr>
    <w:rPr>
      <w:color w:val="000000" w:themeColor="text1"/>
      <w:sz w:val="28"/>
    </w:rPr>
  </w:style>
  <w:style w:type="character" w:customStyle="1" w:styleId="ReportHeading2Char">
    <w:name w:val="Report Heading 2 Char"/>
    <w:basedOn w:val="Heading2Char"/>
    <w:link w:val="ReportHeading2"/>
    <w:rsid w:val="008962F6"/>
    <w:rPr>
      <w:rFonts w:ascii="Calibri" w:eastAsiaTheme="majorEastAsia" w:hAnsi="Calibri" w:cstheme="majorBidi"/>
      <w:b/>
      <w:bCs/>
      <w:color w:val="000000" w:themeColor="text1"/>
      <w:sz w:val="28"/>
      <w:szCs w:val="26"/>
    </w:rPr>
  </w:style>
  <w:style w:type="paragraph" w:customStyle="1" w:styleId="ReportHeading4">
    <w:name w:val="Report Heading 4"/>
    <w:basedOn w:val="Heading4"/>
    <w:next w:val="Normal"/>
    <w:link w:val="ReportHeading4Char"/>
    <w:rsid w:val="008962F6"/>
    <w:pPr>
      <w:numPr>
        <w:ilvl w:val="0"/>
        <w:numId w:val="0"/>
      </w:numPr>
      <w:tabs>
        <w:tab w:val="num" w:pos="851"/>
      </w:tabs>
      <w:spacing w:before="240" w:after="180"/>
      <w:ind w:left="851" w:hanging="851"/>
    </w:pPr>
    <w:rPr>
      <w:rFonts w:ascii="Calibri" w:hAnsi="Calibri"/>
      <w:color w:val="000000" w:themeColor="text1"/>
    </w:rPr>
  </w:style>
  <w:style w:type="character" w:customStyle="1" w:styleId="ReportHeading4Char">
    <w:name w:val="Report Heading 4 Char"/>
    <w:basedOn w:val="Heading4Char"/>
    <w:link w:val="ReportHeading4"/>
    <w:rsid w:val="008962F6"/>
    <w:rPr>
      <w:rFonts w:ascii="Calibri" w:eastAsiaTheme="majorEastAsia" w:hAnsi="Calibri" w:cstheme="majorBidi"/>
      <w:b/>
      <w:bCs/>
      <w:i/>
      <w:iCs/>
      <w:color w:val="000000" w:themeColor="text1"/>
    </w:rPr>
  </w:style>
  <w:style w:type="paragraph" w:customStyle="1" w:styleId="ReportHeading5">
    <w:name w:val="Report Heading 5"/>
    <w:basedOn w:val="Heading5"/>
    <w:next w:val="Normal"/>
    <w:rsid w:val="008962F6"/>
    <w:pPr>
      <w:numPr>
        <w:ilvl w:val="0"/>
        <w:numId w:val="0"/>
      </w:numPr>
      <w:spacing w:before="240" w:after="180"/>
    </w:pPr>
    <w:rPr>
      <w:rFonts w:ascii="Calibri" w:hAnsi="Calibri"/>
      <w:b/>
      <w:color w:val="000000"/>
    </w:rPr>
  </w:style>
  <w:style w:type="paragraph" w:styleId="NormalWeb">
    <w:name w:val="Normal (Web)"/>
    <w:basedOn w:val="Normal"/>
    <w:uiPriority w:val="99"/>
    <w:semiHidden/>
    <w:unhideWhenUsed/>
    <w:rsid w:val="006274B8"/>
    <w:pPr>
      <w:spacing w:before="100" w:beforeAutospacing="1" w:after="100" w:afterAutospacing="1"/>
    </w:pPr>
    <w:rPr>
      <w:rFonts w:ascii="Times New Roman" w:eastAsiaTheme="minorEastAsia" w:hAnsi="Times New Roman"/>
      <w:sz w:val="24"/>
      <w:szCs w:val="24"/>
      <w:lang w:eastAsia="en-GB"/>
    </w:rPr>
  </w:style>
  <w:style w:type="paragraph" w:styleId="Title">
    <w:name w:val="Title"/>
    <w:basedOn w:val="Normal"/>
    <w:link w:val="TitleChar"/>
    <w:rsid w:val="00D46B50"/>
    <w:pPr>
      <w:spacing w:after="0"/>
      <w:jc w:val="center"/>
    </w:pPr>
    <w:rPr>
      <w:rFonts w:ascii="Times New Roman" w:hAnsi="Times New Roman"/>
      <w:b/>
      <w:sz w:val="24"/>
      <w:u w:val="single"/>
      <w:lang w:eastAsia="en-GB"/>
    </w:rPr>
  </w:style>
  <w:style w:type="character" w:customStyle="1" w:styleId="TitleChar">
    <w:name w:val="Title Char"/>
    <w:basedOn w:val="DefaultParagraphFont"/>
    <w:link w:val="Title"/>
    <w:rsid w:val="00D46B50"/>
    <w:rPr>
      <w:rFonts w:ascii="Times New Roman" w:eastAsia="Times New Roman" w:hAnsi="Times New Roman" w:cs="Times New Roman"/>
      <w:b/>
      <w:sz w:val="24"/>
      <w:szCs w:val="20"/>
      <w:u w:val="single"/>
      <w:lang w:eastAsia="en-GB"/>
    </w:rPr>
  </w:style>
  <w:style w:type="paragraph" w:customStyle="1" w:styleId="NormalSCG">
    <w:name w:val="Normal_SCG"/>
    <w:basedOn w:val="Normal"/>
    <w:link w:val="NormalSCGChar"/>
    <w:qFormat/>
    <w:rsid w:val="00D46B50"/>
    <w:pPr>
      <w:tabs>
        <w:tab w:val="left" w:pos="-180"/>
      </w:tabs>
      <w:spacing w:after="0"/>
      <w:ind w:left="-426" w:right="-514"/>
      <w:jc w:val="both"/>
    </w:pPr>
    <w:rPr>
      <w:rFonts w:asciiTheme="minorHAnsi" w:hAnsiTheme="minorHAnsi"/>
      <w:sz w:val="22"/>
      <w:szCs w:val="22"/>
    </w:rPr>
  </w:style>
  <w:style w:type="character" w:customStyle="1" w:styleId="NormalSCGChar">
    <w:name w:val="Normal_SCG Char"/>
    <w:basedOn w:val="DefaultParagraphFont"/>
    <w:link w:val="NormalSCG"/>
    <w:rsid w:val="00D46B50"/>
    <w:rPr>
      <w:rFonts w:eastAsia="Times New Roman" w:cs="Times New Roman"/>
    </w:rPr>
  </w:style>
  <w:style w:type="paragraph" w:customStyle="1" w:styleId="Default">
    <w:name w:val="Default"/>
    <w:rsid w:val="00226FBE"/>
    <w:pPr>
      <w:widowControl w:val="0"/>
      <w:autoSpaceDE w:val="0"/>
      <w:autoSpaceDN w:val="0"/>
      <w:adjustRightInd w:val="0"/>
      <w:spacing w:after="0" w:line="240" w:lineRule="auto"/>
    </w:pPr>
    <w:rPr>
      <w:rFonts w:ascii="Helvetica" w:eastAsiaTheme="minorEastAsia" w:hAnsi="Helvetica" w:cs="Helvetica"/>
      <w:color w:val="000000"/>
      <w:sz w:val="24"/>
      <w:szCs w:val="24"/>
      <w:lang w:eastAsia="en-GB"/>
    </w:rPr>
  </w:style>
  <w:style w:type="paragraph" w:customStyle="1" w:styleId="CM13">
    <w:name w:val="CM13"/>
    <w:basedOn w:val="Default"/>
    <w:next w:val="Default"/>
    <w:uiPriority w:val="99"/>
    <w:rsid w:val="00226FBE"/>
    <w:pPr>
      <w:spacing w:after="113"/>
    </w:pPr>
    <w:rPr>
      <w:rFonts w:cstheme="minorBidi"/>
      <w:color w:val="auto"/>
    </w:rPr>
  </w:style>
  <w:style w:type="character" w:styleId="UnresolvedMention">
    <w:name w:val="Unresolved Mention"/>
    <w:basedOn w:val="DefaultParagraphFont"/>
    <w:uiPriority w:val="99"/>
    <w:semiHidden/>
    <w:unhideWhenUsed/>
    <w:rsid w:val="00261D36"/>
    <w:rPr>
      <w:color w:val="605E5C"/>
      <w:shd w:val="clear" w:color="auto" w:fill="E1DFDD"/>
    </w:rPr>
  </w:style>
  <w:style w:type="character" w:customStyle="1" w:styleId="normaltextrun">
    <w:name w:val="normaltextrun"/>
    <w:basedOn w:val="DefaultParagraphFont"/>
    <w:rsid w:val="00130070"/>
  </w:style>
  <w:style w:type="character" w:customStyle="1" w:styleId="eop">
    <w:name w:val="eop"/>
    <w:basedOn w:val="DefaultParagraphFont"/>
    <w:rsid w:val="00130070"/>
  </w:style>
  <w:style w:type="paragraph" w:customStyle="1" w:styleId="paragraph">
    <w:name w:val="paragraph"/>
    <w:basedOn w:val="Normal"/>
    <w:rsid w:val="00E02BEF"/>
    <w:pPr>
      <w:spacing w:before="100" w:beforeAutospacing="1" w:after="100" w:afterAutospacing="1"/>
    </w:pPr>
    <w:rPr>
      <w:rFonts w:ascii="Times New Roman" w:hAnsi="Times New Roman"/>
      <w:sz w:val="24"/>
      <w:szCs w:val="24"/>
      <w:lang w:eastAsia="en-GB"/>
    </w:rPr>
  </w:style>
  <w:style w:type="character" w:customStyle="1" w:styleId="cf01">
    <w:name w:val="cf01"/>
    <w:basedOn w:val="DefaultParagraphFont"/>
    <w:rsid w:val="009D3CF9"/>
    <w:rPr>
      <w:rFonts w:ascii="Segoe UI" w:hAnsi="Segoe UI" w:cs="Segoe UI" w:hint="default"/>
      <w:sz w:val="18"/>
      <w:szCs w:val="18"/>
    </w:rPr>
  </w:style>
  <w:style w:type="paragraph" w:styleId="ListParagraph">
    <w:name w:val="List Paragraph"/>
    <w:basedOn w:val="Normal"/>
    <w:uiPriority w:val="34"/>
    <w:rsid w:val="00114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3239">
      <w:bodyDiv w:val="1"/>
      <w:marLeft w:val="0"/>
      <w:marRight w:val="0"/>
      <w:marTop w:val="0"/>
      <w:marBottom w:val="0"/>
      <w:divBdr>
        <w:top w:val="none" w:sz="0" w:space="0" w:color="auto"/>
        <w:left w:val="none" w:sz="0" w:space="0" w:color="auto"/>
        <w:bottom w:val="none" w:sz="0" w:space="0" w:color="auto"/>
        <w:right w:val="none" w:sz="0" w:space="0" w:color="auto"/>
      </w:divBdr>
    </w:div>
    <w:div w:id="294257386">
      <w:bodyDiv w:val="1"/>
      <w:marLeft w:val="0"/>
      <w:marRight w:val="0"/>
      <w:marTop w:val="0"/>
      <w:marBottom w:val="0"/>
      <w:divBdr>
        <w:top w:val="none" w:sz="0" w:space="0" w:color="auto"/>
        <w:left w:val="none" w:sz="0" w:space="0" w:color="auto"/>
        <w:bottom w:val="none" w:sz="0" w:space="0" w:color="auto"/>
        <w:right w:val="none" w:sz="0" w:space="0" w:color="auto"/>
      </w:divBdr>
    </w:div>
    <w:div w:id="361132374">
      <w:bodyDiv w:val="1"/>
      <w:marLeft w:val="0"/>
      <w:marRight w:val="0"/>
      <w:marTop w:val="0"/>
      <w:marBottom w:val="0"/>
      <w:divBdr>
        <w:top w:val="none" w:sz="0" w:space="0" w:color="auto"/>
        <w:left w:val="none" w:sz="0" w:space="0" w:color="auto"/>
        <w:bottom w:val="none" w:sz="0" w:space="0" w:color="auto"/>
        <w:right w:val="none" w:sz="0" w:space="0" w:color="auto"/>
      </w:divBdr>
    </w:div>
    <w:div w:id="416095317">
      <w:bodyDiv w:val="1"/>
      <w:marLeft w:val="0"/>
      <w:marRight w:val="0"/>
      <w:marTop w:val="0"/>
      <w:marBottom w:val="0"/>
      <w:divBdr>
        <w:top w:val="none" w:sz="0" w:space="0" w:color="auto"/>
        <w:left w:val="none" w:sz="0" w:space="0" w:color="auto"/>
        <w:bottom w:val="none" w:sz="0" w:space="0" w:color="auto"/>
        <w:right w:val="none" w:sz="0" w:space="0" w:color="auto"/>
      </w:divBdr>
    </w:div>
    <w:div w:id="475149037">
      <w:bodyDiv w:val="1"/>
      <w:marLeft w:val="0"/>
      <w:marRight w:val="0"/>
      <w:marTop w:val="0"/>
      <w:marBottom w:val="0"/>
      <w:divBdr>
        <w:top w:val="none" w:sz="0" w:space="0" w:color="auto"/>
        <w:left w:val="none" w:sz="0" w:space="0" w:color="auto"/>
        <w:bottom w:val="none" w:sz="0" w:space="0" w:color="auto"/>
        <w:right w:val="none" w:sz="0" w:space="0" w:color="auto"/>
      </w:divBdr>
    </w:div>
    <w:div w:id="504781967">
      <w:bodyDiv w:val="1"/>
      <w:marLeft w:val="0"/>
      <w:marRight w:val="0"/>
      <w:marTop w:val="0"/>
      <w:marBottom w:val="0"/>
      <w:divBdr>
        <w:top w:val="none" w:sz="0" w:space="0" w:color="auto"/>
        <w:left w:val="none" w:sz="0" w:space="0" w:color="auto"/>
        <w:bottom w:val="none" w:sz="0" w:space="0" w:color="auto"/>
        <w:right w:val="none" w:sz="0" w:space="0" w:color="auto"/>
      </w:divBdr>
    </w:div>
    <w:div w:id="517237362">
      <w:bodyDiv w:val="1"/>
      <w:marLeft w:val="0"/>
      <w:marRight w:val="0"/>
      <w:marTop w:val="0"/>
      <w:marBottom w:val="0"/>
      <w:divBdr>
        <w:top w:val="none" w:sz="0" w:space="0" w:color="auto"/>
        <w:left w:val="none" w:sz="0" w:space="0" w:color="auto"/>
        <w:bottom w:val="none" w:sz="0" w:space="0" w:color="auto"/>
        <w:right w:val="none" w:sz="0" w:space="0" w:color="auto"/>
      </w:divBdr>
    </w:div>
    <w:div w:id="534195765">
      <w:bodyDiv w:val="1"/>
      <w:marLeft w:val="0"/>
      <w:marRight w:val="0"/>
      <w:marTop w:val="0"/>
      <w:marBottom w:val="0"/>
      <w:divBdr>
        <w:top w:val="none" w:sz="0" w:space="0" w:color="auto"/>
        <w:left w:val="none" w:sz="0" w:space="0" w:color="auto"/>
        <w:bottom w:val="none" w:sz="0" w:space="0" w:color="auto"/>
        <w:right w:val="none" w:sz="0" w:space="0" w:color="auto"/>
      </w:divBdr>
    </w:div>
    <w:div w:id="545917797">
      <w:bodyDiv w:val="1"/>
      <w:marLeft w:val="0"/>
      <w:marRight w:val="0"/>
      <w:marTop w:val="0"/>
      <w:marBottom w:val="0"/>
      <w:divBdr>
        <w:top w:val="none" w:sz="0" w:space="0" w:color="auto"/>
        <w:left w:val="none" w:sz="0" w:space="0" w:color="auto"/>
        <w:bottom w:val="none" w:sz="0" w:space="0" w:color="auto"/>
        <w:right w:val="none" w:sz="0" w:space="0" w:color="auto"/>
      </w:divBdr>
    </w:div>
    <w:div w:id="823472431">
      <w:bodyDiv w:val="1"/>
      <w:marLeft w:val="0"/>
      <w:marRight w:val="0"/>
      <w:marTop w:val="0"/>
      <w:marBottom w:val="0"/>
      <w:divBdr>
        <w:top w:val="none" w:sz="0" w:space="0" w:color="auto"/>
        <w:left w:val="none" w:sz="0" w:space="0" w:color="auto"/>
        <w:bottom w:val="none" w:sz="0" w:space="0" w:color="auto"/>
        <w:right w:val="none" w:sz="0" w:space="0" w:color="auto"/>
      </w:divBdr>
    </w:div>
    <w:div w:id="848566913">
      <w:bodyDiv w:val="1"/>
      <w:marLeft w:val="0"/>
      <w:marRight w:val="0"/>
      <w:marTop w:val="0"/>
      <w:marBottom w:val="0"/>
      <w:divBdr>
        <w:top w:val="none" w:sz="0" w:space="0" w:color="auto"/>
        <w:left w:val="none" w:sz="0" w:space="0" w:color="auto"/>
        <w:bottom w:val="none" w:sz="0" w:space="0" w:color="auto"/>
        <w:right w:val="none" w:sz="0" w:space="0" w:color="auto"/>
      </w:divBdr>
    </w:div>
    <w:div w:id="894050586">
      <w:bodyDiv w:val="1"/>
      <w:marLeft w:val="0"/>
      <w:marRight w:val="0"/>
      <w:marTop w:val="0"/>
      <w:marBottom w:val="0"/>
      <w:divBdr>
        <w:top w:val="none" w:sz="0" w:space="0" w:color="auto"/>
        <w:left w:val="none" w:sz="0" w:space="0" w:color="auto"/>
        <w:bottom w:val="none" w:sz="0" w:space="0" w:color="auto"/>
        <w:right w:val="none" w:sz="0" w:space="0" w:color="auto"/>
      </w:divBdr>
    </w:div>
    <w:div w:id="944656103">
      <w:bodyDiv w:val="1"/>
      <w:marLeft w:val="0"/>
      <w:marRight w:val="0"/>
      <w:marTop w:val="0"/>
      <w:marBottom w:val="0"/>
      <w:divBdr>
        <w:top w:val="none" w:sz="0" w:space="0" w:color="auto"/>
        <w:left w:val="none" w:sz="0" w:space="0" w:color="auto"/>
        <w:bottom w:val="none" w:sz="0" w:space="0" w:color="auto"/>
        <w:right w:val="none" w:sz="0" w:space="0" w:color="auto"/>
      </w:divBdr>
    </w:div>
    <w:div w:id="953095197">
      <w:bodyDiv w:val="1"/>
      <w:marLeft w:val="0"/>
      <w:marRight w:val="0"/>
      <w:marTop w:val="0"/>
      <w:marBottom w:val="0"/>
      <w:divBdr>
        <w:top w:val="none" w:sz="0" w:space="0" w:color="auto"/>
        <w:left w:val="none" w:sz="0" w:space="0" w:color="auto"/>
        <w:bottom w:val="none" w:sz="0" w:space="0" w:color="auto"/>
        <w:right w:val="none" w:sz="0" w:space="0" w:color="auto"/>
      </w:divBdr>
    </w:div>
    <w:div w:id="1059086281">
      <w:bodyDiv w:val="1"/>
      <w:marLeft w:val="0"/>
      <w:marRight w:val="0"/>
      <w:marTop w:val="0"/>
      <w:marBottom w:val="0"/>
      <w:divBdr>
        <w:top w:val="none" w:sz="0" w:space="0" w:color="auto"/>
        <w:left w:val="none" w:sz="0" w:space="0" w:color="auto"/>
        <w:bottom w:val="none" w:sz="0" w:space="0" w:color="auto"/>
        <w:right w:val="none" w:sz="0" w:space="0" w:color="auto"/>
      </w:divBdr>
    </w:div>
    <w:div w:id="1101611634">
      <w:bodyDiv w:val="1"/>
      <w:marLeft w:val="0"/>
      <w:marRight w:val="0"/>
      <w:marTop w:val="0"/>
      <w:marBottom w:val="0"/>
      <w:divBdr>
        <w:top w:val="none" w:sz="0" w:space="0" w:color="auto"/>
        <w:left w:val="none" w:sz="0" w:space="0" w:color="auto"/>
        <w:bottom w:val="none" w:sz="0" w:space="0" w:color="auto"/>
        <w:right w:val="none" w:sz="0" w:space="0" w:color="auto"/>
      </w:divBdr>
    </w:div>
    <w:div w:id="1150748999">
      <w:bodyDiv w:val="1"/>
      <w:marLeft w:val="0"/>
      <w:marRight w:val="0"/>
      <w:marTop w:val="0"/>
      <w:marBottom w:val="0"/>
      <w:divBdr>
        <w:top w:val="none" w:sz="0" w:space="0" w:color="auto"/>
        <w:left w:val="none" w:sz="0" w:space="0" w:color="auto"/>
        <w:bottom w:val="none" w:sz="0" w:space="0" w:color="auto"/>
        <w:right w:val="none" w:sz="0" w:space="0" w:color="auto"/>
      </w:divBdr>
    </w:div>
    <w:div w:id="1360282773">
      <w:bodyDiv w:val="1"/>
      <w:marLeft w:val="0"/>
      <w:marRight w:val="0"/>
      <w:marTop w:val="0"/>
      <w:marBottom w:val="0"/>
      <w:divBdr>
        <w:top w:val="none" w:sz="0" w:space="0" w:color="auto"/>
        <w:left w:val="none" w:sz="0" w:space="0" w:color="auto"/>
        <w:bottom w:val="none" w:sz="0" w:space="0" w:color="auto"/>
        <w:right w:val="none" w:sz="0" w:space="0" w:color="auto"/>
      </w:divBdr>
    </w:div>
    <w:div w:id="1384794497">
      <w:bodyDiv w:val="1"/>
      <w:marLeft w:val="0"/>
      <w:marRight w:val="0"/>
      <w:marTop w:val="0"/>
      <w:marBottom w:val="0"/>
      <w:divBdr>
        <w:top w:val="none" w:sz="0" w:space="0" w:color="auto"/>
        <w:left w:val="none" w:sz="0" w:space="0" w:color="auto"/>
        <w:bottom w:val="none" w:sz="0" w:space="0" w:color="auto"/>
        <w:right w:val="none" w:sz="0" w:space="0" w:color="auto"/>
      </w:divBdr>
      <w:divsChild>
        <w:div w:id="513226782">
          <w:marLeft w:val="0"/>
          <w:marRight w:val="0"/>
          <w:marTop w:val="0"/>
          <w:marBottom w:val="0"/>
          <w:divBdr>
            <w:top w:val="none" w:sz="0" w:space="0" w:color="auto"/>
            <w:left w:val="none" w:sz="0" w:space="0" w:color="auto"/>
            <w:bottom w:val="none" w:sz="0" w:space="0" w:color="auto"/>
            <w:right w:val="none" w:sz="0" w:space="0" w:color="auto"/>
          </w:divBdr>
        </w:div>
        <w:div w:id="2091805195">
          <w:marLeft w:val="0"/>
          <w:marRight w:val="0"/>
          <w:marTop w:val="0"/>
          <w:marBottom w:val="0"/>
          <w:divBdr>
            <w:top w:val="none" w:sz="0" w:space="0" w:color="auto"/>
            <w:left w:val="none" w:sz="0" w:space="0" w:color="auto"/>
            <w:bottom w:val="none" w:sz="0" w:space="0" w:color="auto"/>
            <w:right w:val="none" w:sz="0" w:space="0" w:color="auto"/>
          </w:divBdr>
        </w:div>
      </w:divsChild>
    </w:div>
    <w:div w:id="1420444671">
      <w:bodyDiv w:val="1"/>
      <w:marLeft w:val="0"/>
      <w:marRight w:val="0"/>
      <w:marTop w:val="0"/>
      <w:marBottom w:val="0"/>
      <w:divBdr>
        <w:top w:val="none" w:sz="0" w:space="0" w:color="auto"/>
        <w:left w:val="none" w:sz="0" w:space="0" w:color="auto"/>
        <w:bottom w:val="none" w:sz="0" w:space="0" w:color="auto"/>
        <w:right w:val="none" w:sz="0" w:space="0" w:color="auto"/>
      </w:divBdr>
    </w:div>
    <w:div w:id="1508012618">
      <w:bodyDiv w:val="1"/>
      <w:marLeft w:val="0"/>
      <w:marRight w:val="0"/>
      <w:marTop w:val="0"/>
      <w:marBottom w:val="0"/>
      <w:divBdr>
        <w:top w:val="none" w:sz="0" w:space="0" w:color="auto"/>
        <w:left w:val="none" w:sz="0" w:space="0" w:color="auto"/>
        <w:bottom w:val="none" w:sz="0" w:space="0" w:color="auto"/>
        <w:right w:val="none" w:sz="0" w:space="0" w:color="auto"/>
      </w:divBdr>
    </w:div>
    <w:div w:id="1560705309">
      <w:bodyDiv w:val="1"/>
      <w:marLeft w:val="0"/>
      <w:marRight w:val="0"/>
      <w:marTop w:val="0"/>
      <w:marBottom w:val="0"/>
      <w:divBdr>
        <w:top w:val="none" w:sz="0" w:space="0" w:color="auto"/>
        <w:left w:val="none" w:sz="0" w:space="0" w:color="auto"/>
        <w:bottom w:val="none" w:sz="0" w:space="0" w:color="auto"/>
        <w:right w:val="none" w:sz="0" w:space="0" w:color="auto"/>
      </w:divBdr>
    </w:div>
    <w:div w:id="1664046497">
      <w:bodyDiv w:val="1"/>
      <w:marLeft w:val="0"/>
      <w:marRight w:val="0"/>
      <w:marTop w:val="0"/>
      <w:marBottom w:val="0"/>
      <w:divBdr>
        <w:top w:val="none" w:sz="0" w:space="0" w:color="auto"/>
        <w:left w:val="none" w:sz="0" w:space="0" w:color="auto"/>
        <w:bottom w:val="none" w:sz="0" w:space="0" w:color="auto"/>
        <w:right w:val="none" w:sz="0" w:space="0" w:color="auto"/>
      </w:divBdr>
    </w:div>
    <w:div w:id="1735278165">
      <w:bodyDiv w:val="1"/>
      <w:marLeft w:val="0"/>
      <w:marRight w:val="0"/>
      <w:marTop w:val="0"/>
      <w:marBottom w:val="0"/>
      <w:divBdr>
        <w:top w:val="none" w:sz="0" w:space="0" w:color="auto"/>
        <w:left w:val="none" w:sz="0" w:space="0" w:color="auto"/>
        <w:bottom w:val="none" w:sz="0" w:space="0" w:color="auto"/>
        <w:right w:val="none" w:sz="0" w:space="0" w:color="auto"/>
      </w:divBdr>
    </w:div>
    <w:div w:id="1750689251">
      <w:bodyDiv w:val="1"/>
      <w:marLeft w:val="0"/>
      <w:marRight w:val="0"/>
      <w:marTop w:val="0"/>
      <w:marBottom w:val="0"/>
      <w:divBdr>
        <w:top w:val="none" w:sz="0" w:space="0" w:color="auto"/>
        <w:left w:val="none" w:sz="0" w:space="0" w:color="auto"/>
        <w:bottom w:val="none" w:sz="0" w:space="0" w:color="auto"/>
        <w:right w:val="none" w:sz="0" w:space="0" w:color="auto"/>
      </w:divBdr>
    </w:div>
    <w:div w:id="1823812549">
      <w:bodyDiv w:val="1"/>
      <w:marLeft w:val="0"/>
      <w:marRight w:val="0"/>
      <w:marTop w:val="0"/>
      <w:marBottom w:val="0"/>
      <w:divBdr>
        <w:top w:val="none" w:sz="0" w:space="0" w:color="auto"/>
        <w:left w:val="none" w:sz="0" w:space="0" w:color="auto"/>
        <w:bottom w:val="none" w:sz="0" w:space="0" w:color="auto"/>
        <w:right w:val="none" w:sz="0" w:space="0" w:color="auto"/>
      </w:divBdr>
    </w:div>
    <w:div w:id="1839533830">
      <w:bodyDiv w:val="1"/>
      <w:marLeft w:val="0"/>
      <w:marRight w:val="0"/>
      <w:marTop w:val="0"/>
      <w:marBottom w:val="0"/>
      <w:divBdr>
        <w:top w:val="none" w:sz="0" w:space="0" w:color="auto"/>
        <w:left w:val="none" w:sz="0" w:space="0" w:color="auto"/>
        <w:bottom w:val="none" w:sz="0" w:space="0" w:color="auto"/>
        <w:right w:val="none" w:sz="0" w:space="0" w:color="auto"/>
      </w:divBdr>
    </w:div>
    <w:div w:id="19448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TA623" TargetMode="External"/><Relationship Id="rId18" Type="http://schemas.openxmlformats.org/officeDocument/2006/relationships/hyperlink" Target="https://www.nice.org.uk/guidance/ta599" TargetMode="External"/><Relationship Id="rId26" Type="http://schemas.openxmlformats.org/officeDocument/2006/relationships/hyperlink" Target="https://bnf.nice.org.uk/drugs/sodium-zirconium-cyclosilicate/" TargetMode="External"/><Relationship Id="rId3" Type="http://schemas.openxmlformats.org/officeDocument/2006/relationships/customXml" Target="../customXml/item3.xml"/><Relationship Id="rId21" Type="http://schemas.openxmlformats.org/officeDocument/2006/relationships/hyperlink" Target="https://www.medicines.org.uk/emc/product/779/smpc"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ice.org.uk/guidance/ta599" TargetMode="External"/><Relationship Id="rId17" Type="http://schemas.openxmlformats.org/officeDocument/2006/relationships/hyperlink" Target="https://bnf.nice.org.uk/drugs/patiromer-calcium/" TargetMode="External"/><Relationship Id="rId25" Type="http://schemas.openxmlformats.org/officeDocument/2006/relationships/hyperlink" Target="https://www.nice.org.uk/guidance/ta599/" TargetMode="External"/><Relationship Id="rId33" Type="http://schemas.openxmlformats.org/officeDocument/2006/relationships/hyperlink" Target="http://www.nclhealthandcare.org.uk" TargetMode="External"/><Relationship Id="rId2" Type="http://schemas.openxmlformats.org/officeDocument/2006/relationships/customXml" Target="../customXml/item2.xml"/><Relationship Id="rId16" Type="http://schemas.openxmlformats.org/officeDocument/2006/relationships/hyperlink" Target="https://bnf.nice.org.uk/drugs/sodium-zirconium-cyclosilicate/" TargetMode="External"/><Relationship Id="rId20" Type="http://schemas.openxmlformats.org/officeDocument/2006/relationships/hyperlink" Target="https://www.medicines.org.uk/emc/product/10074/smpc" TargetMode="External"/><Relationship Id="rId29" Type="http://schemas.openxmlformats.org/officeDocument/2006/relationships/hyperlink" Target="https://www.ncbi.nlm.nih.gov/pmc/articles/PMC49766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ice.org.uk/guidance/ta623" TargetMode="External"/><Relationship Id="rId32" Type="http://schemas.openxmlformats.org/officeDocument/2006/relationships/hyperlink" Target="https://nclhealthandcare.org.uk/16_contactdetails_MIH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dicines.org.uk/emc/product/779/smpc" TargetMode="External"/><Relationship Id="rId23" Type="http://schemas.openxmlformats.org/officeDocument/2006/relationships/hyperlink" Target="https://www.medicines.org.uk/emc/product/779/smpc" TargetMode="External"/><Relationship Id="rId28" Type="http://schemas.openxmlformats.org/officeDocument/2006/relationships/hyperlink" Target="https://www.ncbi.nlm.nih.gov/pmc/articles/PMC633395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ice.org.uk/guidance/TA623" TargetMode="External"/><Relationship Id="rId31" Type="http://schemas.openxmlformats.org/officeDocument/2006/relationships/hyperlink" Target="https://www.medicines.org.uk/emc/product/779/smp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ines.org.uk/emc/product/10074/smpc" TargetMode="External"/><Relationship Id="rId22" Type="http://schemas.openxmlformats.org/officeDocument/2006/relationships/hyperlink" Target="https://bnf.nice.org.uk/drugs/patiromer-calcium/" TargetMode="External"/><Relationship Id="rId27" Type="http://schemas.openxmlformats.org/officeDocument/2006/relationships/hyperlink" Target="https://bnf.nice.org.uk/drugs/patiromer-calcium/" TargetMode="External"/><Relationship Id="rId30" Type="http://schemas.openxmlformats.org/officeDocument/2006/relationships/hyperlink" Target="https://www.medicines.org.uk/emc/product/10074/smpc"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ps\Desktop\NHS\(ClinS)%20Pharmacy%20Department%20-%20MEP%20and%20JFC%20-%20MEP\JFC\Templates\NCL%20JFC%20Shared%20Care%20Guideline%20Template_v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904F1CA799A4EB2B8E1B37AAB5F88" ma:contentTypeVersion="15" ma:contentTypeDescription="Create a new document." ma:contentTypeScope="" ma:versionID="68b24d3637d6a5c659dc80ae5480cbd5">
  <xsd:schema xmlns:xsd="http://www.w3.org/2001/XMLSchema" xmlns:xs="http://www.w3.org/2001/XMLSchema" xmlns:p="http://schemas.microsoft.com/office/2006/metadata/properties" xmlns:ns1="http://schemas.microsoft.com/sharepoint/v3" xmlns:ns2="de37781b-99aa-4df2-92c5-14938be939e3" xmlns:ns3="c3ed8bc8-98dc-4f3f-bb05-b9d1322e6f3e" targetNamespace="http://schemas.microsoft.com/office/2006/metadata/properties" ma:root="true" ma:fieldsID="5e76c79c60318825641f1c9026d75667" ns1:_="" ns2:_="" ns3:_="">
    <xsd:import namespace="http://schemas.microsoft.com/sharepoint/v3"/>
    <xsd:import namespace="de37781b-99aa-4df2-92c5-14938be939e3"/>
    <xsd:import namespace="c3ed8bc8-98dc-4f3f-bb05-b9d1322e6f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7781b-99aa-4df2-92c5-14938be9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ed8bc8-98dc-4f3f-bb05-b9d1322e6f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e37781b-99aa-4df2-92c5-14938be939e3" xsi:nil="true"/>
    <_ip_UnifiedCompliancePolicyUIAction xmlns="http://schemas.microsoft.com/sharepoint/v3" xsi:nil="true"/>
    <_ip_UnifiedCompliancePolicyProperties xmlns="http://schemas.microsoft.com/sharepoint/v3" xsi:nil="true"/>
    <lcf76f155ced4ddcb4097134ff3c332f xmlns="de37781b-99aa-4df2-92c5-14938be939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DC5E-5589-4686-AB97-9715B6AAA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37781b-99aa-4df2-92c5-14938be939e3"/>
    <ds:schemaRef ds:uri="c3ed8bc8-98dc-4f3f-bb05-b9d1322e6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66A7F-9802-4292-8511-A855721FCF69}">
  <ds:schemaRefs>
    <ds:schemaRef ds:uri="http://schemas.microsoft.com/office/2006/metadata/properties"/>
    <ds:schemaRef ds:uri="http://schemas.microsoft.com/office/infopath/2007/PartnerControls"/>
    <ds:schemaRef ds:uri="de37781b-99aa-4df2-92c5-14938be939e3"/>
    <ds:schemaRef ds:uri="http://schemas.microsoft.com/sharepoint/v3"/>
  </ds:schemaRefs>
</ds:datastoreItem>
</file>

<file path=customXml/itemProps3.xml><?xml version="1.0" encoding="utf-8"?>
<ds:datastoreItem xmlns:ds="http://schemas.openxmlformats.org/officeDocument/2006/customXml" ds:itemID="{D15B1435-A961-454F-B70B-43F3DE329929}">
  <ds:schemaRefs>
    <ds:schemaRef ds:uri="http://schemas.microsoft.com/sharepoint/v3/contenttype/forms"/>
  </ds:schemaRefs>
</ds:datastoreItem>
</file>

<file path=customXml/itemProps4.xml><?xml version="1.0" encoding="utf-8"?>
<ds:datastoreItem xmlns:ds="http://schemas.openxmlformats.org/officeDocument/2006/customXml" ds:itemID="{BF4EC081-B7DC-4877-9A63-B50D699DA27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NCL JFC Shared Care Guideline Template_v4.1.dotx</Template>
  <TotalTime>2</TotalTime>
  <Pages>9</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&lt;&lt;Add Title. Not more than 4 lines. Drop font size as necessary to fit in box&gt;&gt;</vt:lpstr>
    </vt:vector>
  </TitlesOfParts>
  <Company>Abacus International</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&lt;&lt;Add Title. Not more than 4 lines. Drop font size as necessary to fit in box&gt;&gt;</dc:title>
  <dc:subject>….</dc:subject>
  <dc:creator>Gurps</dc:creator>
  <cp:keywords/>
  <cp:lastModifiedBy>NCL-MON, Admin (UNIVERSITY COLLEGE LONDON HOSPITALS NHS FOUNDATION TRUST)</cp:lastModifiedBy>
  <cp:revision>7</cp:revision>
  <cp:lastPrinted>2024-10-16T14:45:00Z</cp:lastPrinted>
  <dcterms:created xsi:type="dcterms:W3CDTF">2024-09-30T14:05:00Z</dcterms:created>
  <dcterms:modified xsi:type="dcterms:W3CDTF">2024-10-16T14:59:00Z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0x0101002D0904F1CA799A4EB2B8E1B37AAB5F88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