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91238" w14:textId="2D1B02F0" w:rsidR="0033552D" w:rsidRDefault="0B1369FD" w:rsidP="00AD78BC">
      <w:pPr>
        <w:pStyle w:val="NCLBodyText"/>
        <w:spacing w:before="0"/>
        <w:jc w:val="right"/>
      </w:pPr>
      <w:r>
        <w:t>\</w:t>
      </w:r>
      <w:r w:rsidR="00A66BEB">
        <w:rPr>
          <w:noProof/>
        </w:rPr>
        <w:drawing>
          <wp:inline distT="0" distB="0" distL="0" distR="0" wp14:anchorId="63564FBB" wp14:editId="02DF5185">
            <wp:extent cx="889200" cy="360000"/>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9200" cy="360000"/>
                    </a:xfrm>
                    <a:prstGeom prst="rect">
                      <a:avLst/>
                    </a:prstGeom>
                  </pic:spPr>
                </pic:pic>
              </a:graphicData>
            </a:graphic>
          </wp:inline>
        </w:drawing>
      </w:r>
    </w:p>
    <w:p w14:paraId="426CAD95" w14:textId="77777777" w:rsidR="00FB29AA" w:rsidRDefault="00FB29AA" w:rsidP="00AD78BC">
      <w:pPr>
        <w:pStyle w:val="NCLBodyText"/>
        <w:spacing w:before="0"/>
        <w:jc w:val="right"/>
      </w:pPr>
    </w:p>
    <w:p w14:paraId="5E4C12A8" w14:textId="77777777" w:rsidR="0074256D" w:rsidRDefault="0074256D" w:rsidP="00AD78BC">
      <w:pPr>
        <w:pStyle w:val="NCLBodyText"/>
        <w:spacing w:before="0"/>
        <w:jc w:val="right"/>
      </w:pPr>
    </w:p>
    <w:p w14:paraId="2774AC98" w14:textId="77777777" w:rsidR="008A5E15" w:rsidRPr="001D3047" w:rsidRDefault="00A3435B" w:rsidP="00AD78BC">
      <w:pPr>
        <w:pStyle w:val="NCLBodyText"/>
        <w:spacing w:before="0"/>
        <w:jc w:val="right"/>
        <w:rPr>
          <w:rFonts w:ascii="Arial" w:hAnsi="Arial" w:cs="Arial"/>
          <w:b/>
          <w:color w:val="0072C6"/>
          <w:sz w:val="24"/>
        </w:rPr>
      </w:pPr>
      <w:r w:rsidRPr="001D3047">
        <w:rPr>
          <w:rFonts w:ascii="Arial" w:hAnsi="Arial" w:cs="Arial"/>
          <w:b/>
          <w:color w:val="0072C6"/>
          <w:sz w:val="24"/>
        </w:rPr>
        <w:t>N</w:t>
      </w:r>
      <w:r w:rsidR="00CF04B0" w:rsidRPr="001D3047">
        <w:rPr>
          <w:rFonts w:ascii="Arial" w:hAnsi="Arial" w:cs="Arial"/>
          <w:b/>
          <w:color w:val="0072C6"/>
          <w:sz w:val="24"/>
        </w:rPr>
        <w:t>orth Central London</w:t>
      </w:r>
    </w:p>
    <w:p w14:paraId="420E1CD5" w14:textId="77777777" w:rsidR="008A5E15" w:rsidRDefault="00CF04B0" w:rsidP="00AD78BC">
      <w:pPr>
        <w:pStyle w:val="NCLBodyText"/>
        <w:spacing w:before="0"/>
        <w:jc w:val="right"/>
        <w:rPr>
          <w:rFonts w:ascii="Arial" w:hAnsi="Arial" w:cs="Arial"/>
          <w:b/>
          <w:color w:val="0072C6"/>
          <w:sz w:val="24"/>
        </w:rPr>
      </w:pPr>
      <w:r w:rsidRPr="001D3047">
        <w:rPr>
          <w:rFonts w:ascii="Arial" w:hAnsi="Arial" w:cs="Arial"/>
          <w:b/>
          <w:color w:val="0072C6"/>
          <w:sz w:val="24"/>
        </w:rPr>
        <w:t>Joint Formulary Committee</w:t>
      </w:r>
    </w:p>
    <w:tbl>
      <w:tblPr>
        <w:tblpPr w:leftFromText="180" w:rightFromText="180" w:vertAnchor="text" w:horzAnchor="margin" w:tblpY="313"/>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548DD4" w:themeFill="text2" w:themeFillTint="99"/>
        <w:tblLook w:val="0000" w:firstRow="0" w:lastRow="0" w:firstColumn="0" w:lastColumn="0" w:noHBand="0" w:noVBand="0"/>
      </w:tblPr>
      <w:tblGrid>
        <w:gridCol w:w="9302"/>
      </w:tblGrid>
      <w:tr w:rsidR="00130070" w14:paraId="792E83DA" w14:textId="77777777" w:rsidTr="00130070">
        <w:tc>
          <w:tcPr>
            <w:tcW w:w="9302" w:type="dxa"/>
            <w:tcBorders>
              <w:top w:val="single" w:sz="12" w:space="0" w:color="C0C0C0"/>
              <w:left w:val="single" w:sz="12" w:space="0" w:color="C0C0C0"/>
              <w:bottom w:val="single" w:sz="12" w:space="0" w:color="C0C0C0"/>
              <w:right w:val="single" w:sz="12" w:space="0" w:color="C0C0C0"/>
            </w:tcBorders>
            <w:shd w:val="clear" w:color="auto" w:fill="548DD4" w:themeFill="text2" w:themeFillTint="99"/>
            <w:tcMar>
              <w:top w:w="57" w:type="dxa"/>
              <w:left w:w="57" w:type="dxa"/>
              <w:bottom w:w="57" w:type="dxa"/>
              <w:right w:w="57" w:type="dxa"/>
            </w:tcMar>
            <w:vAlign w:val="center"/>
          </w:tcPr>
          <w:p w14:paraId="46FECC32" w14:textId="77777777" w:rsidR="00130070" w:rsidRPr="00D46B50" w:rsidRDefault="00130070" w:rsidP="00130070">
            <w:pPr>
              <w:spacing w:after="0"/>
              <w:jc w:val="center"/>
              <w:rPr>
                <w:rFonts w:cs="Arial"/>
                <w:b/>
                <w:color w:val="FFFFFF" w:themeColor="background1"/>
                <w:spacing w:val="30"/>
                <w:sz w:val="36"/>
                <w:szCs w:val="22"/>
              </w:rPr>
            </w:pPr>
            <w:r w:rsidRPr="438C350F">
              <w:rPr>
                <w:rFonts w:cs="Arial"/>
                <w:b/>
                <w:bCs/>
                <w:color w:val="FFFFFF" w:themeColor="background1"/>
                <w:spacing w:val="30"/>
                <w:sz w:val="36"/>
                <w:szCs w:val="36"/>
              </w:rPr>
              <w:t>Shared Care Guideline</w:t>
            </w:r>
          </w:p>
          <w:p w14:paraId="37EC80E4" w14:textId="1C7E422F" w:rsidR="00130070" w:rsidRDefault="00020FB5" w:rsidP="00130070">
            <w:pPr>
              <w:spacing w:after="0"/>
              <w:jc w:val="center"/>
            </w:pPr>
            <w:r>
              <w:rPr>
                <w:rFonts w:cs="Arial"/>
                <w:b/>
                <w:bCs/>
                <w:color w:val="FFFFFF" w:themeColor="background1"/>
                <w:sz w:val="36"/>
                <w:szCs w:val="36"/>
              </w:rPr>
              <w:t>Cinacalcet</w:t>
            </w:r>
          </w:p>
          <w:p w14:paraId="071985CB" w14:textId="32BDC06B" w:rsidR="00130070" w:rsidRPr="004C79B4" w:rsidRDefault="00130070" w:rsidP="00130070">
            <w:pPr>
              <w:spacing w:after="0"/>
              <w:jc w:val="center"/>
              <w:rPr>
                <w:rFonts w:cs="Arial"/>
                <w:b/>
                <w:color w:val="333333"/>
                <w:spacing w:val="30"/>
                <w:sz w:val="36"/>
                <w:szCs w:val="22"/>
              </w:rPr>
            </w:pPr>
            <w:r w:rsidRPr="00D46B50">
              <w:rPr>
                <w:rFonts w:cs="Arial"/>
                <w:b/>
                <w:color w:val="FFFFFF" w:themeColor="background1"/>
                <w:spacing w:val="30"/>
                <w:sz w:val="36"/>
                <w:szCs w:val="22"/>
              </w:rPr>
              <w:t>T</w:t>
            </w:r>
            <w:r>
              <w:rPr>
                <w:rFonts w:cs="Arial"/>
                <w:b/>
                <w:color w:val="FFFFFF" w:themeColor="background1"/>
                <w:spacing w:val="30"/>
                <w:sz w:val="36"/>
                <w:szCs w:val="22"/>
              </w:rPr>
              <w:t xml:space="preserve">reatment of </w:t>
            </w:r>
            <w:r w:rsidR="00020FB5">
              <w:rPr>
                <w:rFonts w:cs="Arial"/>
                <w:b/>
                <w:color w:val="FFFFFF" w:themeColor="background1"/>
                <w:spacing w:val="30"/>
                <w:sz w:val="36"/>
                <w:szCs w:val="22"/>
              </w:rPr>
              <w:t>Primary Hyperparathyroidism</w:t>
            </w:r>
          </w:p>
        </w:tc>
      </w:tr>
    </w:tbl>
    <w:p w14:paraId="3274FA83" w14:textId="77777777" w:rsidR="00D46B50" w:rsidRPr="001D3047" w:rsidRDefault="00D46B50" w:rsidP="00AD78BC">
      <w:pPr>
        <w:pStyle w:val="NCLBodyText"/>
        <w:spacing w:before="0"/>
        <w:jc w:val="right"/>
        <w:rPr>
          <w:rFonts w:ascii="Arial" w:hAnsi="Arial" w:cs="Arial"/>
          <w:b/>
          <w:color w:val="0072C6"/>
          <w:sz w:val="24"/>
        </w:rPr>
      </w:pPr>
    </w:p>
    <w:p w14:paraId="4CBB32FB" w14:textId="77777777" w:rsidR="008A5E15" w:rsidRDefault="008A5E15" w:rsidP="008A5E15">
      <w:pPr>
        <w:pStyle w:val="Header"/>
      </w:pPr>
    </w:p>
    <w:p w14:paraId="2D6129DE" w14:textId="77777777" w:rsidR="00367357" w:rsidRPr="00130070" w:rsidRDefault="00367357" w:rsidP="00F6177F">
      <w:pPr>
        <w:pStyle w:val="NCLBodyText"/>
        <w:rPr>
          <w:sz w:val="20"/>
          <w:szCs w:val="20"/>
        </w:rPr>
      </w:pPr>
    </w:p>
    <w:p w14:paraId="03900178" w14:textId="01EFCB11" w:rsidR="00D46B50" w:rsidRPr="00130070" w:rsidRDefault="00D46B50" w:rsidP="00D46B50">
      <w:pPr>
        <w:pStyle w:val="NCLBodyText"/>
        <w:rPr>
          <w:sz w:val="20"/>
          <w:szCs w:val="20"/>
        </w:rPr>
      </w:pPr>
      <w:r w:rsidRPr="117DD635">
        <w:rPr>
          <w:sz w:val="20"/>
          <w:szCs w:val="20"/>
        </w:rPr>
        <w:t xml:space="preserve">Dear </w:t>
      </w:r>
      <w:r w:rsidR="7F96C52B" w:rsidRPr="117DD635">
        <w:rPr>
          <w:sz w:val="20"/>
          <w:szCs w:val="20"/>
        </w:rPr>
        <w:t>Primary Care Prescriber.</w:t>
      </w:r>
    </w:p>
    <w:p w14:paraId="46950793" w14:textId="1D86870C" w:rsidR="00D46B50" w:rsidRPr="00130070" w:rsidRDefault="00D46B50" w:rsidP="00D46B50">
      <w:pPr>
        <w:pStyle w:val="NCLBodyText"/>
        <w:rPr>
          <w:sz w:val="20"/>
          <w:szCs w:val="20"/>
        </w:rPr>
      </w:pPr>
      <w:r w:rsidRPr="00130070">
        <w:rPr>
          <w:sz w:val="20"/>
          <w:szCs w:val="20"/>
        </w:rPr>
        <w:t xml:space="preserve">The information in </w:t>
      </w:r>
      <w:r w:rsidR="003C22FE" w:rsidRPr="4E34C8D1">
        <w:rPr>
          <w:sz w:val="20"/>
          <w:szCs w:val="20"/>
        </w:rPr>
        <w:t>this</w:t>
      </w:r>
      <w:r w:rsidRPr="00130070">
        <w:rPr>
          <w:sz w:val="20"/>
          <w:szCs w:val="20"/>
        </w:rPr>
        <w:t xml:space="preserve"> shared care guideline has been developed in consultation with Primary Care</w:t>
      </w:r>
      <w:r w:rsidR="003B31B5" w:rsidRPr="4E34C8D1">
        <w:rPr>
          <w:sz w:val="20"/>
          <w:szCs w:val="20"/>
        </w:rPr>
        <w:t>,</w:t>
      </w:r>
      <w:r w:rsidRPr="4E34C8D1">
        <w:rPr>
          <w:sz w:val="20"/>
          <w:szCs w:val="20"/>
        </w:rPr>
        <w:t xml:space="preserve"> </w:t>
      </w:r>
      <w:r w:rsidR="0029202D" w:rsidRPr="4E34C8D1">
        <w:rPr>
          <w:sz w:val="20"/>
          <w:szCs w:val="20"/>
        </w:rPr>
        <w:t>with agreement</w:t>
      </w:r>
      <w:r w:rsidRPr="00130070">
        <w:rPr>
          <w:sz w:val="20"/>
          <w:szCs w:val="20"/>
        </w:rPr>
        <w:t xml:space="preserve"> that shared care</w:t>
      </w:r>
      <w:r w:rsidR="003B31B5" w:rsidRPr="4E34C8D1">
        <w:rPr>
          <w:sz w:val="20"/>
          <w:szCs w:val="20"/>
        </w:rPr>
        <w:t xml:space="preserve"> is appropriate</w:t>
      </w:r>
      <w:r w:rsidRPr="00130070">
        <w:rPr>
          <w:sz w:val="20"/>
          <w:szCs w:val="20"/>
        </w:rPr>
        <w:t xml:space="preserve">. </w:t>
      </w:r>
    </w:p>
    <w:p w14:paraId="3E30F92B" w14:textId="5ADBC5F7" w:rsidR="00130070" w:rsidRPr="00130070" w:rsidRDefault="00D46B50" w:rsidP="00130070">
      <w:pPr>
        <w:pStyle w:val="NCLBodyText"/>
        <w:rPr>
          <w:sz w:val="20"/>
          <w:szCs w:val="20"/>
        </w:rPr>
      </w:pPr>
      <w:r w:rsidRPr="074FFE4A">
        <w:rPr>
          <w:sz w:val="20"/>
          <w:szCs w:val="20"/>
        </w:rPr>
        <w:t xml:space="preserve">Sharing of care assumes communication between the specialist, </w:t>
      </w:r>
      <w:r w:rsidR="3E00A946" w:rsidRPr="074FFE4A">
        <w:rPr>
          <w:sz w:val="20"/>
          <w:szCs w:val="20"/>
        </w:rPr>
        <w:t xml:space="preserve">primary care </w:t>
      </w:r>
      <w:r w:rsidR="3E00A946" w:rsidRPr="4E34C8D1">
        <w:rPr>
          <w:sz w:val="20"/>
          <w:szCs w:val="20"/>
        </w:rPr>
        <w:t>prescriber</w:t>
      </w:r>
      <w:r w:rsidRPr="074FFE4A">
        <w:rPr>
          <w:sz w:val="20"/>
          <w:szCs w:val="20"/>
        </w:rPr>
        <w:t xml:space="preserve"> and patient. The intention to share care should be explained to the patient by the </w:t>
      </w:r>
      <w:r w:rsidR="0CF61C7D" w:rsidRPr="4E34C8D1">
        <w:rPr>
          <w:sz w:val="20"/>
          <w:szCs w:val="20"/>
        </w:rPr>
        <w:t>specialist</w:t>
      </w:r>
      <w:r w:rsidR="0CF61C7D" w:rsidRPr="074FFE4A">
        <w:rPr>
          <w:sz w:val="20"/>
          <w:szCs w:val="20"/>
        </w:rPr>
        <w:t xml:space="preserve"> clinician</w:t>
      </w:r>
      <w:r w:rsidRPr="074FFE4A">
        <w:rPr>
          <w:sz w:val="20"/>
          <w:szCs w:val="20"/>
        </w:rPr>
        <w:t xml:space="preserve"> when treatment is initiated. It is important that patients are consulted about treatment and </w:t>
      </w:r>
      <w:proofErr w:type="gramStart"/>
      <w:r w:rsidRPr="074FFE4A">
        <w:rPr>
          <w:sz w:val="20"/>
          <w:szCs w:val="20"/>
        </w:rPr>
        <w:t>are in agreement</w:t>
      </w:r>
      <w:proofErr w:type="gramEnd"/>
      <w:r w:rsidRPr="074FFE4A">
        <w:rPr>
          <w:sz w:val="20"/>
          <w:szCs w:val="20"/>
        </w:rPr>
        <w:t xml:space="preserve"> with it.</w:t>
      </w:r>
      <w:r w:rsidR="00130070" w:rsidRPr="074FFE4A">
        <w:rPr>
          <w:sz w:val="20"/>
          <w:szCs w:val="20"/>
        </w:rPr>
        <w:t xml:space="preserve"> </w:t>
      </w:r>
    </w:p>
    <w:p w14:paraId="72EB7465" w14:textId="3BF9C6FA" w:rsidR="00217A87" w:rsidRPr="00130070" w:rsidRDefault="00217A87" w:rsidP="00130070">
      <w:pPr>
        <w:pStyle w:val="NCLBodyText"/>
        <w:rPr>
          <w:sz w:val="20"/>
          <w:szCs w:val="20"/>
        </w:rPr>
      </w:pPr>
      <w:r w:rsidRPr="54E3825D">
        <w:rPr>
          <w:sz w:val="20"/>
          <w:szCs w:val="20"/>
        </w:rPr>
        <w:t xml:space="preserve">Further information on shared care, including out of area referrals, can be found in the NCL Interface Prescribing Guidance. </w:t>
      </w:r>
    </w:p>
    <w:p w14:paraId="20FB2F89" w14:textId="46368364" w:rsidR="00D46B50" w:rsidRPr="00F6699A" w:rsidRDefault="76C84076" w:rsidP="54E3825D">
      <w:pPr>
        <w:pStyle w:val="NCLHeading1"/>
        <w:numPr>
          <w:ilvl w:val="0"/>
          <w:numId w:val="0"/>
        </w:numPr>
        <w:jc w:val="both"/>
      </w:pPr>
      <w:r>
        <w:t>Shared Care Guideline</w:t>
      </w:r>
    </w:p>
    <w:tbl>
      <w:tblPr>
        <w:tblW w:w="10125"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7"/>
        <w:gridCol w:w="1693"/>
        <w:gridCol w:w="962"/>
        <w:gridCol w:w="1046"/>
        <w:gridCol w:w="999"/>
        <w:gridCol w:w="2558"/>
      </w:tblGrid>
      <w:tr w:rsidR="00C11E23" w:rsidRPr="00B22880" w14:paraId="6105DDAE" w14:textId="77777777" w:rsidTr="00775A4F">
        <w:trPr>
          <w:trHeight w:val="300"/>
        </w:trPr>
        <w:tc>
          <w:tcPr>
            <w:tcW w:w="2867" w:type="dxa"/>
            <w:tcBorders>
              <w:top w:val="single" w:sz="6" w:space="0" w:color="auto"/>
              <w:left w:val="single" w:sz="6" w:space="0" w:color="auto"/>
              <w:bottom w:val="single" w:sz="6" w:space="0" w:color="auto"/>
              <w:right w:val="single" w:sz="6" w:space="0" w:color="auto"/>
            </w:tcBorders>
            <w:shd w:val="clear" w:color="auto" w:fill="FFFFFF" w:themeFill="background1"/>
          </w:tcPr>
          <w:p w14:paraId="132A4CF8" w14:textId="498BBB7D" w:rsidR="00C11E23" w:rsidRPr="0088269E" w:rsidRDefault="00762D48" w:rsidP="00E671CC">
            <w:pPr>
              <w:pStyle w:val="paragraph"/>
              <w:spacing w:before="0" w:beforeAutospacing="0" w:after="0" w:afterAutospacing="0"/>
              <w:rPr>
                <w:rStyle w:val="normaltextrun"/>
                <w:rFonts w:ascii="Calibri" w:hAnsi="Calibri" w:cs="Calibri"/>
                <w:b/>
                <w:bCs/>
                <w:sz w:val="22"/>
                <w:szCs w:val="22"/>
                <w:lang w:val="en-AU"/>
              </w:rPr>
            </w:pPr>
            <w:r w:rsidRPr="0088269E">
              <w:rPr>
                <w:rStyle w:val="normaltextrun"/>
                <w:rFonts w:ascii="Calibri" w:hAnsi="Calibri" w:cs="Calibri"/>
                <w:b/>
                <w:bCs/>
                <w:sz w:val="22"/>
                <w:szCs w:val="22"/>
                <w:lang w:val="en-AU"/>
              </w:rPr>
              <w:t>Indication</w:t>
            </w:r>
          </w:p>
        </w:tc>
        <w:tc>
          <w:tcPr>
            <w:tcW w:w="7258" w:type="dxa"/>
            <w:gridSpan w:val="5"/>
            <w:tcBorders>
              <w:top w:val="single" w:sz="6" w:space="0" w:color="auto"/>
              <w:left w:val="single" w:sz="6" w:space="0" w:color="auto"/>
              <w:bottom w:val="single" w:sz="6" w:space="0" w:color="auto"/>
              <w:right w:val="single" w:sz="6" w:space="0" w:color="auto"/>
            </w:tcBorders>
            <w:shd w:val="clear" w:color="auto" w:fill="auto"/>
          </w:tcPr>
          <w:p w14:paraId="367CEA92" w14:textId="68242486" w:rsidR="00762D48" w:rsidRPr="0088269E" w:rsidRDefault="00762D48" w:rsidP="0088269E">
            <w:pPr>
              <w:pStyle w:val="NCLBodyText"/>
              <w:rPr>
                <w:rStyle w:val="eop"/>
              </w:rPr>
            </w:pPr>
            <w:r w:rsidRPr="0088269E">
              <w:rPr>
                <w:rStyle w:val="normaltextrun"/>
                <w:rFonts w:eastAsiaTheme="majorEastAsia"/>
              </w:rPr>
              <w:t xml:space="preserve">As per local formulary agreement, </w:t>
            </w:r>
            <w:r w:rsidR="000254F5">
              <w:rPr>
                <w:rStyle w:val="normaltextrun"/>
                <w:rFonts w:eastAsiaTheme="majorEastAsia"/>
              </w:rPr>
              <w:t>c</w:t>
            </w:r>
            <w:r w:rsidR="00020FB5" w:rsidRPr="0088269E">
              <w:rPr>
                <w:rStyle w:val="normaltextrun"/>
                <w:rFonts w:eastAsiaTheme="majorEastAsia"/>
              </w:rPr>
              <w:t>inacalcet</w:t>
            </w:r>
            <w:r w:rsidRPr="0088269E">
              <w:rPr>
                <w:rStyle w:val="normaltextrun"/>
                <w:rFonts w:eastAsiaTheme="majorEastAsia"/>
              </w:rPr>
              <w:t xml:space="preserve"> is recommended for </w:t>
            </w:r>
            <w:r w:rsidR="000E5462" w:rsidRPr="0088269E">
              <w:rPr>
                <w:rStyle w:val="normaltextrun"/>
                <w:rFonts w:eastAsiaTheme="majorEastAsia"/>
              </w:rPr>
              <w:t xml:space="preserve">the reduction of hypercalcaemia in patients with primary hyperparathyroidism for whom parathyroidectomy would be indicated </w:t>
            </w:r>
            <w:proofErr w:type="gramStart"/>
            <w:r w:rsidR="000E5462" w:rsidRPr="0088269E">
              <w:rPr>
                <w:rStyle w:val="normaltextrun"/>
                <w:rFonts w:eastAsiaTheme="majorEastAsia"/>
              </w:rPr>
              <w:t>on the basis of</w:t>
            </w:r>
            <w:proofErr w:type="gramEnd"/>
            <w:r w:rsidR="000E5462" w:rsidRPr="0088269E">
              <w:rPr>
                <w:rStyle w:val="normaltextrun"/>
                <w:rFonts w:eastAsiaTheme="majorEastAsia"/>
              </w:rPr>
              <w:t xml:space="preserve"> serum calcium levels (as defined by </w:t>
            </w:r>
            <w:r w:rsidR="000E5462" w:rsidRPr="0088269E">
              <w:t>relevant treatment guidelines), but in whom parathyroidectomy is not clinically appropriate or is contraindicated</w:t>
            </w:r>
            <w:r w:rsidRPr="0088269E">
              <w:rPr>
                <w:rStyle w:val="normaltextrun"/>
                <w:rFonts w:eastAsiaTheme="majorEastAsia"/>
              </w:rPr>
              <w:t>. This is a</w:t>
            </w:r>
            <w:r w:rsidR="000E5462" w:rsidRPr="0088269E">
              <w:rPr>
                <w:rStyle w:val="normaltextrun"/>
                <w:rFonts w:eastAsiaTheme="majorEastAsia"/>
              </w:rPr>
              <w:t xml:space="preserve"> </w:t>
            </w:r>
            <w:r w:rsidRPr="0088269E">
              <w:rPr>
                <w:rStyle w:val="normaltextrun"/>
                <w:rFonts w:eastAsiaTheme="majorEastAsia"/>
              </w:rPr>
              <w:t xml:space="preserve">licensed use of </w:t>
            </w:r>
            <w:r w:rsidR="000E5462" w:rsidRPr="0088269E">
              <w:rPr>
                <w:rStyle w:val="normaltextrun"/>
                <w:rFonts w:eastAsiaTheme="majorEastAsia"/>
              </w:rPr>
              <w:t>cinacalcet</w:t>
            </w:r>
            <w:r w:rsidRPr="0088269E">
              <w:rPr>
                <w:rStyle w:val="normaltextrun"/>
                <w:rFonts w:eastAsiaTheme="majorEastAsia"/>
              </w:rPr>
              <w:t>.</w:t>
            </w:r>
            <w:r w:rsidRPr="0088269E">
              <w:rPr>
                <w:rStyle w:val="eop"/>
                <w:rFonts w:eastAsiaTheme="majorEastAsia"/>
              </w:rPr>
              <w:t> </w:t>
            </w:r>
          </w:p>
          <w:p w14:paraId="1FD0FA82" w14:textId="77777777" w:rsidR="00B22880" w:rsidRPr="0088269E" w:rsidRDefault="00B22880" w:rsidP="00762D48">
            <w:pPr>
              <w:pStyle w:val="paragraph"/>
              <w:spacing w:before="0" w:beforeAutospacing="0" w:after="0" w:afterAutospacing="0"/>
              <w:textAlignment w:val="baseline"/>
              <w:rPr>
                <w:rFonts w:ascii="Calibri" w:hAnsi="Calibri" w:cs="Calibri"/>
                <w:sz w:val="22"/>
                <w:szCs w:val="22"/>
              </w:rPr>
            </w:pPr>
          </w:p>
          <w:p w14:paraId="58D791EC" w14:textId="73044544" w:rsidR="00C11E23" w:rsidRPr="0088269E" w:rsidRDefault="6D5608A9" w:rsidP="0088269E">
            <w:pPr>
              <w:pStyle w:val="paragraph"/>
              <w:spacing w:before="0" w:beforeAutospacing="0" w:after="0" w:afterAutospacing="0"/>
              <w:textAlignment w:val="baseline"/>
              <w:rPr>
                <w:rFonts w:ascii="Calibri" w:hAnsi="Calibri" w:cs="Calibri"/>
                <w:sz w:val="22"/>
                <w:szCs w:val="22"/>
              </w:rPr>
            </w:pPr>
            <w:r w:rsidRPr="0088269E">
              <w:rPr>
                <w:rStyle w:val="normaltextrun"/>
                <w:rFonts w:ascii="Calibri" w:eastAsiaTheme="majorEastAsia" w:hAnsi="Calibri" w:cs="Calibri"/>
                <w:color w:val="000000"/>
                <w:sz w:val="22"/>
                <w:szCs w:val="22"/>
              </w:rPr>
              <w:t xml:space="preserve">Treatment should be initiated by a clinician with expertise in the treatment of </w:t>
            </w:r>
            <w:r w:rsidR="000F7F3D" w:rsidRPr="0088269E">
              <w:rPr>
                <w:rStyle w:val="normaltextrun"/>
                <w:rFonts w:ascii="Calibri" w:eastAsiaTheme="majorEastAsia" w:hAnsi="Calibri" w:cs="Calibri"/>
                <w:sz w:val="22"/>
                <w:szCs w:val="22"/>
              </w:rPr>
              <w:t>primary hyperparathyroidism</w:t>
            </w:r>
            <w:r w:rsidR="000F7F3D" w:rsidRPr="0088269E">
              <w:rPr>
                <w:rStyle w:val="normaltextrun"/>
                <w:rFonts w:ascii="Calibri" w:eastAsiaTheme="majorEastAsia" w:hAnsi="Calibri" w:cs="Calibri"/>
                <w:i/>
                <w:iCs/>
                <w:sz w:val="22"/>
                <w:szCs w:val="22"/>
              </w:rPr>
              <w:t xml:space="preserve"> </w:t>
            </w:r>
            <w:r w:rsidRPr="0088269E">
              <w:rPr>
                <w:rStyle w:val="normaltextrun"/>
                <w:rFonts w:ascii="Calibri" w:eastAsiaTheme="majorEastAsia" w:hAnsi="Calibri" w:cs="Calibri"/>
                <w:color w:val="000000"/>
                <w:sz w:val="22"/>
                <w:szCs w:val="22"/>
              </w:rPr>
              <w:t xml:space="preserve">who will consider </w:t>
            </w:r>
            <w:r w:rsidRPr="0088269E">
              <w:rPr>
                <w:rStyle w:val="normaltextrun"/>
                <w:rFonts w:ascii="Calibri" w:eastAsiaTheme="majorEastAsia" w:hAnsi="Calibri" w:cs="Calibri"/>
                <w:sz w:val="22"/>
                <w:szCs w:val="22"/>
              </w:rPr>
              <w:t>contraindications</w:t>
            </w:r>
            <w:r w:rsidRPr="0088269E">
              <w:rPr>
                <w:rStyle w:val="normaltextrun"/>
                <w:rFonts w:ascii="Calibri" w:eastAsiaTheme="majorEastAsia" w:hAnsi="Calibri" w:cs="Calibri"/>
                <w:color w:val="000000"/>
                <w:sz w:val="22"/>
                <w:szCs w:val="22"/>
              </w:rPr>
              <w:t xml:space="preserve"> </w:t>
            </w:r>
            <w:r w:rsidR="3BC39685" w:rsidRPr="0088269E">
              <w:rPr>
                <w:rFonts w:ascii="Calibri" w:eastAsia="Calibri" w:hAnsi="Calibri" w:cs="Calibri"/>
                <w:color w:val="000000" w:themeColor="text1"/>
                <w:sz w:val="22"/>
                <w:szCs w:val="22"/>
              </w:rPr>
              <w:t xml:space="preserve">(link: </w:t>
            </w:r>
            <w:hyperlink r:id="rId12" w:history="1">
              <w:r w:rsidR="3BC39685" w:rsidRPr="0088269E">
                <w:rPr>
                  <w:rStyle w:val="Hyperlink"/>
                  <w:rFonts w:ascii="Calibri" w:eastAsia="Calibri" w:hAnsi="Calibri" w:cs="Calibri"/>
                  <w:sz w:val="22"/>
                  <w:szCs w:val="22"/>
                </w:rPr>
                <w:t>BNF</w:t>
              </w:r>
            </w:hyperlink>
            <w:r w:rsidR="3BC39685" w:rsidRPr="0088269E">
              <w:rPr>
                <w:rFonts w:ascii="Calibri" w:eastAsia="Calibri" w:hAnsi="Calibri" w:cs="Calibri"/>
                <w:color w:val="000000" w:themeColor="text1"/>
                <w:sz w:val="22"/>
                <w:szCs w:val="22"/>
              </w:rPr>
              <w:t xml:space="preserve"> &amp; </w:t>
            </w:r>
            <w:hyperlink r:id="rId13" w:history="1">
              <w:r w:rsidR="3BC39685" w:rsidRPr="0088269E">
                <w:rPr>
                  <w:rStyle w:val="Hyperlink"/>
                  <w:rFonts w:ascii="Calibri" w:eastAsia="Calibri" w:hAnsi="Calibri" w:cs="Calibri"/>
                  <w:sz w:val="22"/>
                  <w:szCs w:val="22"/>
                </w:rPr>
                <w:t>SPC</w:t>
              </w:r>
            </w:hyperlink>
            <w:r w:rsidR="3BC39685" w:rsidRPr="0088269E">
              <w:rPr>
                <w:rFonts w:ascii="Calibri" w:eastAsia="Calibri" w:hAnsi="Calibri" w:cs="Calibri"/>
                <w:color w:val="000000" w:themeColor="text1"/>
                <w:sz w:val="22"/>
                <w:szCs w:val="22"/>
              </w:rPr>
              <w:t xml:space="preserve">) </w:t>
            </w:r>
            <w:r w:rsidRPr="0088269E">
              <w:rPr>
                <w:rStyle w:val="normaltextrun"/>
                <w:rFonts w:ascii="Calibri" w:eastAsiaTheme="majorEastAsia" w:hAnsi="Calibri" w:cs="Calibri"/>
                <w:color w:val="000000"/>
                <w:sz w:val="22"/>
                <w:szCs w:val="22"/>
              </w:rPr>
              <w:t xml:space="preserve">and </w:t>
            </w:r>
            <w:r w:rsidRPr="0088269E">
              <w:rPr>
                <w:rStyle w:val="normaltextrun"/>
                <w:rFonts w:ascii="Calibri" w:eastAsiaTheme="majorEastAsia" w:hAnsi="Calibri" w:cs="Calibri"/>
                <w:sz w:val="22"/>
                <w:szCs w:val="22"/>
              </w:rPr>
              <w:t>cautions</w:t>
            </w:r>
            <w:r w:rsidR="3685A4E5" w:rsidRPr="0088269E">
              <w:rPr>
                <w:rStyle w:val="normaltextrun"/>
                <w:rFonts w:ascii="Calibri" w:eastAsiaTheme="majorEastAsia" w:hAnsi="Calibri" w:cs="Calibri"/>
                <w:sz w:val="22"/>
                <w:szCs w:val="22"/>
              </w:rPr>
              <w:t xml:space="preserve"> </w:t>
            </w:r>
            <w:r w:rsidR="3685A4E5" w:rsidRPr="0088269E">
              <w:rPr>
                <w:rFonts w:ascii="Calibri" w:eastAsia="Calibri" w:hAnsi="Calibri" w:cs="Calibri"/>
                <w:color w:val="000000" w:themeColor="text1"/>
                <w:sz w:val="22"/>
                <w:szCs w:val="22"/>
              </w:rPr>
              <w:t xml:space="preserve">(link: </w:t>
            </w:r>
            <w:hyperlink r:id="rId14" w:history="1">
              <w:r w:rsidR="3685A4E5" w:rsidRPr="0088269E">
                <w:rPr>
                  <w:rStyle w:val="Hyperlink"/>
                  <w:rFonts w:ascii="Calibri" w:eastAsia="Calibri" w:hAnsi="Calibri" w:cs="Calibri"/>
                  <w:sz w:val="22"/>
                  <w:szCs w:val="22"/>
                </w:rPr>
                <w:t>BNF</w:t>
              </w:r>
            </w:hyperlink>
            <w:r w:rsidR="3685A4E5" w:rsidRPr="0088269E">
              <w:rPr>
                <w:rFonts w:ascii="Calibri" w:eastAsia="Calibri" w:hAnsi="Calibri" w:cs="Calibri"/>
                <w:color w:val="000000" w:themeColor="text1"/>
                <w:sz w:val="22"/>
                <w:szCs w:val="22"/>
              </w:rPr>
              <w:t xml:space="preserve"> &amp; </w:t>
            </w:r>
            <w:hyperlink r:id="rId15" w:history="1">
              <w:r w:rsidR="3685A4E5" w:rsidRPr="0088269E">
                <w:rPr>
                  <w:rStyle w:val="Hyperlink"/>
                  <w:rFonts w:ascii="Calibri" w:eastAsia="Calibri" w:hAnsi="Calibri" w:cs="Calibri"/>
                  <w:sz w:val="22"/>
                  <w:szCs w:val="22"/>
                </w:rPr>
                <w:t>SPC</w:t>
              </w:r>
            </w:hyperlink>
            <w:r w:rsidR="3685A4E5" w:rsidRPr="0088269E">
              <w:rPr>
                <w:rFonts w:ascii="Calibri" w:eastAsia="Calibri" w:hAnsi="Calibri" w:cs="Calibri"/>
                <w:color w:val="000000" w:themeColor="text1"/>
                <w:sz w:val="22"/>
                <w:szCs w:val="22"/>
              </w:rPr>
              <w:t>)</w:t>
            </w:r>
            <w:r w:rsidRPr="0088269E">
              <w:rPr>
                <w:rStyle w:val="normaltextrun"/>
                <w:rFonts w:ascii="Calibri" w:eastAsiaTheme="majorEastAsia" w:hAnsi="Calibri" w:cs="Calibri"/>
                <w:sz w:val="22"/>
                <w:szCs w:val="22"/>
              </w:rPr>
              <w:t xml:space="preserve"> for use</w:t>
            </w:r>
            <w:r w:rsidRPr="0088269E">
              <w:rPr>
                <w:rStyle w:val="normaltextrun"/>
                <w:rFonts w:ascii="Calibri" w:eastAsiaTheme="majorEastAsia" w:hAnsi="Calibri" w:cs="Calibri"/>
                <w:color w:val="000000"/>
                <w:sz w:val="22"/>
                <w:szCs w:val="22"/>
              </w:rPr>
              <w:t>. </w:t>
            </w:r>
            <w:r w:rsidRPr="0088269E">
              <w:rPr>
                <w:rStyle w:val="eop"/>
                <w:rFonts w:ascii="Calibri" w:eastAsiaTheme="majorEastAsia" w:hAnsi="Calibri" w:cs="Calibri"/>
                <w:color w:val="000000"/>
                <w:sz w:val="22"/>
                <w:szCs w:val="22"/>
              </w:rPr>
              <w:t> </w:t>
            </w:r>
          </w:p>
        </w:tc>
      </w:tr>
      <w:tr w:rsidR="00C11E23" w:rsidRPr="00B22880" w14:paraId="4DFA1639" w14:textId="77777777" w:rsidTr="00775A4F">
        <w:trPr>
          <w:trHeight w:val="300"/>
        </w:trPr>
        <w:tc>
          <w:tcPr>
            <w:tcW w:w="2867" w:type="dxa"/>
            <w:tcBorders>
              <w:top w:val="single" w:sz="6" w:space="0" w:color="auto"/>
              <w:left w:val="single" w:sz="6" w:space="0" w:color="auto"/>
              <w:bottom w:val="single" w:sz="6" w:space="0" w:color="auto"/>
              <w:right w:val="single" w:sz="6" w:space="0" w:color="auto"/>
            </w:tcBorders>
            <w:shd w:val="clear" w:color="auto" w:fill="FFFFFF" w:themeFill="background1"/>
          </w:tcPr>
          <w:p w14:paraId="77E5CCB0" w14:textId="117B1A13" w:rsidR="00C11E23" w:rsidRPr="0088269E" w:rsidRDefault="00C11E23" w:rsidP="00E671CC">
            <w:pPr>
              <w:pStyle w:val="paragraph"/>
              <w:spacing w:before="0" w:beforeAutospacing="0" w:after="0" w:afterAutospacing="0"/>
              <w:rPr>
                <w:rStyle w:val="normaltextrun"/>
                <w:rFonts w:ascii="Calibri" w:hAnsi="Calibri" w:cs="Calibri"/>
                <w:b/>
                <w:bCs/>
                <w:sz w:val="22"/>
                <w:szCs w:val="22"/>
                <w:lang w:val="en-AU"/>
              </w:rPr>
            </w:pPr>
            <w:r w:rsidRPr="0088269E">
              <w:rPr>
                <w:rStyle w:val="normaltextrun"/>
                <w:rFonts w:ascii="Calibri" w:hAnsi="Calibri" w:cs="Calibri"/>
                <w:b/>
                <w:bCs/>
                <w:sz w:val="22"/>
                <w:szCs w:val="22"/>
                <w:lang w:val="en-AU"/>
              </w:rPr>
              <w:t>Shared Care criteria</w:t>
            </w:r>
          </w:p>
        </w:tc>
        <w:tc>
          <w:tcPr>
            <w:tcW w:w="7258" w:type="dxa"/>
            <w:gridSpan w:val="5"/>
            <w:tcBorders>
              <w:top w:val="single" w:sz="6" w:space="0" w:color="auto"/>
              <w:left w:val="single" w:sz="6" w:space="0" w:color="auto"/>
              <w:bottom w:val="single" w:sz="6" w:space="0" w:color="auto"/>
              <w:right w:val="single" w:sz="6" w:space="0" w:color="auto"/>
            </w:tcBorders>
            <w:shd w:val="clear" w:color="auto" w:fill="auto"/>
          </w:tcPr>
          <w:p w14:paraId="45EA70E7" w14:textId="534C5B82" w:rsidR="00C11E23" w:rsidRPr="0088269E" w:rsidRDefault="00C11E23" w:rsidP="009D3CF9">
            <w:pPr>
              <w:pStyle w:val="NCLBodyText"/>
              <w:rPr>
                <w:rStyle w:val="eop"/>
              </w:rPr>
            </w:pPr>
            <w:r w:rsidRPr="0088269E">
              <w:t xml:space="preserve">Once a patient has been stabilised on treatment </w:t>
            </w:r>
            <w:r w:rsidR="000E5462" w:rsidRPr="0088269E">
              <w:t>3</w:t>
            </w:r>
            <w:r w:rsidRPr="0088269E">
              <w:t xml:space="preserve"> months,</w:t>
            </w:r>
            <w:r w:rsidRPr="0088269E">
              <w:rPr>
                <w:color w:val="4F81BD" w:themeColor="accent1"/>
              </w:rPr>
              <w:t xml:space="preserve"> </w:t>
            </w:r>
            <w:r w:rsidRPr="0088269E">
              <w:t xml:space="preserve">a shared care arrangement with </w:t>
            </w:r>
            <w:r w:rsidR="00A86BD8" w:rsidRPr="0088269E">
              <w:t>you</w:t>
            </w:r>
            <w:r w:rsidRPr="0088269E">
              <w:t xml:space="preserve"> will be requested. </w:t>
            </w:r>
          </w:p>
        </w:tc>
      </w:tr>
      <w:tr w:rsidR="00E02BEF" w:rsidRPr="00B22880" w14:paraId="43A17E35" w14:textId="77777777" w:rsidTr="00775A4F">
        <w:trPr>
          <w:trHeight w:val="300"/>
        </w:trPr>
        <w:tc>
          <w:tcPr>
            <w:tcW w:w="2867" w:type="dxa"/>
            <w:tcBorders>
              <w:top w:val="single" w:sz="6" w:space="0" w:color="auto"/>
              <w:left w:val="single" w:sz="6" w:space="0" w:color="auto"/>
              <w:bottom w:val="single" w:sz="6" w:space="0" w:color="auto"/>
              <w:right w:val="single" w:sz="6" w:space="0" w:color="auto"/>
            </w:tcBorders>
            <w:shd w:val="clear" w:color="auto" w:fill="FFFFFF" w:themeFill="background1"/>
          </w:tcPr>
          <w:p w14:paraId="7FA630EC" w14:textId="77777777" w:rsidR="00E02BEF" w:rsidRPr="0088269E" w:rsidRDefault="00E02BEF" w:rsidP="00E671CC">
            <w:pPr>
              <w:pStyle w:val="paragraph"/>
              <w:spacing w:before="0" w:beforeAutospacing="0" w:after="0" w:afterAutospacing="0"/>
              <w:rPr>
                <w:rStyle w:val="eop"/>
                <w:rFonts w:ascii="Calibri" w:hAnsi="Calibri" w:cs="Calibri"/>
                <w:sz w:val="22"/>
                <w:szCs w:val="22"/>
              </w:rPr>
            </w:pPr>
            <w:r w:rsidRPr="0088269E">
              <w:rPr>
                <w:rStyle w:val="normaltextrun"/>
                <w:rFonts w:ascii="Calibri" w:hAnsi="Calibri" w:cs="Calibri"/>
                <w:b/>
                <w:bCs/>
                <w:sz w:val="22"/>
                <w:szCs w:val="22"/>
                <w:lang w:val="en-AU"/>
              </w:rPr>
              <w:t>Dose</w:t>
            </w:r>
          </w:p>
          <w:p w14:paraId="25AFD907" w14:textId="77777777" w:rsidR="00E02BEF" w:rsidRPr="0088269E" w:rsidRDefault="00E02BEF" w:rsidP="00E671CC">
            <w:pPr>
              <w:pStyle w:val="paragraph"/>
              <w:spacing w:before="0" w:beforeAutospacing="0" w:after="0" w:afterAutospacing="0"/>
              <w:textAlignment w:val="baseline"/>
              <w:rPr>
                <w:rStyle w:val="normaltextrun"/>
                <w:rFonts w:ascii="Calibri" w:hAnsi="Calibri" w:cs="Calibri"/>
                <w:b/>
                <w:bCs/>
                <w:sz w:val="22"/>
                <w:szCs w:val="22"/>
                <w:lang w:val="en-AU"/>
              </w:rPr>
            </w:pPr>
            <w:r w:rsidRPr="0088269E">
              <w:rPr>
                <w:rStyle w:val="eop"/>
                <w:rFonts w:ascii="Calibri" w:hAnsi="Calibri" w:cs="Calibri"/>
                <w:sz w:val="22"/>
                <w:szCs w:val="22"/>
              </w:rPr>
              <w:t> </w:t>
            </w:r>
          </w:p>
        </w:tc>
        <w:tc>
          <w:tcPr>
            <w:tcW w:w="7258" w:type="dxa"/>
            <w:gridSpan w:val="5"/>
            <w:tcBorders>
              <w:top w:val="single" w:sz="6" w:space="0" w:color="auto"/>
              <w:left w:val="single" w:sz="6" w:space="0" w:color="auto"/>
              <w:bottom w:val="single" w:sz="6" w:space="0" w:color="auto"/>
              <w:right w:val="single" w:sz="6" w:space="0" w:color="auto"/>
            </w:tcBorders>
            <w:shd w:val="clear" w:color="auto" w:fill="auto"/>
          </w:tcPr>
          <w:p w14:paraId="3EB48930" w14:textId="77777777" w:rsidR="00E02BEF" w:rsidRPr="0088269E" w:rsidRDefault="00E02BEF" w:rsidP="00E671CC">
            <w:pPr>
              <w:pStyle w:val="paragraph"/>
              <w:spacing w:before="0" w:beforeAutospacing="0" w:after="0" w:afterAutospacing="0"/>
              <w:jc w:val="both"/>
              <w:textAlignment w:val="baseline"/>
              <w:rPr>
                <w:rFonts w:ascii="Calibri" w:hAnsi="Calibri" w:cs="Calibri"/>
                <w:sz w:val="22"/>
                <w:szCs w:val="22"/>
              </w:rPr>
            </w:pPr>
            <w:r w:rsidRPr="0088269E">
              <w:rPr>
                <w:rStyle w:val="normaltextrun"/>
                <w:rFonts w:ascii="Calibri" w:hAnsi="Calibri" w:cs="Calibri"/>
                <w:b/>
                <w:bCs/>
                <w:sz w:val="22"/>
                <w:szCs w:val="22"/>
                <w:u w:val="single"/>
                <w:lang w:val="en-AU"/>
              </w:rPr>
              <w:t>Initial stabilisation (by specialist team): </w:t>
            </w:r>
            <w:r w:rsidRPr="0088269E">
              <w:rPr>
                <w:rStyle w:val="eop"/>
                <w:rFonts w:ascii="Calibri" w:hAnsi="Calibri" w:cs="Calibri"/>
                <w:sz w:val="22"/>
                <w:szCs w:val="22"/>
              </w:rPr>
              <w:t> </w:t>
            </w:r>
          </w:p>
          <w:p w14:paraId="3A31F58B" w14:textId="050753D3" w:rsidR="008C708D" w:rsidRPr="0088269E" w:rsidRDefault="008C708D" w:rsidP="00E671CC">
            <w:pPr>
              <w:pStyle w:val="paragraph"/>
              <w:spacing w:before="0" w:beforeAutospacing="0" w:after="0" w:afterAutospacing="0"/>
              <w:jc w:val="both"/>
              <w:textAlignment w:val="baseline"/>
              <w:rPr>
                <w:rStyle w:val="eop"/>
                <w:rFonts w:ascii="Calibri" w:hAnsi="Calibri" w:cs="Calibri"/>
                <w:sz w:val="22"/>
                <w:szCs w:val="22"/>
              </w:rPr>
            </w:pPr>
            <w:r w:rsidRPr="0088269E">
              <w:rPr>
                <w:rStyle w:val="eop"/>
                <w:rFonts w:ascii="Calibri" w:hAnsi="Calibri" w:cs="Calibri"/>
                <w:sz w:val="22"/>
                <w:szCs w:val="22"/>
              </w:rPr>
              <w:t xml:space="preserve">The recommended starting dose is 30mg orally once or twice a day. The dose may be reduced to 15mg according to specialist recommendation. </w:t>
            </w:r>
          </w:p>
          <w:p w14:paraId="2EFFD273" w14:textId="0ADB4233" w:rsidR="00E02BEF" w:rsidRPr="0088269E" w:rsidRDefault="008C708D" w:rsidP="00E671CC">
            <w:pPr>
              <w:pStyle w:val="paragraph"/>
              <w:spacing w:before="0" w:beforeAutospacing="0" w:after="0" w:afterAutospacing="0"/>
              <w:jc w:val="both"/>
              <w:textAlignment w:val="baseline"/>
              <w:rPr>
                <w:rStyle w:val="eop"/>
                <w:rFonts w:ascii="Calibri" w:hAnsi="Calibri" w:cs="Calibri"/>
                <w:sz w:val="22"/>
                <w:szCs w:val="22"/>
              </w:rPr>
            </w:pPr>
            <w:r w:rsidRPr="0088269E">
              <w:rPr>
                <w:rFonts w:ascii="Calibri" w:hAnsi="Calibri" w:cs="Calibri"/>
                <w:color w:val="000000"/>
                <w:sz w:val="22"/>
                <w:szCs w:val="22"/>
              </w:rPr>
              <w:t xml:space="preserve">The dose of </w:t>
            </w:r>
            <w:r w:rsidR="000254F5">
              <w:rPr>
                <w:rFonts w:ascii="Calibri" w:hAnsi="Calibri" w:cs="Calibri"/>
                <w:color w:val="000000"/>
                <w:sz w:val="22"/>
                <w:szCs w:val="22"/>
              </w:rPr>
              <w:t>ci</w:t>
            </w:r>
            <w:r w:rsidRPr="0088269E">
              <w:rPr>
                <w:rFonts w:ascii="Calibri" w:hAnsi="Calibri" w:cs="Calibri"/>
                <w:color w:val="000000"/>
                <w:sz w:val="22"/>
                <w:szCs w:val="22"/>
              </w:rPr>
              <w:t xml:space="preserve">nacalcet </w:t>
            </w:r>
            <w:r w:rsidR="0088269E" w:rsidRPr="0088269E">
              <w:rPr>
                <w:rFonts w:ascii="Calibri" w:hAnsi="Calibri" w:cs="Calibri"/>
                <w:color w:val="000000"/>
                <w:sz w:val="22"/>
                <w:szCs w:val="22"/>
              </w:rPr>
              <w:t>may</w:t>
            </w:r>
            <w:r w:rsidRPr="0088269E">
              <w:rPr>
                <w:rFonts w:ascii="Calibri" w:hAnsi="Calibri" w:cs="Calibri"/>
                <w:color w:val="000000"/>
                <w:sz w:val="22"/>
                <w:szCs w:val="22"/>
              </w:rPr>
              <w:t xml:space="preserve"> be titrated every 2 to 4 weeks through sequential doses of 30 mg twice daily, 60 mg twice daily, 90 mg twice daily, and 90 mg three or four times daily as necessary to reduce serum calcium concentration to or below the upper limit of normal</w:t>
            </w:r>
            <w:r w:rsidRPr="0088269E">
              <w:rPr>
                <w:rStyle w:val="eop"/>
                <w:rFonts w:ascii="Calibri" w:hAnsi="Calibri" w:cs="Calibri"/>
                <w:sz w:val="22"/>
                <w:szCs w:val="22"/>
              </w:rPr>
              <w:t xml:space="preserve">. </w:t>
            </w:r>
          </w:p>
          <w:p w14:paraId="273961B7" w14:textId="77777777" w:rsidR="00E02BEF" w:rsidRPr="0088269E" w:rsidRDefault="00E02BEF" w:rsidP="00E671CC">
            <w:pPr>
              <w:pStyle w:val="paragraph"/>
              <w:spacing w:before="0" w:beforeAutospacing="0" w:after="0" w:afterAutospacing="0"/>
              <w:jc w:val="both"/>
              <w:textAlignment w:val="baseline"/>
              <w:rPr>
                <w:rFonts w:ascii="Calibri" w:hAnsi="Calibri" w:cs="Calibri"/>
                <w:sz w:val="22"/>
                <w:szCs w:val="22"/>
              </w:rPr>
            </w:pPr>
            <w:r w:rsidRPr="0088269E">
              <w:rPr>
                <w:rStyle w:val="eop"/>
                <w:rFonts w:ascii="Calibri" w:hAnsi="Calibri" w:cs="Calibri"/>
                <w:sz w:val="22"/>
                <w:szCs w:val="22"/>
              </w:rPr>
              <w:t> </w:t>
            </w:r>
          </w:p>
          <w:p w14:paraId="5F667E73" w14:textId="77777777" w:rsidR="00E02BEF" w:rsidRPr="0088269E" w:rsidRDefault="00E02BEF" w:rsidP="00E671CC">
            <w:pPr>
              <w:pStyle w:val="paragraph"/>
              <w:spacing w:before="0" w:beforeAutospacing="0" w:after="0" w:afterAutospacing="0"/>
              <w:jc w:val="both"/>
              <w:textAlignment w:val="baseline"/>
              <w:rPr>
                <w:rFonts w:ascii="Calibri" w:hAnsi="Calibri" w:cs="Calibri"/>
                <w:sz w:val="22"/>
                <w:szCs w:val="22"/>
              </w:rPr>
            </w:pPr>
            <w:r w:rsidRPr="0088269E">
              <w:rPr>
                <w:rStyle w:val="normaltextrun"/>
                <w:rFonts w:ascii="Calibri" w:hAnsi="Calibri" w:cs="Calibri"/>
                <w:b/>
                <w:bCs/>
                <w:sz w:val="22"/>
                <w:szCs w:val="22"/>
                <w:u w:val="single"/>
                <w:lang w:val="en-AU"/>
              </w:rPr>
              <w:t>Maintenance dose:</w:t>
            </w:r>
            <w:r w:rsidRPr="0088269E">
              <w:rPr>
                <w:rStyle w:val="eop"/>
                <w:rFonts w:ascii="Calibri" w:hAnsi="Calibri" w:cs="Calibri"/>
                <w:sz w:val="22"/>
                <w:szCs w:val="22"/>
              </w:rPr>
              <w:t> </w:t>
            </w:r>
          </w:p>
          <w:p w14:paraId="159511AF" w14:textId="62A6BDAB" w:rsidR="00F95F4C" w:rsidRPr="0088269E" w:rsidRDefault="0088269E" w:rsidP="00E671CC">
            <w:pPr>
              <w:pStyle w:val="paragraph"/>
              <w:spacing w:before="0" w:beforeAutospacing="0" w:after="0" w:afterAutospacing="0"/>
              <w:jc w:val="both"/>
              <w:textAlignment w:val="baseline"/>
              <w:rPr>
                <w:rStyle w:val="eop"/>
                <w:rFonts w:ascii="Calibri" w:hAnsi="Calibri" w:cs="Calibri"/>
                <w:sz w:val="22"/>
                <w:szCs w:val="22"/>
              </w:rPr>
            </w:pPr>
            <w:r w:rsidRPr="0088269E">
              <w:rPr>
                <w:rStyle w:val="eop"/>
                <w:rFonts w:ascii="Calibri" w:hAnsi="Calibri" w:cs="Calibri"/>
                <w:sz w:val="22"/>
                <w:szCs w:val="22"/>
              </w:rPr>
              <w:t xml:space="preserve">Usual maintenance dose is </w:t>
            </w:r>
            <w:r w:rsidR="00F95F4C" w:rsidRPr="0088269E">
              <w:rPr>
                <w:rStyle w:val="eop"/>
                <w:rFonts w:ascii="Calibri" w:hAnsi="Calibri" w:cs="Calibri"/>
                <w:sz w:val="22"/>
                <w:szCs w:val="22"/>
              </w:rPr>
              <w:t xml:space="preserve">30-60mg </w:t>
            </w:r>
            <w:r w:rsidRPr="0088269E">
              <w:rPr>
                <w:rStyle w:val="eop"/>
                <w:rFonts w:ascii="Calibri" w:hAnsi="Calibri" w:cs="Calibri"/>
                <w:sz w:val="22"/>
                <w:szCs w:val="22"/>
              </w:rPr>
              <w:t>once or twice daily.</w:t>
            </w:r>
          </w:p>
          <w:p w14:paraId="7A0DDADD" w14:textId="6E7B91CB" w:rsidR="00E02BEF" w:rsidRPr="0088269E" w:rsidRDefault="008C708D" w:rsidP="00E671CC">
            <w:pPr>
              <w:pStyle w:val="paragraph"/>
              <w:spacing w:before="0" w:beforeAutospacing="0" w:after="0" w:afterAutospacing="0"/>
              <w:jc w:val="both"/>
              <w:textAlignment w:val="baseline"/>
              <w:rPr>
                <w:rFonts w:ascii="Calibri" w:hAnsi="Calibri" w:cs="Calibri"/>
                <w:sz w:val="22"/>
                <w:szCs w:val="22"/>
              </w:rPr>
            </w:pPr>
            <w:r w:rsidRPr="0088269E">
              <w:rPr>
                <w:rStyle w:val="eop"/>
                <w:rFonts w:ascii="Calibri" w:hAnsi="Calibri" w:cs="Calibri"/>
                <w:sz w:val="22"/>
                <w:szCs w:val="22"/>
              </w:rPr>
              <w:t>Maximum licensed dose:</w:t>
            </w:r>
            <w:r w:rsidR="00E02BEF" w:rsidRPr="0088269E">
              <w:rPr>
                <w:rStyle w:val="eop"/>
                <w:rFonts w:ascii="Calibri" w:hAnsi="Calibri" w:cs="Calibri"/>
                <w:sz w:val="22"/>
                <w:szCs w:val="22"/>
              </w:rPr>
              <w:t> </w:t>
            </w:r>
            <w:r w:rsidR="000E5462" w:rsidRPr="0088269E">
              <w:rPr>
                <w:rStyle w:val="eop"/>
                <w:rFonts w:ascii="Calibri" w:hAnsi="Calibri" w:cs="Calibri"/>
                <w:sz w:val="22"/>
                <w:szCs w:val="22"/>
              </w:rPr>
              <w:t>90mg orally four times a day</w:t>
            </w:r>
            <w:r w:rsidRPr="0088269E">
              <w:rPr>
                <w:rStyle w:val="eop"/>
                <w:rFonts w:ascii="Calibri" w:hAnsi="Calibri" w:cs="Calibri"/>
                <w:sz w:val="22"/>
                <w:szCs w:val="22"/>
              </w:rPr>
              <w:t>, with or after food.</w:t>
            </w:r>
          </w:p>
          <w:p w14:paraId="00924F5E" w14:textId="77777777" w:rsidR="00E02BEF" w:rsidRPr="0088269E" w:rsidRDefault="00E02BEF" w:rsidP="00E671CC">
            <w:pPr>
              <w:pStyle w:val="paragraph"/>
              <w:spacing w:before="0" w:beforeAutospacing="0" w:after="0" w:afterAutospacing="0"/>
              <w:jc w:val="both"/>
              <w:textAlignment w:val="baseline"/>
              <w:rPr>
                <w:rFonts w:ascii="Calibri" w:hAnsi="Calibri" w:cs="Calibri"/>
                <w:sz w:val="22"/>
                <w:szCs w:val="22"/>
              </w:rPr>
            </w:pPr>
            <w:r w:rsidRPr="0088269E">
              <w:rPr>
                <w:rStyle w:val="eop"/>
                <w:rFonts w:ascii="Calibri" w:hAnsi="Calibri" w:cs="Calibri"/>
                <w:sz w:val="22"/>
                <w:szCs w:val="22"/>
              </w:rPr>
              <w:t> </w:t>
            </w:r>
          </w:p>
          <w:p w14:paraId="07FB7F07" w14:textId="77777777" w:rsidR="00E02BEF" w:rsidRPr="0088269E" w:rsidRDefault="00E02BEF" w:rsidP="00E671CC">
            <w:pPr>
              <w:pStyle w:val="paragraph"/>
              <w:spacing w:before="0" w:beforeAutospacing="0" w:after="0" w:afterAutospacing="0"/>
              <w:jc w:val="both"/>
              <w:textAlignment w:val="baseline"/>
              <w:rPr>
                <w:rFonts w:ascii="Calibri" w:hAnsi="Calibri" w:cs="Calibri"/>
                <w:sz w:val="22"/>
                <w:szCs w:val="22"/>
              </w:rPr>
            </w:pPr>
            <w:r w:rsidRPr="0088269E">
              <w:rPr>
                <w:rStyle w:val="normaltextrun"/>
                <w:rFonts w:ascii="Calibri" w:hAnsi="Calibri" w:cs="Calibri"/>
                <w:b/>
                <w:bCs/>
                <w:sz w:val="22"/>
                <w:szCs w:val="22"/>
                <w:u w:val="single"/>
                <w:lang w:val="en-AU"/>
              </w:rPr>
              <w:t>Conditions requiring dose adjustment</w:t>
            </w:r>
            <w:r w:rsidRPr="0088269E">
              <w:rPr>
                <w:rStyle w:val="eop"/>
                <w:rFonts w:ascii="Calibri" w:hAnsi="Calibri" w:cs="Calibri"/>
                <w:sz w:val="22"/>
                <w:szCs w:val="22"/>
              </w:rPr>
              <w:t> </w:t>
            </w:r>
          </w:p>
          <w:p w14:paraId="2B1E4749" w14:textId="3034AE03" w:rsidR="00E02BEF" w:rsidRPr="0088269E" w:rsidRDefault="731EA39F" w:rsidP="0088269E">
            <w:pPr>
              <w:pStyle w:val="paragraph"/>
              <w:spacing w:before="0" w:beforeAutospacing="0" w:after="0" w:afterAutospacing="0"/>
              <w:jc w:val="both"/>
              <w:textAlignment w:val="baseline"/>
              <w:rPr>
                <w:rStyle w:val="normaltextrun"/>
                <w:rFonts w:ascii="Calibri" w:hAnsi="Calibri" w:cs="Calibri"/>
                <w:b/>
                <w:bCs/>
                <w:sz w:val="22"/>
                <w:szCs w:val="22"/>
                <w:u w:val="single"/>
                <w:lang w:val="en-AU" w:eastAsia="en-US"/>
              </w:rPr>
            </w:pPr>
            <w:r w:rsidRPr="0088269E">
              <w:rPr>
                <w:rFonts w:ascii="Calibri" w:hAnsi="Calibri" w:cs="Calibri"/>
                <w:sz w:val="22"/>
                <w:szCs w:val="22"/>
              </w:rPr>
              <w:t>Further information about prescribing in elderly</w:t>
            </w:r>
            <w:r w:rsidR="008C708D" w:rsidRPr="0088269E">
              <w:rPr>
                <w:rFonts w:ascii="Calibri" w:hAnsi="Calibri" w:cs="Calibri"/>
                <w:sz w:val="22"/>
                <w:szCs w:val="22"/>
              </w:rPr>
              <w:t xml:space="preserve"> </w:t>
            </w:r>
            <w:r w:rsidRPr="0088269E">
              <w:rPr>
                <w:rFonts w:ascii="Calibri" w:hAnsi="Calibri" w:cs="Calibri"/>
                <w:sz w:val="22"/>
                <w:szCs w:val="22"/>
              </w:rPr>
              <w:t>and patients with hepatic impairment can be found here</w:t>
            </w:r>
            <w:r w:rsidR="3070BA61" w:rsidRPr="0088269E">
              <w:rPr>
                <w:rFonts w:ascii="Calibri" w:hAnsi="Calibri" w:cs="Calibri"/>
                <w:i/>
                <w:iCs/>
                <w:sz w:val="22"/>
                <w:szCs w:val="22"/>
              </w:rPr>
              <w:t xml:space="preserve"> </w:t>
            </w:r>
            <w:r w:rsidR="3070BA61" w:rsidRPr="0088269E">
              <w:rPr>
                <w:rFonts w:ascii="Calibri" w:eastAsia="Calibri" w:hAnsi="Calibri" w:cs="Calibri"/>
                <w:color w:val="000000" w:themeColor="text1"/>
                <w:sz w:val="22"/>
                <w:szCs w:val="22"/>
              </w:rPr>
              <w:t xml:space="preserve">(link: </w:t>
            </w:r>
            <w:hyperlink r:id="rId16" w:history="1">
              <w:r w:rsidR="3070BA61" w:rsidRPr="0088269E">
                <w:rPr>
                  <w:rStyle w:val="Hyperlink"/>
                  <w:rFonts w:ascii="Calibri" w:eastAsia="Calibri" w:hAnsi="Calibri" w:cs="Calibri"/>
                  <w:sz w:val="22"/>
                  <w:szCs w:val="22"/>
                </w:rPr>
                <w:t>BNF</w:t>
              </w:r>
            </w:hyperlink>
            <w:r w:rsidR="3070BA61" w:rsidRPr="0088269E">
              <w:rPr>
                <w:rFonts w:ascii="Calibri" w:eastAsia="Calibri" w:hAnsi="Calibri" w:cs="Calibri"/>
                <w:color w:val="000000" w:themeColor="text1"/>
                <w:sz w:val="22"/>
                <w:szCs w:val="22"/>
              </w:rPr>
              <w:t xml:space="preserve"> &amp; </w:t>
            </w:r>
            <w:hyperlink r:id="rId17" w:history="1">
              <w:r w:rsidR="3070BA61" w:rsidRPr="0088269E">
                <w:rPr>
                  <w:rStyle w:val="Hyperlink"/>
                  <w:rFonts w:ascii="Calibri" w:eastAsia="Calibri" w:hAnsi="Calibri" w:cs="Calibri"/>
                  <w:sz w:val="22"/>
                  <w:szCs w:val="22"/>
                </w:rPr>
                <w:t>SPC</w:t>
              </w:r>
            </w:hyperlink>
            <w:r w:rsidR="3070BA61" w:rsidRPr="0088269E">
              <w:rPr>
                <w:rFonts w:ascii="Calibri" w:eastAsia="Calibri" w:hAnsi="Calibri" w:cs="Calibri"/>
                <w:color w:val="000000" w:themeColor="text1"/>
                <w:sz w:val="22"/>
                <w:szCs w:val="22"/>
              </w:rPr>
              <w:t>)</w:t>
            </w:r>
            <w:r w:rsidRPr="0088269E">
              <w:rPr>
                <w:rFonts w:ascii="Calibri" w:hAnsi="Calibri" w:cs="Calibri"/>
                <w:sz w:val="22"/>
                <w:szCs w:val="22"/>
              </w:rPr>
              <w:t>.</w:t>
            </w:r>
            <w:r w:rsidRPr="0088269E">
              <w:rPr>
                <w:rStyle w:val="eop"/>
                <w:rFonts w:ascii="Calibri" w:hAnsi="Calibri" w:cs="Calibri"/>
                <w:sz w:val="22"/>
                <w:szCs w:val="22"/>
              </w:rPr>
              <w:t> </w:t>
            </w:r>
          </w:p>
        </w:tc>
      </w:tr>
      <w:tr w:rsidR="00B22880" w:rsidRPr="00B22880" w14:paraId="45E6AF9E" w14:textId="77777777" w:rsidTr="00775A4F">
        <w:trPr>
          <w:trHeight w:val="300"/>
        </w:trPr>
        <w:tc>
          <w:tcPr>
            <w:tcW w:w="2867" w:type="dxa"/>
            <w:tcBorders>
              <w:top w:val="single" w:sz="6" w:space="0" w:color="auto"/>
              <w:left w:val="single" w:sz="6" w:space="0" w:color="auto"/>
              <w:bottom w:val="single" w:sz="6" w:space="0" w:color="auto"/>
              <w:right w:val="single" w:sz="6" w:space="0" w:color="auto"/>
            </w:tcBorders>
            <w:shd w:val="clear" w:color="auto" w:fill="FFFFFF" w:themeFill="background1"/>
          </w:tcPr>
          <w:p w14:paraId="2573840F" w14:textId="77777777" w:rsidR="00E02BEF" w:rsidRPr="0088269E" w:rsidRDefault="00E02BEF" w:rsidP="00E671CC">
            <w:pPr>
              <w:pStyle w:val="paragraph"/>
              <w:spacing w:before="0" w:beforeAutospacing="0" w:after="0" w:afterAutospacing="0"/>
              <w:rPr>
                <w:rStyle w:val="normaltextrun"/>
                <w:rFonts w:ascii="Calibri" w:hAnsi="Calibri" w:cs="Calibri"/>
                <w:b/>
                <w:bCs/>
                <w:sz w:val="22"/>
                <w:szCs w:val="22"/>
                <w:lang w:val="en-AU"/>
              </w:rPr>
            </w:pPr>
            <w:r w:rsidRPr="0088269E">
              <w:rPr>
                <w:rStyle w:val="normaltextrun"/>
                <w:rFonts w:ascii="Calibri" w:hAnsi="Calibri" w:cs="Calibri"/>
                <w:b/>
                <w:bCs/>
                <w:sz w:val="22"/>
                <w:szCs w:val="22"/>
                <w:lang w:val="en-AU"/>
              </w:rPr>
              <w:lastRenderedPageBreak/>
              <w:t xml:space="preserve">Duration of treatment </w:t>
            </w:r>
          </w:p>
        </w:tc>
        <w:tc>
          <w:tcPr>
            <w:tcW w:w="7258" w:type="dxa"/>
            <w:gridSpan w:val="5"/>
            <w:tcBorders>
              <w:top w:val="single" w:sz="6" w:space="0" w:color="auto"/>
              <w:left w:val="single" w:sz="6" w:space="0" w:color="auto"/>
              <w:bottom w:val="single" w:sz="6" w:space="0" w:color="auto"/>
              <w:right w:val="single" w:sz="6" w:space="0" w:color="auto"/>
            </w:tcBorders>
            <w:shd w:val="clear" w:color="auto" w:fill="auto"/>
          </w:tcPr>
          <w:p w14:paraId="5B9DEDE4" w14:textId="689D975D" w:rsidR="00E02BEF" w:rsidRPr="0088269E" w:rsidRDefault="00F95F4C" w:rsidP="00E671CC">
            <w:pPr>
              <w:pStyle w:val="paragraph"/>
              <w:spacing w:before="0" w:beforeAutospacing="0" w:after="0" w:afterAutospacing="0"/>
              <w:jc w:val="both"/>
              <w:textAlignment w:val="baseline"/>
              <w:rPr>
                <w:rStyle w:val="normaltextrun"/>
                <w:rFonts w:ascii="Calibri" w:hAnsi="Calibri" w:cs="Calibri"/>
                <w:sz w:val="22"/>
                <w:szCs w:val="22"/>
                <w:lang w:val="en-AU"/>
              </w:rPr>
            </w:pPr>
            <w:r w:rsidRPr="0088269E">
              <w:rPr>
                <w:rStyle w:val="normaltextrun"/>
                <w:rFonts w:ascii="Calibri" w:hAnsi="Calibri" w:cs="Calibri"/>
                <w:sz w:val="22"/>
                <w:szCs w:val="22"/>
                <w:lang w:val="en-AU"/>
              </w:rPr>
              <w:t>Until parathyroidectomy or potentially lifelong</w:t>
            </w:r>
          </w:p>
        </w:tc>
      </w:tr>
      <w:tr w:rsidR="00B22880" w:rsidRPr="00B22880" w14:paraId="4D73FB76" w14:textId="77777777" w:rsidTr="00775A4F">
        <w:trPr>
          <w:trHeight w:val="300"/>
        </w:trPr>
        <w:tc>
          <w:tcPr>
            <w:tcW w:w="2867" w:type="dxa"/>
            <w:tcBorders>
              <w:top w:val="single" w:sz="6" w:space="0" w:color="auto"/>
              <w:left w:val="single" w:sz="6" w:space="0" w:color="auto"/>
              <w:bottom w:val="single" w:sz="6" w:space="0" w:color="auto"/>
              <w:right w:val="single" w:sz="6" w:space="0" w:color="auto"/>
            </w:tcBorders>
            <w:shd w:val="clear" w:color="auto" w:fill="FFFFFF" w:themeFill="background1"/>
          </w:tcPr>
          <w:p w14:paraId="53B34DC9" w14:textId="77777777" w:rsidR="00E02BEF" w:rsidRPr="0088269E" w:rsidRDefault="00E02BEF" w:rsidP="00E671CC">
            <w:pPr>
              <w:pStyle w:val="paragraph"/>
              <w:spacing w:before="0" w:beforeAutospacing="0" w:after="0" w:afterAutospacing="0"/>
              <w:rPr>
                <w:rStyle w:val="normaltextrun"/>
                <w:rFonts w:ascii="Calibri" w:hAnsi="Calibri" w:cs="Calibri"/>
                <w:b/>
                <w:bCs/>
                <w:sz w:val="22"/>
                <w:szCs w:val="22"/>
                <w:lang w:val="en-AU"/>
              </w:rPr>
            </w:pPr>
            <w:r w:rsidRPr="0088269E">
              <w:rPr>
                <w:rStyle w:val="normaltextrun"/>
                <w:rFonts w:ascii="Calibri" w:hAnsi="Calibri" w:cs="Calibri"/>
                <w:b/>
                <w:bCs/>
                <w:sz w:val="22"/>
                <w:szCs w:val="22"/>
                <w:lang w:val="en-AU"/>
              </w:rPr>
              <w:t>Stopping criteria and treatment discontinuation</w:t>
            </w:r>
          </w:p>
        </w:tc>
        <w:tc>
          <w:tcPr>
            <w:tcW w:w="7258" w:type="dxa"/>
            <w:gridSpan w:val="5"/>
            <w:tcBorders>
              <w:top w:val="single" w:sz="6" w:space="0" w:color="auto"/>
              <w:left w:val="single" w:sz="6" w:space="0" w:color="auto"/>
              <w:bottom w:val="single" w:sz="6" w:space="0" w:color="auto"/>
              <w:right w:val="single" w:sz="6" w:space="0" w:color="auto"/>
            </w:tcBorders>
            <w:shd w:val="clear" w:color="auto" w:fill="auto"/>
          </w:tcPr>
          <w:p w14:paraId="7ED7D0E5" w14:textId="14F3E246" w:rsidR="00F95F4C" w:rsidRPr="0088269E" w:rsidRDefault="00F95F4C" w:rsidP="00E671CC">
            <w:pPr>
              <w:pStyle w:val="paragraph"/>
              <w:spacing w:before="0" w:beforeAutospacing="0" w:after="0" w:afterAutospacing="0"/>
              <w:jc w:val="both"/>
              <w:textAlignment w:val="baseline"/>
              <w:rPr>
                <w:rStyle w:val="normaltextrun"/>
                <w:rFonts w:ascii="Calibri" w:hAnsi="Calibri" w:cs="Calibri"/>
                <w:sz w:val="22"/>
                <w:szCs w:val="22"/>
                <w:lang w:val="en-AU"/>
              </w:rPr>
            </w:pPr>
            <w:r w:rsidRPr="0088269E">
              <w:rPr>
                <w:rStyle w:val="normaltextrun"/>
                <w:rFonts w:ascii="Calibri" w:hAnsi="Calibri" w:cs="Calibri"/>
                <w:sz w:val="22"/>
                <w:szCs w:val="22"/>
                <w:lang w:val="en-AU"/>
              </w:rPr>
              <w:t xml:space="preserve">Patient intolerance or if adjusted serum calcium &lt; 2.4mmol/L on minimum cinacalcet dose – discuss with specialist. </w:t>
            </w:r>
          </w:p>
          <w:p w14:paraId="20BC0917" w14:textId="751A78EB" w:rsidR="00E02BEF" w:rsidRPr="0088269E" w:rsidRDefault="00E02BEF" w:rsidP="00E671CC">
            <w:pPr>
              <w:pStyle w:val="paragraph"/>
              <w:spacing w:before="0" w:beforeAutospacing="0" w:after="0" w:afterAutospacing="0"/>
              <w:jc w:val="both"/>
              <w:textAlignment w:val="baseline"/>
              <w:rPr>
                <w:rStyle w:val="normaltextrun"/>
                <w:rFonts w:ascii="Calibri" w:hAnsi="Calibri" w:cs="Calibri"/>
                <w:i/>
                <w:iCs/>
                <w:sz w:val="22"/>
                <w:szCs w:val="22"/>
                <w:lang w:val="en-AU"/>
              </w:rPr>
            </w:pPr>
          </w:p>
        </w:tc>
      </w:tr>
      <w:tr w:rsidR="00B22880" w:rsidRPr="00B22880" w14:paraId="3A9E8A0A" w14:textId="77777777" w:rsidTr="00775A4F">
        <w:trPr>
          <w:trHeight w:val="300"/>
        </w:trPr>
        <w:tc>
          <w:tcPr>
            <w:tcW w:w="28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35D18B8" w14:textId="77777777" w:rsidR="00E02BEF" w:rsidRPr="0088269E" w:rsidRDefault="00E02BEF" w:rsidP="00E671CC">
            <w:pPr>
              <w:pStyle w:val="paragraph"/>
              <w:spacing w:before="0" w:beforeAutospacing="0" w:after="0" w:afterAutospacing="0"/>
              <w:textAlignment w:val="baseline"/>
              <w:rPr>
                <w:rFonts w:ascii="Calibri" w:hAnsi="Calibri" w:cs="Calibri"/>
                <w:sz w:val="22"/>
                <w:szCs w:val="22"/>
              </w:rPr>
            </w:pPr>
            <w:r w:rsidRPr="0088269E">
              <w:rPr>
                <w:rStyle w:val="normaltextrun"/>
                <w:rFonts w:ascii="Calibri" w:hAnsi="Calibri" w:cs="Calibri"/>
                <w:b/>
                <w:bCs/>
                <w:sz w:val="22"/>
                <w:szCs w:val="22"/>
                <w:lang w:val="en-AU"/>
              </w:rPr>
              <w:t>Baseline monitoring (by specialist)</w:t>
            </w:r>
          </w:p>
        </w:tc>
        <w:tc>
          <w:tcPr>
            <w:tcW w:w="7258" w:type="dxa"/>
            <w:gridSpan w:val="5"/>
            <w:tcBorders>
              <w:top w:val="single" w:sz="6" w:space="0" w:color="auto"/>
              <w:left w:val="single" w:sz="6" w:space="0" w:color="auto"/>
              <w:bottom w:val="single" w:sz="6" w:space="0" w:color="auto"/>
              <w:right w:val="single" w:sz="6" w:space="0" w:color="auto"/>
            </w:tcBorders>
            <w:shd w:val="clear" w:color="auto" w:fill="auto"/>
            <w:hideMark/>
          </w:tcPr>
          <w:p w14:paraId="7589F3C0" w14:textId="77777777" w:rsidR="00E02BEF" w:rsidRPr="0088269E" w:rsidRDefault="00E02BEF" w:rsidP="00E671CC">
            <w:pPr>
              <w:pStyle w:val="paragraph"/>
              <w:spacing w:before="0" w:beforeAutospacing="0" w:after="0" w:afterAutospacing="0"/>
              <w:jc w:val="both"/>
              <w:textAlignment w:val="baseline"/>
              <w:rPr>
                <w:rFonts w:ascii="Calibri" w:hAnsi="Calibri" w:cs="Calibri"/>
                <w:sz w:val="22"/>
                <w:szCs w:val="22"/>
              </w:rPr>
            </w:pPr>
            <w:r w:rsidRPr="0088269E">
              <w:rPr>
                <w:rStyle w:val="normaltextrun"/>
                <w:rFonts w:ascii="Calibri" w:hAnsi="Calibri" w:cs="Calibri"/>
                <w:b/>
                <w:bCs/>
                <w:sz w:val="22"/>
                <w:szCs w:val="22"/>
                <w:u w:val="single"/>
                <w:lang w:val="en-AU"/>
              </w:rPr>
              <w:t>Baseline monitoring:</w:t>
            </w:r>
            <w:r w:rsidRPr="0088269E">
              <w:rPr>
                <w:rStyle w:val="eop"/>
                <w:rFonts w:ascii="Calibri" w:hAnsi="Calibri" w:cs="Calibri"/>
                <w:sz w:val="22"/>
                <w:szCs w:val="22"/>
              </w:rPr>
              <w:t> </w:t>
            </w:r>
          </w:p>
          <w:p w14:paraId="485913B2" w14:textId="139DCB3B" w:rsidR="00E02BEF" w:rsidRPr="0088269E" w:rsidRDefault="00570813" w:rsidP="00E02BEF">
            <w:pPr>
              <w:pStyle w:val="paragraph"/>
              <w:numPr>
                <w:ilvl w:val="0"/>
                <w:numId w:val="18"/>
              </w:numPr>
              <w:spacing w:before="0" w:beforeAutospacing="0" w:after="0" w:afterAutospacing="0"/>
              <w:ind w:left="1080" w:firstLine="0"/>
              <w:jc w:val="both"/>
              <w:textAlignment w:val="baseline"/>
              <w:rPr>
                <w:rStyle w:val="eop"/>
                <w:rFonts w:ascii="Calibri" w:hAnsi="Calibri" w:cs="Calibri"/>
                <w:sz w:val="22"/>
                <w:szCs w:val="22"/>
              </w:rPr>
            </w:pPr>
            <w:r w:rsidRPr="0088269E">
              <w:rPr>
                <w:rStyle w:val="eop"/>
                <w:rFonts w:ascii="Calibri" w:hAnsi="Calibri" w:cs="Calibri"/>
                <w:sz w:val="22"/>
                <w:szCs w:val="22"/>
              </w:rPr>
              <w:t>Vitamin D &gt; 50nmol/L</w:t>
            </w:r>
          </w:p>
          <w:p w14:paraId="4F2C4680" w14:textId="53018D8B" w:rsidR="00CE1FC9" w:rsidRPr="0088269E" w:rsidRDefault="00CE1FC9" w:rsidP="00E02BEF">
            <w:pPr>
              <w:pStyle w:val="paragraph"/>
              <w:numPr>
                <w:ilvl w:val="0"/>
                <w:numId w:val="18"/>
              </w:numPr>
              <w:spacing w:before="0" w:beforeAutospacing="0" w:after="0" w:afterAutospacing="0"/>
              <w:ind w:left="1080" w:firstLine="0"/>
              <w:jc w:val="both"/>
              <w:textAlignment w:val="baseline"/>
              <w:rPr>
                <w:rStyle w:val="eop"/>
                <w:rFonts w:ascii="Calibri" w:hAnsi="Calibri" w:cs="Calibri"/>
                <w:sz w:val="22"/>
                <w:szCs w:val="22"/>
              </w:rPr>
            </w:pPr>
            <w:r w:rsidRPr="000254F5">
              <w:rPr>
                <w:rStyle w:val="eop"/>
                <w:rFonts w:asciiTheme="minorHAnsi" w:hAnsiTheme="minorHAnsi" w:cstheme="minorHAnsi"/>
                <w:sz w:val="22"/>
                <w:szCs w:val="22"/>
              </w:rPr>
              <w:t>P</w:t>
            </w:r>
            <w:r w:rsidR="000254F5" w:rsidRPr="000254F5">
              <w:rPr>
                <w:rStyle w:val="eop"/>
                <w:rFonts w:asciiTheme="minorHAnsi" w:hAnsiTheme="minorHAnsi" w:cstheme="minorHAnsi"/>
                <w:sz w:val="22"/>
                <w:szCs w:val="22"/>
              </w:rPr>
              <w:t>arathyroid hormone (P</w:t>
            </w:r>
            <w:r w:rsidRPr="000254F5">
              <w:rPr>
                <w:rStyle w:val="eop"/>
                <w:rFonts w:asciiTheme="minorHAnsi" w:hAnsiTheme="minorHAnsi" w:cstheme="minorHAnsi"/>
                <w:sz w:val="22"/>
                <w:szCs w:val="22"/>
              </w:rPr>
              <w:t>TH</w:t>
            </w:r>
            <w:r w:rsidR="000254F5" w:rsidRPr="000254F5">
              <w:rPr>
                <w:rStyle w:val="eop"/>
                <w:rFonts w:asciiTheme="minorHAnsi" w:hAnsiTheme="minorHAnsi" w:cstheme="minorHAnsi"/>
                <w:sz w:val="22"/>
                <w:szCs w:val="22"/>
              </w:rPr>
              <w:t>)</w:t>
            </w:r>
            <w:r w:rsidRPr="000254F5">
              <w:rPr>
                <w:rStyle w:val="eop"/>
                <w:rFonts w:asciiTheme="minorHAnsi" w:hAnsiTheme="minorHAnsi" w:cstheme="minorHAnsi"/>
                <w:sz w:val="22"/>
                <w:szCs w:val="22"/>
              </w:rPr>
              <w:t xml:space="preserve"> (</w:t>
            </w:r>
            <w:r w:rsidRPr="0088269E">
              <w:rPr>
                <w:rStyle w:val="eop"/>
                <w:rFonts w:ascii="Calibri" w:hAnsi="Calibri" w:cs="Calibri"/>
                <w:sz w:val="22"/>
                <w:szCs w:val="22"/>
              </w:rPr>
              <w:t>for diagnosis but not for ongoing monitoring)</w:t>
            </w:r>
          </w:p>
          <w:p w14:paraId="5AA44B17" w14:textId="19222777" w:rsidR="00CE1FC9" w:rsidRPr="0088269E" w:rsidRDefault="00CE1FC9" w:rsidP="00E02BEF">
            <w:pPr>
              <w:pStyle w:val="paragraph"/>
              <w:numPr>
                <w:ilvl w:val="0"/>
                <w:numId w:val="18"/>
              </w:numPr>
              <w:spacing w:before="0" w:beforeAutospacing="0" w:after="0" w:afterAutospacing="0"/>
              <w:ind w:left="1080" w:firstLine="0"/>
              <w:jc w:val="both"/>
              <w:textAlignment w:val="baseline"/>
              <w:rPr>
                <w:rStyle w:val="eop"/>
                <w:rFonts w:ascii="Calibri" w:hAnsi="Calibri" w:cs="Calibri"/>
                <w:sz w:val="22"/>
                <w:szCs w:val="22"/>
              </w:rPr>
            </w:pPr>
            <w:r w:rsidRPr="0088269E">
              <w:rPr>
                <w:rStyle w:val="eop"/>
                <w:rFonts w:ascii="Calibri" w:hAnsi="Calibri" w:cs="Calibri"/>
                <w:sz w:val="22"/>
                <w:szCs w:val="22"/>
              </w:rPr>
              <w:t>Bone profile</w:t>
            </w:r>
          </w:p>
          <w:p w14:paraId="151FF67C" w14:textId="296A6F83" w:rsidR="00E02BEF" w:rsidRPr="0088269E" w:rsidRDefault="00CE1FC9" w:rsidP="0088269E">
            <w:pPr>
              <w:pStyle w:val="paragraph"/>
              <w:numPr>
                <w:ilvl w:val="0"/>
                <w:numId w:val="18"/>
              </w:numPr>
              <w:spacing w:before="0" w:beforeAutospacing="0" w:after="0" w:afterAutospacing="0"/>
              <w:ind w:left="1080" w:firstLine="0"/>
              <w:jc w:val="both"/>
              <w:textAlignment w:val="baseline"/>
              <w:rPr>
                <w:rFonts w:ascii="Calibri" w:hAnsi="Calibri" w:cs="Calibri"/>
                <w:sz w:val="22"/>
                <w:szCs w:val="22"/>
              </w:rPr>
            </w:pPr>
            <w:r w:rsidRPr="0088269E">
              <w:rPr>
                <w:rStyle w:val="eop"/>
                <w:rFonts w:ascii="Calibri" w:hAnsi="Calibri" w:cs="Calibri"/>
                <w:sz w:val="22"/>
                <w:szCs w:val="22"/>
              </w:rPr>
              <w:t>Urea and electrolytes</w:t>
            </w:r>
          </w:p>
        </w:tc>
      </w:tr>
      <w:tr w:rsidR="00B525B3" w:rsidRPr="00B22880" w14:paraId="1AB32688" w14:textId="77777777" w:rsidTr="0088269E">
        <w:trPr>
          <w:trHeight w:val="150"/>
        </w:trPr>
        <w:tc>
          <w:tcPr>
            <w:tcW w:w="2867" w:type="dxa"/>
            <w:vMerge w:val="restart"/>
            <w:tcBorders>
              <w:top w:val="single" w:sz="6" w:space="0" w:color="auto"/>
              <w:left w:val="single" w:sz="6" w:space="0" w:color="auto"/>
              <w:right w:val="single" w:sz="6" w:space="0" w:color="auto"/>
            </w:tcBorders>
            <w:shd w:val="clear" w:color="auto" w:fill="FFFFFF" w:themeFill="background1"/>
          </w:tcPr>
          <w:p w14:paraId="540C55FD" w14:textId="77777777" w:rsidR="0005741C" w:rsidRDefault="00B525B3" w:rsidP="00B525B3">
            <w:pPr>
              <w:pStyle w:val="paragraph"/>
              <w:spacing w:before="0" w:beforeAutospacing="0" w:after="0" w:afterAutospacing="0"/>
              <w:textAlignment w:val="baseline"/>
              <w:rPr>
                <w:rStyle w:val="normaltextrun"/>
                <w:rFonts w:ascii="Calibri" w:hAnsi="Calibri" w:cs="Calibri"/>
                <w:b/>
                <w:bCs/>
                <w:sz w:val="22"/>
                <w:szCs w:val="22"/>
                <w:lang w:val="en-AU"/>
              </w:rPr>
            </w:pPr>
            <w:r w:rsidRPr="0088269E">
              <w:rPr>
                <w:rStyle w:val="normaltextrun"/>
                <w:rFonts w:ascii="Calibri" w:hAnsi="Calibri" w:cs="Calibri"/>
                <w:b/>
                <w:bCs/>
                <w:sz w:val="22"/>
                <w:szCs w:val="22"/>
                <w:lang w:val="en-AU"/>
              </w:rPr>
              <w:t xml:space="preserve">Ongoing monitoring </w:t>
            </w:r>
          </w:p>
          <w:p w14:paraId="4FE5F856" w14:textId="147B4702" w:rsidR="00B525B3" w:rsidRPr="0088269E" w:rsidRDefault="00B525B3" w:rsidP="00B525B3">
            <w:pPr>
              <w:pStyle w:val="paragraph"/>
              <w:spacing w:before="0" w:beforeAutospacing="0" w:after="0" w:afterAutospacing="0"/>
              <w:textAlignment w:val="baseline"/>
              <w:rPr>
                <w:rFonts w:ascii="Calibri" w:hAnsi="Calibri" w:cs="Calibri"/>
                <w:sz w:val="22"/>
                <w:szCs w:val="22"/>
              </w:rPr>
            </w:pPr>
            <w:r w:rsidRPr="00404D59">
              <w:rPr>
                <w:rStyle w:val="normaltextrun"/>
                <w:rFonts w:ascii="Calibri" w:hAnsi="Calibri" w:cs="Calibri"/>
                <w:sz w:val="22"/>
                <w:szCs w:val="22"/>
                <w:lang w:val="en-AU"/>
              </w:rPr>
              <w:t>(</w:t>
            </w:r>
            <w:r w:rsidR="00404D59">
              <w:rPr>
                <w:rStyle w:val="normaltextrun"/>
                <w:rFonts w:ascii="Calibri" w:hAnsi="Calibri" w:cs="Calibri"/>
                <w:sz w:val="22"/>
                <w:szCs w:val="22"/>
                <w:lang w:val="en-AU"/>
              </w:rPr>
              <w:t xml:space="preserve">initially </w:t>
            </w:r>
            <w:r w:rsidR="00404D59" w:rsidRPr="00404D59">
              <w:rPr>
                <w:rStyle w:val="normaltextrun"/>
                <w:rFonts w:ascii="Calibri" w:hAnsi="Calibri" w:cs="Calibri"/>
                <w:sz w:val="22"/>
                <w:szCs w:val="22"/>
                <w:lang w:val="en-AU"/>
              </w:rPr>
              <w:t>by specialist</w:t>
            </w:r>
            <w:r w:rsidR="00404D59">
              <w:rPr>
                <w:rStyle w:val="normaltextrun"/>
                <w:rFonts w:ascii="Calibri" w:hAnsi="Calibri" w:cs="Calibri"/>
                <w:sz w:val="22"/>
                <w:szCs w:val="22"/>
                <w:lang w:val="en-AU"/>
              </w:rPr>
              <w:t xml:space="preserve">; in stable patients may be requested to be monitored </w:t>
            </w:r>
            <w:r w:rsidRPr="0005741C">
              <w:rPr>
                <w:rStyle w:val="normaltextrun"/>
                <w:rFonts w:ascii="Calibri" w:hAnsi="Calibri" w:cs="Calibri"/>
                <w:sz w:val="22"/>
                <w:szCs w:val="22"/>
                <w:lang w:val="en-AU"/>
              </w:rPr>
              <w:t>by primary care clinician)</w:t>
            </w:r>
            <w:r w:rsidRPr="0088269E">
              <w:rPr>
                <w:rStyle w:val="eop"/>
                <w:rFonts w:ascii="Calibri" w:hAnsi="Calibri" w:cs="Calibri"/>
                <w:sz w:val="22"/>
                <w:szCs w:val="22"/>
              </w:rPr>
              <w:t> </w:t>
            </w:r>
          </w:p>
          <w:p w14:paraId="6D4CF2F8" w14:textId="7344CE63" w:rsidR="00B525B3" w:rsidRPr="00404D59" w:rsidRDefault="00B525B3" w:rsidP="00B525B3">
            <w:pPr>
              <w:pStyle w:val="paragraph"/>
              <w:spacing w:before="0" w:beforeAutospacing="0" w:after="0" w:afterAutospacing="0"/>
              <w:textAlignment w:val="baseline"/>
              <w:rPr>
                <w:rStyle w:val="normaltextrun"/>
                <w:rFonts w:ascii="Calibri" w:hAnsi="Calibri" w:cs="Calibri"/>
                <w:b/>
                <w:bCs/>
                <w:i/>
                <w:iCs/>
                <w:sz w:val="22"/>
                <w:szCs w:val="22"/>
              </w:rPr>
            </w:pPr>
          </w:p>
        </w:tc>
        <w:tc>
          <w:tcPr>
            <w:tcW w:w="1693" w:type="dxa"/>
            <w:tcBorders>
              <w:top w:val="single" w:sz="6" w:space="0" w:color="auto"/>
              <w:left w:val="single" w:sz="6" w:space="0" w:color="auto"/>
              <w:bottom w:val="single" w:sz="6" w:space="0" w:color="auto"/>
              <w:right w:val="single" w:sz="6" w:space="0" w:color="auto"/>
            </w:tcBorders>
            <w:shd w:val="clear" w:color="auto" w:fill="auto"/>
          </w:tcPr>
          <w:p w14:paraId="68E9B67C" w14:textId="357A026B" w:rsidR="00B525B3" w:rsidRPr="0088269E" w:rsidRDefault="00B525B3" w:rsidP="009D3CF9">
            <w:pPr>
              <w:pStyle w:val="paragraph"/>
              <w:spacing w:before="0" w:beforeAutospacing="0" w:after="0" w:afterAutospacing="0"/>
              <w:jc w:val="center"/>
              <w:textAlignment w:val="baseline"/>
              <w:rPr>
                <w:rStyle w:val="normaltextrun"/>
                <w:rFonts w:ascii="Calibri" w:hAnsi="Calibri" w:cs="Calibri"/>
                <w:b/>
                <w:bCs/>
                <w:sz w:val="22"/>
                <w:szCs w:val="22"/>
                <w:lang w:val="en-AU"/>
              </w:rPr>
            </w:pPr>
            <w:r w:rsidRPr="0088269E">
              <w:rPr>
                <w:rStyle w:val="normaltextrun"/>
                <w:rFonts w:ascii="Calibri" w:hAnsi="Calibri" w:cs="Calibri"/>
                <w:b/>
                <w:bCs/>
                <w:sz w:val="22"/>
                <w:szCs w:val="22"/>
                <w:lang w:val="en-AU"/>
              </w:rPr>
              <w:t>Test</w:t>
            </w:r>
            <w:r w:rsidR="00592337" w:rsidRPr="0088269E">
              <w:rPr>
                <w:rStyle w:val="normaltextrun"/>
                <w:rFonts w:ascii="Calibri" w:hAnsi="Calibri" w:cs="Calibri"/>
                <w:b/>
                <w:bCs/>
                <w:sz w:val="22"/>
                <w:szCs w:val="22"/>
                <w:lang w:val="en-AU"/>
              </w:rPr>
              <w:t>:</w:t>
            </w:r>
          </w:p>
          <w:p w14:paraId="09D5A09A" w14:textId="371A7CEA" w:rsidR="00592337" w:rsidRPr="0088269E" w:rsidRDefault="00592337" w:rsidP="009D3CF9">
            <w:pPr>
              <w:pStyle w:val="paragraph"/>
              <w:spacing w:before="0" w:beforeAutospacing="0" w:after="0" w:afterAutospacing="0"/>
              <w:jc w:val="center"/>
              <w:textAlignment w:val="baseline"/>
              <w:rPr>
                <w:rStyle w:val="normaltextrun"/>
                <w:rFonts w:ascii="Calibri" w:hAnsi="Calibri" w:cs="Calibri"/>
                <w:b/>
                <w:bCs/>
                <w:sz w:val="22"/>
                <w:szCs w:val="22"/>
                <w:u w:val="single"/>
                <w:lang w:val="en-AU"/>
              </w:rPr>
            </w:pPr>
          </w:p>
        </w:tc>
        <w:tc>
          <w:tcPr>
            <w:tcW w:w="2008" w:type="dxa"/>
            <w:gridSpan w:val="2"/>
            <w:tcBorders>
              <w:top w:val="single" w:sz="6" w:space="0" w:color="auto"/>
              <w:left w:val="single" w:sz="6" w:space="0" w:color="auto"/>
              <w:bottom w:val="single" w:sz="6" w:space="0" w:color="auto"/>
              <w:right w:val="single" w:sz="6" w:space="0" w:color="auto"/>
            </w:tcBorders>
            <w:shd w:val="clear" w:color="auto" w:fill="auto"/>
          </w:tcPr>
          <w:p w14:paraId="637EFB93" w14:textId="4BDD3A20" w:rsidR="00B525B3" w:rsidRPr="0088269E" w:rsidRDefault="00B525B3" w:rsidP="009D3CF9">
            <w:pPr>
              <w:pStyle w:val="paragraph"/>
              <w:spacing w:before="0" w:beforeAutospacing="0" w:after="0" w:afterAutospacing="0"/>
              <w:jc w:val="center"/>
              <w:textAlignment w:val="baseline"/>
              <w:rPr>
                <w:rStyle w:val="normaltextrun"/>
                <w:rFonts w:ascii="Calibri" w:hAnsi="Calibri" w:cs="Calibri"/>
                <w:b/>
                <w:bCs/>
                <w:sz w:val="22"/>
                <w:szCs w:val="22"/>
                <w:u w:val="single"/>
                <w:lang w:val="en-AU"/>
              </w:rPr>
            </w:pPr>
            <w:r w:rsidRPr="0088269E">
              <w:rPr>
                <w:rStyle w:val="normaltextrun"/>
                <w:rFonts w:ascii="Calibri" w:hAnsi="Calibri" w:cs="Calibri"/>
                <w:b/>
                <w:bCs/>
                <w:sz w:val="22"/>
                <w:szCs w:val="22"/>
                <w:lang w:val="en-AU"/>
              </w:rPr>
              <w:t>Frequency</w:t>
            </w:r>
          </w:p>
        </w:tc>
        <w:tc>
          <w:tcPr>
            <w:tcW w:w="3557" w:type="dxa"/>
            <w:gridSpan w:val="2"/>
            <w:tcBorders>
              <w:top w:val="single" w:sz="6" w:space="0" w:color="auto"/>
              <w:left w:val="single" w:sz="6" w:space="0" w:color="auto"/>
              <w:bottom w:val="single" w:sz="6" w:space="0" w:color="auto"/>
              <w:right w:val="single" w:sz="6" w:space="0" w:color="auto"/>
            </w:tcBorders>
            <w:shd w:val="clear" w:color="auto" w:fill="auto"/>
          </w:tcPr>
          <w:p w14:paraId="3C120769" w14:textId="010BC46E" w:rsidR="00B525B3" w:rsidRPr="0088269E" w:rsidRDefault="00B525B3" w:rsidP="009D3CF9">
            <w:pPr>
              <w:pStyle w:val="paragraph"/>
              <w:spacing w:before="0" w:beforeAutospacing="0" w:after="0" w:afterAutospacing="0"/>
              <w:jc w:val="center"/>
              <w:textAlignment w:val="baseline"/>
              <w:rPr>
                <w:rStyle w:val="normaltextrun"/>
                <w:rFonts w:ascii="Calibri" w:hAnsi="Calibri" w:cs="Calibri"/>
                <w:b/>
                <w:bCs/>
                <w:sz w:val="22"/>
                <w:szCs w:val="22"/>
                <w:u w:val="single"/>
                <w:lang w:val="en-AU"/>
              </w:rPr>
            </w:pPr>
            <w:r w:rsidRPr="0088269E">
              <w:rPr>
                <w:rStyle w:val="eop"/>
                <w:rFonts w:ascii="Calibri" w:hAnsi="Calibri" w:cs="Calibri"/>
                <w:b/>
                <w:bCs/>
                <w:sz w:val="22"/>
                <w:szCs w:val="22"/>
              </w:rPr>
              <w:t>Action if out of range</w:t>
            </w:r>
          </w:p>
        </w:tc>
      </w:tr>
      <w:tr w:rsidR="00C313C0" w:rsidRPr="00B22880" w14:paraId="130C6B17" w14:textId="77777777" w:rsidTr="0088269E">
        <w:trPr>
          <w:trHeight w:val="150"/>
        </w:trPr>
        <w:tc>
          <w:tcPr>
            <w:tcW w:w="2867" w:type="dxa"/>
            <w:vMerge/>
          </w:tcPr>
          <w:p w14:paraId="74723E43" w14:textId="77777777" w:rsidR="00C313C0" w:rsidRPr="0088269E" w:rsidRDefault="00C313C0" w:rsidP="00C313C0">
            <w:pPr>
              <w:pStyle w:val="paragraph"/>
              <w:spacing w:before="0" w:beforeAutospacing="0" w:after="0" w:afterAutospacing="0"/>
              <w:textAlignment w:val="baseline"/>
              <w:rPr>
                <w:rStyle w:val="normaltextrun"/>
                <w:rFonts w:ascii="Calibri" w:hAnsi="Calibri" w:cs="Calibri"/>
                <w:b/>
                <w:bCs/>
                <w:sz w:val="22"/>
                <w:szCs w:val="22"/>
                <w:lang w:val="en-AU"/>
              </w:rPr>
            </w:pPr>
          </w:p>
        </w:tc>
        <w:tc>
          <w:tcPr>
            <w:tcW w:w="1693" w:type="dxa"/>
            <w:vMerge w:val="restart"/>
            <w:tcBorders>
              <w:top w:val="single" w:sz="6" w:space="0" w:color="auto"/>
              <w:left w:val="single" w:sz="6" w:space="0" w:color="auto"/>
              <w:right w:val="single" w:sz="6" w:space="0" w:color="auto"/>
            </w:tcBorders>
            <w:shd w:val="clear" w:color="auto" w:fill="auto"/>
          </w:tcPr>
          <w:p w14:paraId="60FCDD4B" w14:textId="77777777" w:rsidR="00C313C0" w:rsidRPr="0088269E" w:rsidRDefault="00C313C0" w:rsidP="00C313C0">
            <w:pPr>
              <w:pStyle w:val="paragraph"/>
              <w:spacing w:before="0" w:beforeAutospacing="0" w:after="0" w:afterAutospacing="0"/>
              <w:textAlignment w:val="baseline"/>
              <w:rPr>
                <w:rStyle w:val="normaltextrun"/>
                <w:rFonts w:ascii="Calibri" w:hAnsi="Calibri" w:cs="Calibri"/>
                <w:sz w:val="22"/>
                <w:szCs w:val="22"/>
                <w:lang w:val="en-AU"/>
              </w:rPr>
            </w:pPr>
            <w:r w:rsidRPr="0088269E">
              <w:rPr>
                <w:rStyle w:val="normaltextrun"/>
                <w:rFonts w:ascii="Calibri" w:hAnsi="Calibri" w:cs="Calibri"/>
                <w:sz w:val="22"/>
                <w:szCs w:val="22"/>
                <w:lang w:val="en-AU"/>
              </w:rPr>
              <w:t>Adjusted calcium (mmol/L)</w:t>
            </w:r>
          </w:p>
          <w:p w14:paraId="5DCB74BE" w14:textId="0D5028DF" w:rsidR="00C313C0" w:rsidRPr="0088269E" w:rsidRDefault="00C313C0" w:rsidP="0088269E">
            <w:pPr>
              <w:pStyle w:val="paragraph"/>
              <w:spacing w:before="0" w:beforeAutospacing="0" w:after="0" w:afterAutospacing="0"/>
              <w:textAlignment w:val="baseline"/>
              <w:rPr>
                <w:rStyle w:val="normaltextrun"/>
                <w:rFonts w:ascii="Calibri" w:hAnsi="Calibri" w:cs="Calibri"/>
                <w:sz w:val="22"/>
                <w:szCs w:val="22"/>
                <w:lang w:val="en-AU"/>
              </w:rPr>
            </w:pPr>
          </w:p>
        </w:tc>
        <w:tc>
          <w:tcPr>
            <w:tcW w:w="2008" w:type="dxa"/>
            <w:gridSpan w:val="2"/>
            <w:vMerge w:val="restart"/>
            <w:tcBorders>
              <w:top w:val="single" w:sz="6" w:space="0" w:color="auto"/>
              <w:left w:val="single" w:sz="6" w:space="0" w:color="auto"/>
              <w:right w:val="single" w:sz="6" w:space="0" w:color="auto"/>
            </w:tcBorders>
            <w:shd w:val="clear" w:color="auto" w:fill="auto"/>
          </w:tcPr>
          <w:p w14:paraId="5D22953F" w14:textId="77777777" w:rsidR="00C313C0" w:rsidRPr="0088269E" w:rsidRDefault="00C313C0" w:rsidP="00C313C0">
            <w:pPr>
              <w:pStyle w:val="paragraph"/>
              <w:spacing w:before="0" w:beforeAutospacing="0" w:after="0" w:afterAutospacing="0"/>
              <w:jc w:val="both"/>
              <w:textAlignment w:val="baseline"/>
              <w:rPr>
                <w:rFonts w:ascii="Calibri" w:hAnsi="Calibri" w:cs="Calibri"/>
                <w:sz w:val="22"/>
                <w:szCs w:val="22"/>
              </w:rPr>
            </w:pPr>
            <w:r w:rsidRPr="0088269E">
              <w:rPr>
                <w:rFonts w:ascii="Calibri" w:hAnsi="Calibri" w:cs="Calibri"/>
                <w:sz w:val="22"/>
                <w:szCs w:val="22"/>
              </w:rPr>
              <w:t>3-</w:t>
            </w:r>
            <w:proofErr w:type="gramStart"/>
            <w:r w:rsidRPr="0088269E">
              <w:rPr>
                <w:rFonts w:ascii="Calibri" w:hAnsi="Calibri" w:cs="Calibri"/>
                <w:sz w:val="22"/>
                <w:szCs w:val="22"/>
              </w:rPr>
              <w:t>4  monthly</w:t>
            </w:r>
            <w:proofErr w:type="gramEnd"/>
          </w:p>
          <w:p w14:paraId="77C53ACB" w14:textId="77777777" w:rsidR="00CE1FC9" w:rsidRPr="0088269E" w:rsidRDefault="00CE1FC9" w:rsidP="0088269E">
            <w:pPr>
              <w:pStyle w:val="paragraph"/>
              <w:spacing w:before="0" w:beforeAutospacing="0" w:after="0" w:afterAutospacing="0"/>
              <w:textAlignment w:val="baseline"/>
              <w:rPr>
                <w:rFonts w:ascii="Calibri" w:hAnsi="Calibri" w:cs="Calibri"/>
                <w:sz w:val="22"/>
                <w:szCs w:val="22"/>
              </w:rPr>
            </w:pPr>
          </w:p>
          <w:p w14:paraId="614A8625" w14:textId="40CD871C" w:rsidR="00CE1FC9" w:rsidRPr="0088269E" w:rsidRDefault="00CE1FC9" w:rsidP="0088269E">
            <w:pPr>
              <w:pStyle w:val="paragraph"/>
              <w:spacing w:before="0" w:beforeAutospacing="0" w:after="0" w:afterAutospacing="0"/>
              <w:textAlignment w:val="baseline"/>
              <w:rPr>
                <w:rStyle w:val="normaltextrun"/>
                <w:rFonts w:ascii="Calibri" w:hAnsi="Calibri" w:cs="Calibri"/>
                <w:sz w:val="22"/>
                <w:szCs w:val="22"/>
                <w:lang w:val="en-AU"/>
              </w:rPr>
            </w:pPr>
            <w:r w:rsidRPr="0088269E">
              <w:rPr>
                <w:rFonts w:ascii="Calibri" w:hAnsi="Calibri" w:cs="Calibri"/>
                <w:sz w:val="22"/>
                <w:szCs w:val="22"/>
              </w:rPr>
              <w:t xml:space="preserve">6 monthly for patients with stable serum calcium, as per primary care prescriber discretion </w:t>
            </w:r>
          </w:p>
        </w:tc>
        <w:tc>
          <w:tcPr>
            <w:tcW w:w="3557" w:type="dxa"/>
            <w:gridSpan w:val="2"/>
            <w:tcBorders>
              <w:top w:val="single" w:sz="6" w:space="0" w:color="auto"/>
              <w:left w:val="single" w:sz="6" w:space="0" w:color="auto"/>
              <w:bottom w:val="single" w:sz="6" w:space="0" w:color="auto"/>
              <w:right w:val="single" w:sz="6" w:space="0" w:color="auto"/>
            </w:tcBorders>
            <w:shd w:val="clear" w:color="auto" w:fill="auto"/>
          </w:tcPr>
          <w:p w14:paraId="03093394" w14:textId="2FBD568E" w:rsidR="00C313C0" w:rsidRPr="0088269E" w:rsidRDefault="00C313C0" w:rsidP="00C313C0">
            <w:pPr>
              <w:pStyle w:val="paragraph"/>
              <w:spacing w:before="0" w:beforeAutospacing="0" w:after="0" w:afterAutospacing="0"/>
              <w:jc w:val="both"/>
              <w:textAlignment w:val="baseline"/>
              <w:rPr>
                <w:rStyle w:val="normaltextrun"/>
                <w:rFonts w:ascii="Calibri" w:hAnsi="Calibri" w:cs="Calibri"/>
                <w:sz w:val="22"/>
                <w:szCs w:val="22"/>
                <w:lang w:val="en-AU"/>
              </w:rPr>
            </w:pPr>
            <w:r w:rsidRPr="0088269E">
              <w:rPr>
                <w:rStyle w:val="normaltextrun"/>
                <w:rFonts w:ascii="Calibri" w:hAnsi="Calibri" w:cs="Calibri"/>
                <w:sz w:val="22"/>
                <w:szCs w:val="22"/>
                <w:lang w:val="en-AU"/>
              </w:rPr>
              <w:t xml:space="preserve"> &lt;2.4: </w:t>
            </w:r>
            <w:r w:rsidRPr="0088269E">
              <w:rPr>
                <w:rFonts w:ascii="Calibri" w:hAnsi="Calibri" w:cs="Calibri"/>
                <w:sz w:val="22"/>
                <w:szCs w:val="22"/>
              </w:rPr>
              <w:t>Stop/reduce cinacalcet and request advice from Endocrinologist</w:t>
            </w:r>
          </w:p>
        </w:tc>
      </w:tr>
      <w:tr w:rsidR="00C313C0" w:rsidRPr="00B22880" w14:paraId="2679FD7B" w14:textId="77777777" w:rsidTr="0088269E">
        <w:trPr>
          <w:trHeight w:val="296"/>
        </w:trPr>
        <w:tc>
          <w:tcPr>
            <w:tcW w:w="2867" w:type="dxa"/>
            <w:vMerge/>
          </w:tcPr>
          <w:p w14:paraId="1223AEC5" w14:textId="77777777" w:rsidR="00C313C0" w:rsidRPr="0088269E" w:rsidRDefault="00C313C0" w:rsidP="00C313C0">
            <w:pPr>
              <w:pStyle w:val="paragraph"/>
              <w:spacing w:before="0" w:beforeAutospacing="0" w:after="0" w:afterAutospacing="0"/>
              <w:textAlignment w:val="baseline"/>
              <w:rPr>
                <w:rStyle w:val="normaltextrun"/>
                <w:rFonts w:ascii="Calibri" w:hAnsi="Calibri" w:cs="Calibri"/>
                <w:b/>
                <w:bCs/>
                <w:sz w:val="22"/>
                <w:szCs w:val="22"/>
                <w:lang w:val="en-AU"/>
              </w:rPr>
            </w:pPr>
          </w:p>
        </w:tc>
        <w:tc>
          <w:tcPr>
            <w:tcW w:w="1693" w:type="dxa"/>
            <w:vMerge/>
            <w:tcBorders>
              <w:left w:val="single" w:sz="6" w:space="0" w:color="auto"/>
              <w:right w:val="single" w:sz="6" w:space="0" w:color="auto"/>
            </w:tcBorders>
            <w:shd w:val="clear" w:color="auto" w:fill="auto"/>
          </w:tcPr>
          <w:p w14:paraId="68C18CC6" w14:textId="6CDAF55C" w:rsidR="00C313C0" w:rsidRPr="0088269E" w:rsidRDefault="00C313C0" w:rsidP="00C313C0">
            <w:pPr>
              <w:pStyle w:val="paragraph"/>
              <w:spacing w:before="0" w:beforeAutospacing="0" w:after="0" w:afterAutospacing="0"/>
              <w:jc w:val="both"/>
              <w:textAlignment w:val="baseline"/>
              <w:rPr>
                <w:rStyle w:val="normaltextrun"/>
                <w:rFonts w:ascii="Calibri" w:hAnsi="Calibri" w:cs="Calibri"/>
                <w:sz w:val="22"/>
                <w:szCs w:val="22"/>
                <w:lang w:val="en-AU"/>
              </w:rPr>
            </w:pPr>
          </w:p>
        </w:tc>
        <w:tc>
          <w:tcPr>
            <w:tcW w:w="2008" w:type="dxa"/>
            <w:gridSpan w:val="2"/>
            <w:vMerge/>
            <w:tcBorders>
              <w:left w:val="single" w:sz="6" w:space="0" w:color="auto"/>
              <w:right w:val="single" w:sz="6" w:space="0" w:color="auto"/>
            </w:tcBorders>
            <w:shd w:val="clear" w:color="auto" w:fill="auto"/>
          </w:tcPr>
          <w:p w14:paraId="64426404" w14:textId="77777777" w:rsidR="00C313C0" w:rsidRPr="0088269E" w:rsidRDefault="00C313C0" w:rsidP="00C313C0">
            <w:pPr>
              <w:pStyle w:val="paragraph"/>
              <w:spacing w:before="0" w:beforeAutospacing="0" w:after="0" w:afterAutospacing="0"/>
              <w:jc w:val="both"/>
              <w:textAlignment w:val="baseline"/>
              <w:rPr>
                <w:rStyle w:val="normaltextrun"/>
                <w:rFonts w:ascii="Calibri" w:hAnsi="Calibri" w:cs="Calibri"/>
                <w:sz w:val="22"/>
                <w:szCs w:val="22"/>
                <w:lang w:val="en-AU"/>
              </w:rPr>
            </w:pPr>
          </w:p>
        </w:tc>
        <w:tc>
          <w:tcPr>
            <w:tcW w:w="3557" w:type="dxa"/>
            <w:gridSpan w:val="2"/>
            <w:tcBorders>
              <w:top w:val="single" w:sz="6" w:space="0" w:color="auto"/>
              <w:left w:val="single" w:sz="6" w:space="0" w:color="auto"/>
              <w:bottom w:val="single" w:sz="6" w:space="0" w:color="auto"/>
              <w:right w:val="single" w:sz="6" w:space="0" w:color="auto"/>
            </w:tcBorders>
            <w:shd w:val="clear" w:color="auto" w:fill="auto"/>
          </w:tcPr>
          <w:p w14:paraId="61BDDF47" w14:textId="77777777" w:rsidR="00C313C0" w:rsidRPr="0088269E" w:rsidRDefault="00C313C0" w:rsidP="00C313C0">
            <w:pPr>
              <w:rPr>
                <w:rFonts w:cs="Calibri"/>
                <w:sz w:val="22"/>
                <w:szCs w:val="22"/>
              </w:rPr>
            </w:pPr>
            <w:r w:rsidRPr="0088269E">
              <w:rPr>
                <w:rStyle w:val="normaltextrun"/>
                <w:rFonts w:cs="Calibri"/>
                <w:sz w:val="22"/>
                <w:szCs w:val="22"/>
                <w:lang w:val="en-AU"/>
              </w:rPr>
              <w:t xml:space="preserve">2.4 – 2.7*: </w:t>
            </w:r>
            <w:r w:rsidRPr="0088269E">
              <w:rPr>
                <w:rFonts w:cs="Calibri"/>
                <w:sz w:val="22"/>
                <w:szCs w:val="22"/>
              </w:rPr>
              <w:t>Dose adequate – continue treatment</w:t>
            </w:r>
          </w:p>
          <w:p w14:paraId="7DF476AE" w14:textId="4E2D53AC" w:rsidR="00C313C0" w:rsidRPr="0088269E" w:rsidRDefault="00C313C0" w:rsidP="00C313C0">
            <w:pPr>
              <w:pStyle w:val="paragraph"/>
              <w:spacing w:before="0" w:beforeAutospacing="0" w:after="0" w:afterAutospacing="0"/>
              <w:jc w:val="both"/>
              <w:textAlignment w:val="baseline"/>
              <w:rPr>
                <w:rStyle w:val="normaltextrun"/>
                <w:rFonts w:ascii="Calibri" w:hAnsi="Calibri" w:cs="Calibri"/>
                <w:sz w:val="22"/>
                <w:szCs w:val="22"/>
                <w:lang w:val="en-AU"/>
              </w:rPr>
            </w:pPr>
            <w:r w:rsidRPr="0088269E">
              <w:rPr>
                <w:rFonts w:ascii="Calibri" w:hAnsi="Calibri" w:cs="Calibri"/>
                <w:sz w:val="22"/>
                <w:szCs w:val="22"/>
              </w:rPr>
              <w:t xml:space="preserve">Aim for upper end of </w:t>
            </w:r>
            <w:r w:rsidR="00CE1FC9" w:rsidRPr="0088269E">
              <w:rPr>
                <w:rFonts w:ascii="Calibri" w:hAnsi="Calibri" w:cs="Calibri"/>
                <w:sz w:val="22"/>
                <w:szCs w:val="22"/>
              </w:rPr>
              <w:t xml:space="preserve">serum Ca </w:t>
            </w:r>
            <w:r w:rsidRPr="0088269E">
              <w:rPr>
                <w:rFonts w:ascii="Calibri" w:hAnsi="Calibri" w:cs="Calibri"/>
                <w:sz w:val="22"/>
                <w:szCs w:val="22"/>
              </w:rPr>
              <w:t>range</w:t>
            </w:r>
          </w:p>
        </w:tc>
      </w:tr>
      <w:tr w:rsidR="00C313C0" w:rsidRPr="00B22880" w14:paraId="345187DE" w14:textId="77777777" w:rsidTr="0088269E">
        <w:trPr>
          <w:trHeight w:val="150"/>
        </w:trPr>
        <w:tc>
          <w:tcPr>
            <w:tcW w:w="2867" w:type="dxa"/>
          </w:tcPr>
          <w:p w14:paraId="7CBCAA9B" w14:textId="77777777" w:rsidR="00C313C0" w:rsidRPr="0088269E" w:rsidRDefault="00C313C0" w:rsidP="00C313C0">
            <w:pPr>
              <w:pStyle w:val="paragraph"/>
              <w:spacing w:before="0" w:beforeAutospacing="0" w:after="0" w:afterAutospacing="0"/>
              <w:textAlignment w:val="baseline"/>
              <w:rPr>
                <w:rStyle w:val="normaltextrun"/>
                <w:rFonts w:ascii="Calibri" w:hAnsi="Calibri" w:cs="Calibri"/>
                <w:b/>
                <w:bCs/>
                <w:sz w:val="22"/>
                <w:szCs w:val="22"/>
                <w:lang w:val="en-AU"/>
              </w:rPr>
            </w:pPr>
          </w:p>
        </w:tc>
        <w:tc>
          <w:tcPr>
            <w:tcW w:w="1693" w:type="dxa"/>
            <w:vMerge/>
            <w:tcBorders>
              <w:left w:val="single" w:sz="6" w:space="0" w:color="auto"/>
              <w:bottom w:val="single" w:sz="6" w:space="0" w:color="auto"/>
              <w:right w:val="single" w:sz="6" w:space="0" w:color="auto"/>
            </w:tcBorders>
            <w:shd w:val="clear" w:color="auto" w:fill="auto"/>
          </w:tcPr>
          <w:p w14:paraId="6CE9FB03" w14:textId="2703C455" w:rsidR="00C313C0" w:rsidRPr="0088269E" w:rsidRDefault="00C313C0" w:rsidP="00C313C0">
            <w:pPr>
              <w:pStyle w:val="paragraph"/>
              <w:spacing w:before="0" w:beforeAutospacing="0" w:after="0" w:afterAutospacing="0"/>
              <w:jc w:val="both"/>
              <w:textAlignment w:val="baseline"/>
              <w:rPr>
                <w:rStyle w:val="normaltextrun"/>
                <w:rFonts w:ascii="Calibri" w:hAnsi="Calibri" w:cs="Calibri"/>
                <w:sz w:val="22"/>
                <w:szCs w:val="22"/>
                <w:lang w:val="en-AU"/>
              </w:rPr>
            </w:pPr>
          </w:p>
        </w:tc>
        <w:tc>
          <w:tcPr>
            <w:tcW w:w="2008" w:type="dxa"/>
            <w:gridSpan w:val="2"/>
            <w:vMerge/>
            <w:tcBorders>
              <w:left w:val="single" w:sz="6" w:space="0" w:color="auto"/>
              <w:bottom w:val="single" w:sz="6" w:space="0" w:color="auto"/>
              <w:right w:val="single" w:sz="6" w:space="0" w:color="auto"/>
            </w:tcBorders>
            <w:shd w:val="clear" w:color="auto" w:fill="auto"/>
          </w:tcPr>
          <w:p w14:paraId="674F81EC" w14:textId="77777777" w:rsidR="00C313C0" w:rsidRPr="0088269E" w:rsidRDefault="00C313C0" w:rsidP="00C313C0">
            <w:pPr>
              <w:pStyle w:val="paragraph"/>
              <w:spacing w:before="0" w:beforeAutospacing="0" w:after="0" w:afterAutospacing="0"/>
              <w:jc w:val="both"/>
              <w:textAlignment w:val="baseline"/>
              <w:rPr>
                <w:rStyle w:val="normaltextrun"/>
                <w:rFonts w:ascii="Calibri" w:hAnsi="Calibri" w:cs="Calibri"/>
                <w:sz w:val="22"/>
                <w:szCs w:val="22"/>
                <w:lang w:val="en-AU"/>
              </w:rPr>
            </w:pPr>
          </w:p>
        </w:tc>
        <w:tc>
          <w:tcPr>
            <w:tcW w:w="3557" w:type="dxa"/>
            <w:gridSpan w:val="2"/>
            <w:tcBorders>
              <w:top w:val="single" w:sz="6" w:space="0" w:color="auto"/>
              <w:left w:val="single" w:sz="6" w:space="0" w:color="auto"/>
              <w:bottom w:val="single" w:sz="6" w:space="0" w:color="auto"/>
              <w:right w:val="single" w:sz="6" w:space="0" w:color="auto"/>
            </w:tcBorders>
            <w:shd w:val="clear" w:color="auto" w:fill="auto"/>
          </w:tcPr>
          <w:p w14:paraId="703820DC" w14:textId="4B6D5DE9" w:rsidR="00C313C0" w:rsidRPr="0088269E" w:rsidRDefault="00CE1FC9" w:rsidP="00CE1FC9">
            <w:pPr>
              <w:pStyle w:val="paragraph"/>
              <w:spacing w:before="0" w:beforeAutospacing="0" w:after="0" w:afterAutospacing="0"/>
              <w:jc w:val="both"/>
              <w:textAlignment w:val="baseline"/>
              <w:rPr>
                <w:rStyle w:val="normaltextrun"/>
                <w:rFonts w:ascii="Calibri" w:hAnsi="Calibri" w:cs="Calibri"/>
                <w:sz w:val="22"/>
                <w:szCs w:val="22"/>
                <w:lang w:val="en-AU"/>
              </w:rPr>
            </w:pPr>
            <w:r w:rsidRPr="0088269E">
              <w:rPr>
                <w:rStyle w:val="normaltextrun"/>
                <w:rFonts w:ascii="Calibri" w:hAnsi="Calibri" w:cs="Calibri"/>
                <w:sz w:val="22"/>
                <w:szCs w:val="22"/>
                <w:lang w:val="en-AU"/>
              </w:rPr>
              <w:t>&gt;</w:t>
            </w:r>
            <w:r w:rsidR="00C313C0" w:rsidRPr="0088269E">
              <w:rPr>
                <w:rStyle w:val="normaltextrun"/>
                <w:rFonts w:ascii="Calibri" w:hAnsi="Calibri" w:cs="Calibri"/>
                <w:sz w:val="22"/>
                <w:szCs w:val="22"/>
                <w:lang w:val="en-AU"/>
              </w:rPr>
              <w:t xml:space="preserve">2.7*: </w:t>
            </w:r>
            <w:r w:rsidR="00C313C0" w:rsidRPr="0088269E">
              <w:rPr>
                <w:rFonts w:ascii="Calibri" w:hAnsi="Calibri" w:cs="Calibri"/>
                <w:sz w:val="22"/>
                <w:szCs w:val="22"/>
              </w:rPr>
              <w:t>Consider dose increase or request advice from Endocrinologist</w:t>
            </w:r>
          </w:p>
        </w:tc>
      </w:tr>
      <w:tr w:rsidR="00C313C0" w:rsidRPr="00B22880" w14:paraId="3148BA8F" w14:textId="77777777" w:rsidTr="00775A4F">
        <w:trPr>
          <w:trHeight w:val="150"/>
        </w:trPr>
        <w:tc>
          <w:tcPr>
            <w:tcW w:w="2867" w:type="dxa"/>
          </w:tcPr>
          <w:p w14:paraId="18814E61" w14:textId="77777777" w:rsidR="00C313C0" w:rsidRPr="0088269E" w:rsidRDefault="00C313C0" w:rsidP="00C313C0">
            <w:pPr>
              <w:pStyle w:val="paragraph"/>
              <w:spacing w:before="0" w:beforeAutospacing="0" w:after="0" w:afterAutospacing="0"/>
              <w:textAlignment w:val="baseline"/>
              <w:rPr>
                <w:rStyle w:val="normaltextrun"/>
                <w:rFonts w:ascii="Calibri" w:hAnsi="Calibri" w:cs="Calibri"/>
                <w:b/>
                <w:bCs/>
                <w:sz w:val="22"/>
                <w:szCs w:val="22"/>
                <w:lang w:val="en-AU"/>
              </w:rPr>
            </w:pPr>
          </w:p>
        </w:tc>
        <w:tc>
          <w:tcPr>
            <w:tcW w:w="7258" w:type="dxa"/>
            <w:gridSpan w:val="5"/>
            <w:tcBorders>
              <w:top w:val="single" w:sz="6" w:space="0" w:color="auto"/>
              <w:left w:val="single" w:sz="6" w:space="0" w:color="auto"/>
              <w:bottom w:val="single" w:sz="6" w:space="0" w:color="auto"/>
              <w:right w:val="single" w:sz="6" w:space="0" w:color="auto"/>
            </w:tcBorders>
            <w:shd w:val="clear" w:color="auto" w:fill="auto"/>
          </w:tcPr>
          <w:p w14:paraId="3D763149" w14:textId="7564F33B" w:rsidR="00C313C0" w:rsidRPr="0088269E" w:rsidRDefault="00C313C0" w:rsidP="00C313C0">
            <w:pPr>
              <w:pStyle w:val="NCLBodyText"/>
              <w:rPr>
                <w:rStyle w:val="normaltextrun"/>
                <w:b/>
                <w:bCs/>
              </w:rPr>
            </w:pPr>
            <w:r w:rsidRPr="0088269E">
              <w:t>* The goal of treatment would normally be to reduce the calcium to a level that would no longer cause symptoms to the patient, or certainly no lower than the upper-normal range</w:t>
            </w:r>
            <w:r w:rsidRPr="0088269E">
              <w:rPr>
                <w:b/>
                <w:bCs/>
              </w:rPr>
              <w:t>. Note that in consultation with the endocrinologist, corrected calcium levels of &lt;2.85 may be considered acceptable.</w:t>
            </w:r>
          </w:p>
          <w:p w14:paraId="4AE0E89D" w14:textId="2D0FE9D5" w:rsidR="00C313C0" w:rsidRPr="0088269E" w:rsidRDefault="00C313C0" w:rsidP="0088269E">
            <w:pPr>
              <w:pStyle w:val="NCLBodyText"/>
              <w:rPr>
                <w:rStyle w:val="normaltextrun"/>
              </w:rPr>
            </w:pPr>
          </w:p>
        </w:tc>
      </w:tr>
      <w:tr w:rsidR="00C313C0" w:rsidRPr="00B22880" w14:paraId="23FB3F5E" w14:textId="77777777" w:rsidTr="00775A4F">
        <w:trPr>
          <w:trHeight w:val="300"/>
        </w:trPr>
        <w:tc>
          <w:tcPr>
            <w:tcW w:w="2867" w:type="dxa"/>
            <w:tcBorders>
              <w:top w:val="single" w:sz="6" w:space="0" w:color="auto"/>
              <w:left w:val="single" w:sz="6" w:space="0" w:color="auto"/>
              <w:bottom w:val="single" w:sz="6" w:space="0" w:color="auto"/>
              <w:right w:val="single" w:sz="6" w:space="0" w:color="auto"/>
            </w:tcBorders>
            <w:shd w:val="clear" w:color="auto" w:fill="FFFFFF" w:themeFill="background1"/>
          </w:tcPr>
          <w:p w14:paraId="1EA37C62" w14:textId="77777777" w:rsidR="00C313C0" w:rsidRPr="0088269E" w:rsidRDefault="00C313C0" w:rsidP="00C313C0">
            <w:pPr>
              <w:pStyle w:val="paragraph"/>
              <w:spacing w:before="0" w:beforeAutospacing="0" w:after="0" w:afterAutospacing="0"/>
              <w:textAlignment w:val="baseline"/>
              <w:rPr>
                <w:rStyle w:val="normaltextrun"/>
                <w:rFonts w:ascii="Calibri" w:hAnsi="Calibri" w:cs="Calibri"/>
                <w:b/>
                <w:bCs/>
                <w:sz w:val="22"/>
                <w:szCs w:val="22"/>
                <w:lang w:val="en-AU"/>
              </w:rPr>
            </w:pPr>
            <w:r w:rsidRPr="0088269E">
              <w:rPr>
                <w:rStyle w:val="normaltextrun"/>
                <w:rFonts w:ascii="Calibri" w:hAnsi="Calibri" w:cs="Calibri"/>
                <w:b/>
                <w:bCs/>
                <w:sz w:val="22"/>
                <w:szCs w:val="22"/>
                <w:lang w:val="en-AU"/>
              </w:rPr>
              <w:t xml:space="preserve">Follow up arrangements </w:t>
            </w:r>
          </w:p>
          <w:p w14:paraId="58DBF37E" w14:textId="2172E837" w:rsidR="00C313C0" w:rsidRPr="0088269E" w:rsidRDefault="00C313C0" w:rsidP="00C313C0">
            <w:pPr>
              <w:pStyle w:val="paragraph"/>
              <w:spacing w:before="0" w:beforeAutospacing="0" w:after="0" w:afterAutospacing="0"/>
              <w:textAlignment w:val="baseline"/>
              <w:rPr>
                <w:rStyle w:val="normaltextrun"/>
                <w:rFonts w:ascii="Calibri" w:hAnsi="Calibri" w:cs="Calibri"/>
                <w:b/>
                <w:bCs/>
                <w:sz w:val="22"/>
                <w:szCs w:val="22"/>
                <w:lang w:val="en-AU"/>
              </w:rPr>
            </w:pPr>
          </w:p>
        </w:tc>
        <w:tc>
          <w:tcPr>
            <w:tcW w:w="7258" w:type="dxa"/>
            <w:gridSpan w:val="5"/>
            <w:tcBorders>
              <w:top w:val="single" w:sz="6" w:space="0" w:color="auto"/>
              <w:left w:val="single" w:sz="6" w:space="0" w:color="auto"/>
              <w:bottom w:val="single" w:sz="6" w:space="0" w:color="auto"/>
              <w:right w:val="single" w:sz="6" w:space="0" w:color="auto"/>
            </w:tcBorders>
            <w:shd w:val="clear" w:color="auto" w:fill="auto"/>
          </w:tcPr>
          <w:p w14:paraId="383CEC58" w14:textId="6689F552" w:rsidR="00CE1FC9" w:rsidRPr="0088269E" w:rsidRDefault="00CE1FC9" w:rsidP="00C313C0">
            <w:pPr>
              <w:pStyle w:val="paragraph"/>
              <w:spacing w:before="0" w:beforeAutospacing="0" w:after="0" w:afterAutospacing="0"/>
              <w:jc w:val="both"/>
              <w:textAlignment w:val="baseline"/>
              <w:rPr>
                <w:rFonts w:ascii="Calibri" w:hAnsi="Calibri" w:cs="Calibri"/>
                <w:sz w:val="22"/>
                <w:szCs w:val="22"/>
              </w:rPr>
            </w:pPr>
            <w:r w:rsidRPr="0088269E">
              <w:rPr>
                <w:rFonts w:ascii="Calibri" w:hAnsi="Calibri" w:cs="Calibri"/>
                <w:sz w:val="22"/>
                <w:szCs w:val="22"/>
              </w:rPr>
              <w:t xml:space="preserve">Patients are followed up in specialist clinic annually. Patients stable on long-term treatment and are not surgical candidates for parathyroidectomy may be discharged to primary care. Specialists will always be available for guidance e.g. via Advice and Guidance. </w:t>
            </w:r>
          </w:p>
          <w:p w14:paraId="23C2F5EE" w14:textId="77777777" w:rsidR="00CE1FC9" w:rsidRPr="0088269E" w:rsidRDefault="00CE1FC9" w:rsidP="00C313C0">
            <w:pPr>
              <w:pStyle w:val="paragraph"/>
              <w:spacing w:before="0" w:beforeAutospacing="0" w:after="0" w:afterAutospacing="0"/>
              <w:jc w:val="both"/>
              <w:textAlignment w:val="baseline"/>
              <w:rPr>
                <w:rFonts w:ascii="Calibri" w:hAnsi="Calibri" w:cs="Calibri"/>
                <w:sz w:val="22"/>
                <w:szCs w:val="22"/>
              </w:rPr>
            </w:pPr>
          </w:p>
          <w:p w14:paraId="0919205D" w14:textId="31AEB3B3" w:rsidR="00C313C0" w:rsidRPr="0088269E" w:rsidRDefault="00CE1FC9" w:rsidP="00C313C0">
            <w:pPr>
              <w:pStyle w:val="paragraph"/>
              <w:spacing w:before="0" w:beforeAutospacing="0" w:after="0" w:afterAutospacing="0"/>
              <w:jc w:val="both"/>
              <w:textAlignment w:val="baseline"/>
              <w:rPr>
                <w:rStyle w:val="normaltextrun"/>
                <w:rFonts w:ascii="Calibri" w:hAnsi="Calibri" w:cs="Calibri"/>
                <w:i/>
                <w:iCs/>
                <w:color w:val="0070C0"/>
                <w:sz w:val="22"/>
                <w:szCs w:val="22"/>
                <w:lang w:val="en-AU"/>
              </w:rPr>
            </w:pPr>
            <w:r w:rsidRPr="0088269E">
              <w:rPr>
                <w:rFonts w:ascii="Calibri" w:hAnsi="Calibri" w:cs="Calibri"/>
                <w:sz w:val="22"/>
                <w:szCs w:val="22"/>
              </w:rPr>
              <w:t xml:space="preserve">The specialist may conduct additional investigations as required e.g. Parathyroid hormone (PTH) and Vitamin D </w:t>
            </w:r>
            <w:r w:rsidRPr="0088269E">
              <w:rPr>
                <w:rFonts w:ascii="Calibri" w:hAnsi="Calibri" w:cs="Calibri"/>
                <w:bCs/>
                <w:sz w:val="22"/>
                <w:szCs w:val="22"/>
              </w:rPr>
              <w:t>annually, but variations in PTH levels may not be clinically significant</w:t>
            </w:r>
            <w:r w:rsidRPr="0088269E">
              <w:rPr>
                <w:rFonts w:ascii="Calibri" w:hAnsi="Calibri" w:cs="Calibri"/>
                <w:sz w:val="22"/>
                <w:szCs w:val="22"/>
              </w:rPr>
              <w:t>.</w:t>
            </w:r>
          </w:p>
        </w:tc>
      </w:tr>
      <w:tr w:rsidR="00775A4F" w:rsidRPr="00B22880" w14:paraId="2612D3CE" w14:textId="77777777" w:rsidTr="00915A64">
        <w:trPr>
          <w:trHeight w:val="255"/>
        </w:trPr>
        <w:tc>
          <w:tcPr>
            <w:tcW w:w="2867" w:type="dxa"/>
            <w:vMerge w:val="restart"/>
            <w:tcBorders>
              <w:top w:val="single" w:sz="6" w:space="0" w:color="auto"/>
              <w:left w:val="single" w:sz="6" w:space="0" w:color="auto"/>
              <w:right w:val="single" w:sz="6" w:space="0" w:color="auto"/>
            </w:tcBorders>
            <w:shd w:val="clear" w:color="auto" w:fill="FFFFFF" w:themeFill="background1"/>
            <w:hideMark/>
          </w:tcPr>
          <w:p w14:paraId="36559FFF" w14:textId="77777777" w:rsidR="00775A4F" w:rsidRPr="0088269E" w:rsidRDefault="00775A4F" w:rsidP="00C313C0">
            <w:pPr>
              <w:pStyle w:val="paragraph"/>
              <w:spacing w:before="0" w:beforeAutospacing="0" w:after="0" w:afterAutospacing="0"/>
              <w:textAlignment w:val="baseline"/>
              <w:rPr>
                <w:rFonts w:ascii="Calibri" w:hAnsi="Calibri" w:cs="Calibri"/>
                <w:sz w:val="22"/>
                <w:szCs w:val="22"/>
              </w:rPr>
            </w:pPr>
            <w:r w:rsidRPr="0088269E">
              <w:rPr>
                <w:rStyle w:val="normaltextrun"/>
                <w:rFonts w:ascii="Calibri" w:hAnsi="Calibri" w:cs="Calibri"/>
                <w:b/>
                <w:bCs/>
                <w:sz w:val="22"/>
                <w:szCs w:val="22"/>
                <w:lang w:val="en-AU"/>
              </w:rPr>
              <w:t>Adverse effects and management</w:t>
            </w:r>
            <w:r w:rsidRPr="0088269E">
              <w:rPr>
                <w:rStyle w:val="eop"/>
                <w:rFonts w:ascii="Calibri" w:hAnsi="Calibri" w:cs="Calibri"/>
                <w:sz w:val="22"/>
                <w:szCs w:val="22"/>
              </w:rPr>
              <w:t> </w:t>
            </w:r>
          </w:p>
          <w:p w14:paraId="0DE7DBDF" w14:textId="77777777" w:rsidR="00775A4F" w:rsidRPr="0088269E" w:rsidRDefault="00775A4F" w:rsidP="00C313C0">
            <w:pPr>
              <w:pStyle w:val="paragraph"/>
              <w:spacing w:before="0" w:beforeAutospacing="0" w:after="0" w:afterAutospacing="0"/>
              <w:textAlignment w:val="baseline"/>
              <w:rPr>
                <w:rFonts w:ascii="Calibri" w:hAnsi="Calibri" w:cs="Calibri"/>
                <w:sz w:val="22"/>
                <w:szCs w:val="22"/>
              </w:rPr>
            </w:pPr>
            <w:r w:rsidRPr="0088269E">
              <w:rPr>
                <w:rStyle w:val="eop"/>
                <w:rFonts w:ascii="Calibri" w:hAnsi="Calibri" w:cs="Calibri"/>
                <w:sz w:val="22"/>
                <w:szCs w:val="22"/>
              </w:rPr>
              <w:t> </w:t>
            </w:r>
          </w:p>
          <w:p w14:paraId="12EAB283" w14:textId="1DF9B2EE" w:rsidR="00775A4F" w:rsidRPr="0088269E" w:rsidRDefault="00775A4F" w:rsidP="00C313C0">
            <w:pPr>
              <w:pStyle w:val="Default"/>
              <w:rPr>
                <w:rFonts w:ascii="Calibri" w:eastAsia="Calibri" w:hAnsi="Calibri" w:cs="Calibri"/>
                <w:color w:val="000000" w:themeColor="text1"/>
                <w:sz w:val="22"/>
                <w:szCs w:val="22"/>
              </w:rPr>
            </w:pPr>
            <w:r w:rsidRPr="0088269E">
              <w:rPr>
                <w:rFonts w:ascii="Calibri" w:hAnsi="Calibri" w:cs="Calibri"/>
                <w:color w:val="auto"/>
                <w:sz w:val="22"/>
                <w:szCs w:val="22"/>
              </w:rPr>
              <w:t xml:space="preserve">For a full list of adverse effects, please refer to the </w:t>
            </w:r>
            <w:r w:rsidRPr="0088269E">
              <w:rPr>
                <w:rFonts w:ascii="Calibri" w:eastAsia="Calibri" w:hAnsi="Calibri" w:cs="Calibri"/>
                <w:color w:val="000000" w:themeColor="text1"/>
                <w:sz w:val="22"/>
                <w:szCs w:val="22"/>
              </w:rPr>
              <w:t xml:space="preserve">(link: </w:t>
            </w:r>
            <w:hyperlink r:id="rId18" w:history="1">
              <w:r w:rsidRPr="0088269E">
                <w:rPr>
                  <w:rStyle w:val="Hyperlink"/>
                  <w:rFonts w:ascii="Calibri" w:hAnsi="Calibri" w:cs="Calibri"/>
                  <w:sz w:val="22"/>
                  <w:szCs w:val="22"/>
                </w:rPr>
                <w:t>BNF</w:t>
              </w:r>
            </w:hyperlink>
            <w:r w:rsidRPr="0088269E">
              <w:rPr>
                <w:rFonts w:ascii="Calibri" w:eastAsia="Calibri" w:hAnsi="Calibri" w:cs="Calibri"/>
                <w:color w:val="000000" w:themeColor="text1"/>
                <w:sz w:val="22"/>
                <w:szCs w:val="22"/>
              </w:rPr>
              <w:t xml:space="preserve"> &amp; </w:t>
            </w:r>
            <w:hyperlink r:id="rId19" w:history="1">
              <w:r w:rsidRPr="0088269E">
                <w:rPr>
                  <w:rStyle w:val="Hyperlink"/>
                  <w:rFonts w:ascii="Calibri" w:hAnsi="Calibri" w:cs="Calibri"/>
                  <w:sz w:val="22"/>
                  <w:szCs w:val="22"/>
                </w:rPr>
                <w:t>SPC</w:t>
              </w:r>
            </w:hyperlink>
            <w:r w:rsidRPr="0088269E">
              <w:rPr>
                <w:rFonts w:ascii="Calibri" w:eastAsia="Calibri" w:hAnsi="Calibri" w:cs="Calibri"/>
                <w:color w:val="000000" w:themeColor="text1"/>
                <w:sz w:val="22"/>
                <w:szCs w:val="22"/>
              </w:rPr>
              <w:t>)</w:t>
            </w:r>
          </w:p>
          <w:p w14:paraId="50CEFD6B" w14:textId="77777777" w:rsidR="00775A4F" w:rsidRPr="0088269E" w:rsidRDefault="00775A4F" w:rsidP="00C313C0">
            <w:pPr>
              <w:pStyle w:val="Default"/>
              <w:rPr>
                <w:rFonts w:ascii="Calibri" w:hAnsi="Calibri" w:cs="Calibri"/>
                <w:sz w:val="22"/>
                <w:szCs w:val="22"/>
              </w:rPr>
            </w:pPr>
          </w:p>
          <w:p w14:paraId="2FDCC3B2" w14:textId="77777777" w:rsidR="00775A4F" w:rsidRPr="0088269E" w:rsidRDefault="00775A4F" w:rsidP="00C313C0">
            <w:pPr>
              <w:pStyle w:val="Default"/>
              <w:rPr>
                <w:rFonts w:ascii="Calibri" w:hAnsi="Calibri" w:cs="Calibri"/>
                <w:sz w:val="22"/>
                <w:szCs w:val="22"/>
              </w:rPr>
            </w:pPr>
            <w:r w:rsidRPr="0088269E">
              <w:rPr>
                <w:rStyle w:val="normaltextrun"/>
                <w:rFonts w:ascii="Calibri" w:hAnsi="Calibri" w:cs="Calibri"/>
                <w:sz w:val="22"/>
                <w:szCs w:val="22"/>
                <w:shd w:val="clear" w:color="auto" w:fill="FFFFFF"/>
              </w:rPr>
              <w:t xml:space="preserve">Healthcare professionals are asked to report any suspected adverse reactions to the MHRA via the </w:t>
            </w:r>
            <w:r w:rsidRPr="0088269E">
              <w:rPr>
                <w:rStyle w:val="normaltextrun"/>
                <w:rFonts w:ascii="Calibri" w:hAnsi="Calibri" w:cs="Calibri"/>
                <w:color w:val="0000FF"/>
                <w:sz w:val="22"/>
                <w:szCs w:val="22"/>
                <w:u w:val="single"/>
                <w:shd w:val="clear" w:color="auto" w:fill="FFFFFF"/>
              </w:rPr>
              <w:t>Yellow Card Scheme</w:t>
            </w:r>
            <w:r w:rsidRPr="0088269E">
              <w:rPr>
                <w:rStyle w:val="normaltextrun"/>
                <w:rFonts w:ascii="Calibri" w:hAnsi="Calibri" w:cs="Calibri"/>
                <w:sz w:val="22"/>
                <w:szCs w:val="22"/>
                <w:shd w:val="clear" w:color="auto" w:fill="FFFFFF"/>
              </w:rPr>
              <w:t>.</w:t>
            </w:r>
            <w:r w:rsidRPr="0088269E">
              <w:rPr>
                <w:rStyle w:val="normaltextrun"/>
                <w:rFonts w:ascii="Calibri" w:hAnsi="Calibri" w:cs="Calibri"/>
                <w:i/>
                <w:iCs/>
                <w:sz w:val="22"/>
                <w:szCs w:val="22"/>
                <w:shd w:val="clear" w:color="auto" w:fill="FFFFFF"/>
              </w:rPr>
              <w:t> </w:t>
            </w:r>
            <w:r w:rsidRPr="0088269E">
              <w:rPr>
                <w:rStyle w:val="eop"/>
                <w:rFonts w:ascii="Calibri" w:hAnsi="Calibri" w:cs="Calibri"/>
                <w:sz w:val="22"/>
                <w:szCs w:val="22"/>
                <w:shd w:val="clear" w:color="auto" w:fill="FFFFFF"/>
              </w:rPr>
              <w:t> </w:t>
            </w:r>
            <w:r w:rsidRPr="0088269E">
              <w:rPr>
                <w:rFonts w:ascii="Calibri" w:hAnsi="Calibri" w:cs="Calibri"/>
                <w:sz w:val="22"/>
                <w:szCs w:val="22"/>
              </w:rPr>
              <w:t xml:space="preserve"> </w:t>
            </w:r>
          </w:p>
        </w:tc>
        <w:tc>
          <w:tcPr>
            <w:tcW w:w="2655"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434C44A1" w14:textId="31C72B5A" w:rsidR="00775A4F" w:rsidRPr="0088269E" w:rsidRDefault="00775A4F" w:rsidP="00C313C0">
            <w:pPr>
              <w:pStyle w:val="paragraph"/>
              <w:spacing w:before="0" w:beforeAutospacing="0" w:after="0" w:afterAutospacing="0"/>
              <w:jc w:val="center"/>
              <w:textAlignment w:val="baseline"/>
              <w:rPr>
                <w:rFonts w:ascii="Calibri" w:hAnsi="Calibri" w:cs="Calibri"/>
                <w:b/>
                <w:bCs/>
                <w:sz w:val="22"/>
                <w:szCs w:val="22"/>
              </w:rPr>
            </w:pPr>
            <w:r w:rsidRPr="0088269E">
              <w:rPr>
                <w:rFonts w:ascii="Calibri" w:hAnsi="Calibri" w:cs="Calibri"/>
                <w:b/>
                <w:bCs/>
                <w:sz w:val="22"/>
                <w:szCs w:val="22"/>
              </w:rPr>
              <w:t>Adverse effect</w:t>
            </w:r>
            <w:r w:rsidRPr="0088269E">
              <w:rPr>
                <w:rFonts w:ascii="Calibri" w:hAnsi="Calibri" w:cs="Calibri"/>
                <w:sz w:val="22"/>
                <w:szCs w:val="22"/>
              </w:rPr>
              <w:t xml:space="preserve"> </w:t>
            </w:r>
          </w:p>
        </w:tc>
        <w:tc>
          <w:tcPr>
            <w:tcW w:w="2045"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5FF19A78" w14:textId="77777777" w:rsidR="00775A4F" w:rsidRPr="0088269E" w:rsidRDefault="00775A4F" w:rsidP="00C313C0">
            <w:pPr>
              <w:pStyle w:val="paragraph"/>
              <w:spacing w:before="0" w:beforeAutospacing="0" w:after="0" w:afterAutospacing="0"/>
              <w:jc w:val="center"/>
              <w:textAlignment w:val="baseline"/>
              <w:rPr>
                <w:rFonts w:ascii="Calibri" w:hAnsi="Calibri" w:cs="Calibri"/>
                <w:sz w:val="22"/>
                <w:szCs w:val="22"/>
              </w:rPr>
            </w:pPr>
            <w:r w:rsidRPr="0088269E">
              <w:rPr>
                <w:rStyle w:val="normaltextrun"/>
                <w:rFonts w:ascii="Calibri" w:hAnsi="Calibri" w:cs="Calibri"/>
                <w:b/>
                <w:bCs/>
                <w:sz w:val="22"/>
                <w:szCs w:val="22"/>
                <w:lang w:val="en-AU"/>
              </w:rPr>
              <w:t>Frequency</w:t>
            </w:r>
          </w:p>
        </w:tc>
        <w:tc>
          <w:tcPr>
            <w:tcW w:w="255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2BFE075" w14:textId="77777777" w:rsidR="00775A4F" w:rsidRPr="0088269E" w:rsidRDefault="00775A4F" w:rsidP="00C313C0">
            <w:pPr>
              <w:pStyle w:val="paragraph"/>
              <w:spacing w:before="0" w:beforeAutospacing="0" w:after="0" w:afterAutospacing="0"/>
              <w:jc w:val="center"/>
              <w:textAlignment w:val="baseline"/>
              <w:rPr>
                <w:rFonts w:ascii="Calibri" w:hAnsi="Calibri" w:cs="Calibri"/>
                <w:sz w:val="22"/>
                <w:szCs w:val="22"/>
              </w:rPr>
            </w:pPr>
            <w:r w:rsidRPr="0088269E">
              <w:rPr>
                <w:rStyle w:val="normaltextrun"/>
                <w:rFonts w:ascii="Calibri" w:hAnsi="Calibri" w:cs="Calibri"/>
                <w:b/>
                <w:bCs/>
                <w:sz w:val="22"/>
                <w:szCs w:val="22"/>
                <w:lang w:val="en-AU"/>
              </w:rPr>
              <w:t>Action for GP</w:t>
            </w:r>
            <w:r w:rsidRPr="0088269E">
              <w:rPr>
                <w:rStyle w:val="eop"/>
                <w:rFonts w:ascii="Calibri" w:hAnsi="Calibri" w:cs="Calibri"/>
                <w:sz w:val="22"/>
                <w:szCs w:val="22"/>
              </w:rPr>
              <w:t> </w:t>
            </w:r>
          </w:p>
        </w:tc>
      </w:tr>
      <w:tr w:rsidR="00775A4F" w:rsidRPr="00B22880" w14:paraId="4DED2398" w14:textId="77777777" w:rsidTr="00915A64">
        <w:trPr>
          <w:trHeight w:val="738"/>
        </w:trPr>
        <w:tc>
          <w:tcPr>
            <w:tcW w:w="2867" w:type="dxa"/>
            <w:vMerge/>
            <w:tcBorders>
              <w:left w:val="single" w:sz="6" w:space="0" w:color="auto"/>
              <w:right w:val="single" w:sz="6" w:space="0" w:color="auto"/>
            </w:tcBorders>
            <w:vAlign w:val="center"/>
          </w:tcPr>
          <w:p w14:paraId="2B79E011" w14:textId="77777777" w:rsidR="00775A4F" w:rsidRPr="0088269E" w:rsidRDefault="00775A4F" w:rsidP="00570813">
            <w:pPr>
              <w:rPr>
                <w:rFonts w:cs="Calibri"/>
                <w:sz w:val="22"/>
                <w:szCs w:val="22"/>
              </w:rPr>
            </w:pPr>
          </w:p>
        </w:tc>
        <w:tc>
          <w:tcPr>
            <w:tcW w:w="2655"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9097F65" w14:textId="77777777" w:rsidR="00775A4F" w:rsidRPr="0088269E" w:rsidRDefault="00775A4F" w:rsidP="00570813">
            <w:pPr>
              <w:spacing w:after="0"/>
              <w:rPr>
                <w:rFonts w:cs="Calibri"/>
                <w:color w:val="161616"/>
                <w:sz w:val="22"/>
                <w:szCs w:val="22"/>
                <w:lang w:eastAsia="en-GB"/>
              </w:rPr>
            </w:pPr>
            <w:r w:rsidRPr="0088269E">
              <w:rPr>
                <w:rFonts w:cs="Calibri"/>
                <w:color w:val="161616"/>
                <w:sz w:val="22"/>
                <w:szCs w:val="22"/>
                <w:lang w:eastAsia="en-GB"/>
              </w:rPr>
              <w:t>Worsening heart failure,</w:t>
            </w:r>
          </w:p>
          <w:p w14:paraId="7D95BDEB" w14:textId="4C68F4AC" w:rsidR="00775A4F" w:rsidRPr="0088269E" w:rsidRDefault="00775A4F" w:rsidP="0088269E">
            <w:pPr>
              <w:pStyle w:val="paragraph"/>
              <w:spacing w:before="0" w:beforeAutospacing="0" w:after="0" w:afterAutospacing="0"/>
              <w:textAlignment w:val="baseline"/>
              <w:rPr>
                <w:rStyle w:val="eop"/>
                <w:rFonts w:ascii="Calibri" w:hAnsi="Calibri" w:cs="Calibri"/>
                <w:sz w:val="22"/>
                <w:szCs w:val="22"/>
                <w:lang w:eastAsia="en-US"/>
              </w:rPr>
            </w:pPr>
            <w:r w:rsidRPr="0088269E">
              <w:rPr>
                <w:rFonts w:ascii="Calibri" w:hAnsi="Calibri" w:cs="Calibri"/>
                <w:color w:val="161616"/>
                <w:sz w:val="22"/>
                <w:szCs w:val="22"/>
              </w:rPr>
              <w:t xml:space="preserve">QT </w:t>
            </w:r>
            <w:proofErr w:type="gramStart"/>
            <w:r w:rsidRPr="0088269E">
              <w:rPr>
                <w:rFonts w:ascii="Calibri" w:hAnsi="Calibri" w:cs="Calibri"/>
                <w:color w:val="161616"/>
                <w:sz w:val="22"/>
                <w:szCs w:val="22"/>
              </w:rPr>
              <w:t>prolongation ,and</w:t>
            </w:r>
            <w:proofErr w:type="gramEnd"/>
            <w:r w:rsidRPr="0088269E">
              <w:rPr>
                <w:rFonts w:ascii="Calibri" w:hAnsi="Calibri" w:cs="Calibri"/>
                <w:color w:val="161616"/>
                <w:sz w:val="22"/>
                <w:szCs w:val="22"/>
              </w:rPr>
              <w:t xml:space="preserve"> ventricular arrhythmia secondary to hypocalcaemia</w:t>
            </w:r>
          </w:p>
        </w:tc>
        <w:tc>
          <w:tcPr>
            <w:tcW w:w="2045"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74A3E717" w14:textId="717F400D" w:rsidR="00775A4F" w:rsidRPr="0088269E" w:rsidRDefault="00775A4F" w:rsidP="0088269E">
            <w:pPr>
              <w:pStyle w:val="paragraph"/>
              <w:spacing w:before="0" w:beforeAutospacing="0" w:after="0" w:afterAutospacing="0"/>
              <w:textAlignment w:val="baseline"/>
              <w:rPr>
                <w:rFonts w:ascii="Calibri" w:hAnsi="Calibri" w:cs="Calibri"/>
                <w:sz w:val="22"/>
                <w:szCs w:val="22"/>
              </w:rPr>
            </w:pPr>
            <w:r w:rsidRPr="0088269E">
              <w:rPr>
                <w:rFonts w:ascii="Calibri" w:hAnsi="Calibri" w:cs="Calibri"/>
                <w:sz w:val="22"/>
                <w:szCs w:val="22"/>
              </w:rPr>
              <w:t>Unknown</w:t>
            </w:r>
          </w:p>
        </w:tc>
        <w:tc>
          <w:tcPr>
            <w:tcW w:w="2558" w:type="dxa"/>
            <w:tcBorders>
              <w:top w:val="single" w:sz="6" w:space="0" w:color="auto"/>
              <w:left w:val="single" w:sz="6" w:space="0" w:color="auto"/>
              <w:bottom w:val="single" w:sz="6" w:space="0" w:color="auto"/>
              <w:right w:val="single" w:sz="6" w:space="0" w:color="auto"/>
            </w:tcBorders>
            <w:shd w:val="clear" w:color="auto" w:fill="FFFFFF" w:themeFill="background1"/>
          </w:tcPr>
          <w:p w14:paraId="4EE54DF9" w14:textId="2F1F1523" w:rsidR="00775A4F" w:rsidRPr="0088269E" w:rsidRDefault="00775A4F" w:rsidP="0088269E">
            <w:pPr>
              <w:pStyle w:val="paragraph"/>
              <w:spacing w:before="0" w:beforeAutospacing="0" w:after="0" w:afterAutospacing="0"/>
              <w:textAlignment w:val="baseline"/>
              <w:rPr>
                <w:rStyle w:val="eop"/>
                <w:rFonts w:ascii="Calibri" w:hAnsi="Calibri" w:cs="Calibri"/>
                <w:sz w:val="22"/>
                <w:szCs w:val="22"/>
              </w:rPr>
            </w:pPr>
            <w:r w:rsidRPr="0088269E">
              <w:rPr>
                <w:rFonts w:ascii="Calibri" w:hAnsi="Calibri" w:cs="Calibri"/>
                <w:sz w:val="22"/>
                <w:szCs w:val="22"/>
              </w:rPr>
              <w:t xml:space="preserve">Stop </w:t>
            </w:r>
            <w:r w:rsidR="00404D59">
              <w:rPr>
                <w:rFonts w:ascii="Calibri" w:hAnsi="Calibri" w:cs="Calibri"/>
                <w:sz w:val="22"/>
                <w:szCs w:val="22"/>
              </w:rPr>
              <w:t>c</w:t>
            </w:r>
            <w:r w:rsidRPr="0088269E">
              <w:rPr>
                <w:rFonts w:ascii="Calibri" w:hAnsi="Calibri" w:cs="Calibri"/>
                <w:sz w:val="22"/>
                <w:szCs w:val="22"/>
              </w:rPr>
              <w:t>inacalcet and contact endocrinologist.</w:t>
            </w:r>
          </w:p>
        </w:tc>
      </w:tr>
      <w:tr w:rsidR="00775A4F" w:rsidRPr="00B22880" w14:paraId="6C3C0D04" w14:textId="77777777" w:rsidTr="00915A64">
        <w:trPr>
          <w:trHeight w:val="255"/>
        </w:trPr>
        <w:tc>
          <w:tcPr>
            <w:tcW w:w="2867" w:type="dxa"/>
            <w:vMerge/>
            <w:tcBorders>
              <w:left w:val="single" w:sz="6" w:space="0" w:color="auto"/>
              <w:right w:val="single" w:sz="6" w:space="0" w:color="auto"/>
            </w:tcBorders>
            <w:vAlign w:val="center"/>
          </w:tcPr>
          <w:p w14:paraId="7DD94FF7" w14:textId="77777777" w:rsidR="00775A4F" w:rsidRPr="0088269E" w:rsidRDefault="00775A4F" w:rsidP="00570813">
            <w:pPr>
              <w:rPr>
                <w:rFonts w:cs="Calibri"/>
                <w:sz w:val="22"/>
                <w:szCs w:val="22"/>
              </w:rPr>
            </w:pPr>
          </w:p>
        </w:tc>
        <w:tc>
          <w:tcPr>
            <w:tcW w:w="2655"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73786D88" w14:textId="72AE2E08" w:rsidR="00775A4F" w:rsidRPr="0088269E" w:rsidRDefault="00775A4F" w:rsidP="00570813">
            <w:pPr>
              <w:spacing w:after="0"/>
              <w:rPr>
                <w:rFonts w:cs="Calibri"/>
                <w:color w:val="161616"/>
                <w:sz w:val="22"/>
                <w:szCs w:val="22"/>
                <w:lang w:eastAsia="en-GB"/>
              </w:rPr>
            </w:pPr>
            <w:r w:rsidRPr="0088269E">
              <w:rPr>
                <w:rFonts w:cs="Calibri"/>
                <w:color w:val="161616"/>
                <w:sz w:val="22"/>
                <w:szCs w:val="22"/>
                <w:lang w:eastAsia="en-GB"/>
              </w:rPr>
              <w:t>Gastrointestinal e.g. N</w:t>
            </w:r>
            <w:r w:rsidRPr="0088269E">
              <w:rPr>
                <w:rFonts w:eastAsiaTheme="minorHAnsi" w:cs="Calibri"/>
                <w:color w:val="161616"/>
                <w:sz w:val="22"/>
                <w:szCs w:val="22"/>
                <w:lang w:eastAsia="en-GB"/>
              </w:rPr>
              <w:t xml:space="preserve">ausea, </w:t>
            </w:r>
            <w:r w:rsidRPr="0088269E">
              <w:rPr>
                <w:rFonts w:cs="Calibri"/>
                <w:color w:val="161616"/>
                <w:sz w:val="22"/>
                <w:szCs w:val="22"/>
                <w:lang w:eastAsia="en-GB"/>
              </w:rPr>
              <w:t>vomiting, decreased appetite, dyspepsia</w:t>
            </w:r>
          </w:p>
          <w:p w14:paraId="6E0EF151" w14:textId="77777777" w:rsidR="00775A4F" w:rsidRPr="0088269E" w:rsidRDefault="00775A4F" w:rsidP="00570813">
            <w:pPr>
              <w:spacing w:after="0"/>
              <w:rPr>
                <w:rFonts w:cs="Calibri"/>
                <w:color w:val="161616"/>
                <w:sz w:val="22"/>
                <w:szCs w:val="22"/>
                <w:lang w:eastAsia="en-GB"/>
              </w:rPr>
            </w:pPr>
            <w:r w:rsidRPr="0088269E">
              <w:rPr>
                <w:rFonts w:cs="Calibri"/>
                <w:color w:val="161616"/>
                <w:sz w:val="22"/>
                <w:szCs w:val="22"/>
                <w:lang w:eastAsia="en-GB"/>
              </w:rPr>
              <w:t>Diarrhoea</w:t>
            </w:r>
          </w:p>
          <w:p w14:paraId="4E4C9474" w14:textId="77777777" w:rsidR="00775A4F" w:rsidRPr="0088269E" w:rsidRDefault="00775A4F" w:rsidP="00570813">
            <w:pPr>
              <w:spacing w:after="0"/>
              <w:rPr>
                <w:rFonts w:cs="Calibri"/>
                <w:color w:val="161616"/>
                <w:sz w:val="22"/>
                <w:szCs w:val="22"/>
                <w:lang w:eastAsia="en-GB"/>
              </w:rPr>
            </w:pPr>
            <w:r w:rsidRPr="0088269E">
              <w:rPr>
                <w:rFonts w:cs="Calibri"/>
                <w:color w:val="161616"/>
                <w:sz w:val="22"/>
                <w:szCs w:val="22"/>
                <w:lang w:eastAsia="en-GB"/>
              </w:rPr>
              <w:t>Abdominal pain</w:t>
            </w:r>
          </w:p>
          <w:p w14:paraId="14DDA062" w14:textId="55F6D03C" w:rsidR="00775A4F" w:rsidRPr="0088269E" w:rsidRDefault="00775A4F" w:rsidP="0088269E">
            <w:pPr>
              <w:spacing w:after="0"/>
              <w:rPr>
                <w:rStyle w:val="eop"/>
                <w:rFonts w:cs="Calibri"/>
                <w:color w:val="161616"/>
                <w:sz w:val="22"/>
                <w:szCs w:val="22"/>
                <w:lang w:eastAsia="en-GB"/>
              </w:rPr>
            </w:pPr>
            <w:r w:rsidRPr="0088269E">
              <w:rPr>
                <w:rFonts w:cs="Calibri"/>
                <w:color w:val="161616"/>
                <w:sz w:val="22"/>
                <w:szCs w:val="22"/>
                <w:lang w:eastAsia="en-GB"/>
              </w:rPr>
              <w:t xml:space="preserve">Constipation </w:t>
            </w:r>
          </w:p>
        </w:tc>
        <w:tc>
          <w:tcPr>
            <w:tcW w:w="2045"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155E8793" w14:textId="7E8E148B" w:rsidR="00775A4F" w:rsidRPr="0088269E" w:rsidRDefault="00775A4F" w:rsidP="0088269E">
            <w:pPr>
              <w:pStyle w:val="paragraph"/>
              <w:spacing w:before="0" w:beforeAutospacing="0" w:after="0" w:afterAutospacing="0"/>
              <w:textAlignment w:val="baseline"/>
              <w:rPr>
                <w:rFonts w:ascii="Calibri" w:hAnsi="Calibri" w:cs="Calibri"/>
                <w:sz w:val="22"/>
                <w:szCs w:val="22"/>
              </w:rPr>
            </w:pPr>
            <w:r w:rsidRPr="0088269E">
              <w:rPr>
                <w:rFonts w:ascii="Calibri" w:hAnsi="Calibri" w:cs="Calibri"/>
                <w:sz w:val="22"/>
                <w:szCs w:val="22"/>
              </w:rPr>
              <w:t>Very Common</w:t>
            </w:r>
          </w:p>
        </w:tc>
        <w:tc>
          <w:tcPr>
            <w:tcW w:w="2558" w:type="dxa"/>
            <w:tcBorders>
              <w:top w:val="single" w:sz="6" w:space="0" w:color="auto"/>
              <w:left w:val="single" w:sz="6" w:space="0" w:color="auto"/>
              <w:bottom w:val="single" w:sz="6" w:space="0" w:color="auto"/>
              <w:right w:val="single" w:sz="6" w:space="0" w:color="auto"/>
            </w:tcBorders>
            <w:shd w:val="clear" w:color="auto" w:fill="FFFFFF" w:themeFill="background1"/>
          </w:tcPr>
          <w:p w14:paraId="6683E02D" w14:textId="2BB70658" w:rsidR="00775A4F" w:rsidRPr="0088269E" w:rsidRDefault="00775A4F" w:rsidP="0088269E">
            <w:pPr>
              <w:pStyle w:val="paragraph"/>
              <w:spacing w:before="0" w:beforeAutospacing="0" w:after="0" w:afterAutospacing="0"/>
              <w:textAlignment w:val="baseline"/>
              <w:rPr>
                <w:rStyle w:val="eop"/>
                <w:rFonts w:ascii="Calibri" w:hAnsi="Calibri" w:cs="Calibri"/>
                <w:sz w:val="22"/>
                <w:szCs w:val="22"/>
              </w:rPr>
            </w:pPr>
            <w:r w:rsidRPr="0088269E">
              <w:rPr>
                <w:rFonts w:ascii="Calibri" w:hAnsi="Calibri" w:cs="Calibri"/>
                <w:sz w:val="22"/>
                <w:szCs w:val="22"/>
              </w:rPr>
              <w:t>Symptomatic management, or trial reduced dosage</w:t>
            </w:r>
          </w:p>
        </w:tc>
      </w:tr>
      <w:tr w:rsidR="00775A4F" w:rsidRPr="00B22880" w14:paraId="6FB2000E" w14:textId="77777777" w:rsidTr="00915A64">
        <w:trPr>
          <w:trHeight w:val="255"/>
        </w:trPr>
        <w:tc>
          <w:tcPr>
            <w:tcW w:w="2867" w:type="dxa"/>
            <w:vMerge/>
            <w:tcBorders>
              <w:left w:val="single" w:sz="6" w:space="0" w:color="auto"/>
              <w:right w:val="single" w:sz="6" w:space="0" w:color="auto"/>
            </w:tcBorders>
            <w:vAlign w:val="center"/>
          </w:tcPr>
          <w:p w14:paraId="4FB9BC42" w14:textId="77777777" w:rsidR="00775A4F" w:rsidRPr="0088269E" w:rsidRDefault="00775A4F" w:rsidP="00570813">
            <w:pPr>
              <w:rPr>
                <w:rFonts w:cs="Calibri"/>
                <w:sz w:val="22"/>
                <w:szCs w:val="22"/>
              </w:rPr>
            </w:pPr>
          </w:p>
        </w:tc>
        <w:tc>
          <w:tcPr>
            <w:tcW w:w="2655"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277B1C89" w14:textId="717A898F" w:rsidR="00775A4F" w:rsidRPr="0088269E" w:rsidRDefault="00775A4F" w:rsidP="00570813">
            <w:pPr>
              <w:spacing w:after="0"/>
              <w:rPr>
                <w:rFonts w:cs="Calibri"/>
                <w:color w:val="161616"/>
                <w:sz w:val="22"/>
                <w:szCs w:val="22"/>
                <w:lang w:eastAsia="en-GB"/>
              </w:rPr>
            </w:pPr>
            <w:r w:rsidRPr="0088269E">
              <w:rPr>
                <w:rFonts w:cs="Calibri"/>
                <w:color w:val="161616"/>
                <w:sz w:val="22"/>
                <w:szCs w:val="22"/>
                <w:lang w:eastAsia="en-GB"/>
              </w:rPr>
              <w:t>Hypocalcaemia</w:t>
            </w:r>
          </w:p>
          <w:p w14:paraId="3019A133" w14:textId="7367525E" w:rsidR="00775A4F" w:rsidRPr="0088269E" w:rsidRDefault="00775A4F" w:rsidP="00570813">
            <w:pPr>
              <w:spacing w:after="0"/>
              <w:rPr>
                <w:rFonts w:cs="Calibri"/>
                <w:color w:val="161616"/>
                <w:sz w:val="22"/>
                <w:szCs w:val="22"/>
                <w:lang w:eastAsia="en-GB"/>
              </w:rPr>
            </w:pPr>
            <w:r w:rsidRPr="0088269E">
              <w:rPr>
                <w:rFonts w:cs="Calibri"/>
                <w:color w:val="161616"/>
                <w:sz w:val="22"/>
                <w:szCs w:val="22"/>
                <w:lang w:eastAsia="en-GB"/>
              </w:rPr>
              <w:t>Hyperkalaemia</w:t>
            </w:r>
          </w:p>
          <w:p w14:paraId="624A00D6" w14:textId="77777777" w:rsidR="00775A4F" w:rsidRPr="0088269E" w:rsidRDefault="00775A4F" w:rsidP="00570813">
            <w:pPr>
              <w:spacing w:after="0"/>
              <w:rPr>
                <w:rFonts w:cs="Calibri"/>
                <w:color w:val="161616"/>
                <w:sz w:val="22"/>
                <w:szCs w:val="22"/>
                <w:lang w:eastAsia="en-GB"/>
              </w:rPr>
            </w:pPr>
            <w:r w:rsidRPr="0088269E">
              <w:rPr>
                <w:rFonts w:cs="Calibri"/>
                <w:color w:val="161616"/>
                <w:sz w:val="22"/>
                <w:szCs w:val="22"/>
                <w:lang w:eastAsia="en-GB"/>
              </w:rPr>
              <w:t>Dizziness</w:t>
            </w:r>
          </w:p>
          <w:p w14:paraId="4C0EED61" w14:textId="77777777" w:rsidR="00775A4F" w:rsidRPr="0088269E" w:rsidRDefault="00775A4F" w:rsidP="00570813">
            <w:pPr>
              <w:spacing w:after="0"/>
              <w:rPr>
                <w:rFonts w:cs="Calibri"/>
                <w:color w:val="161616"/>
                <w:sz w:val="22"/>
                <w:szCs w:val="22"/>
                <w:lang w:eastAsia="en-GB"/>
              </w:rPr>
            </w:pPr>
            <w:r w:rsidRPr="0088269E">
              <w:rPr>
                <w:rFonts w:cs="Calibri"/>
                <w:color w:val="161616"/>
                <w:sz w:val="22"/>
                <w:szCs w:val="22"/>
                <w:lang w:eastAsia="en-GB"/>
              </w:rPr>
              <w:t>Paraesthesia</w:t>
            </w:r>
          </w:p>
          <w:p w14:paraId="73B581B2" w14:textId="77777777" w:rsidR="00775A4F" w:rsidRPr="0088269E" w:rsidRDefault="00775A4F" w:rsidP="00570813">
            <w:pPr>
              <w:spacing w:after="0"/>
              <w:rPr>
                <w:rFonts w:cs="Calibri"/>
                <w:color w:val="161616"/>
                <w:sz w:val="22"/>
                <w:szCs w:val="22"/>
                <w:lang w:eastAsia="en-GB"/>
              </w:rPr>
            </w:pPr>
            <w:r w:rsidRPr="0088269E">
              <w:rPr>
                <w:rFonts w:cs="Calibri"/>
                <w:color w:val="161616"/>
                <w:sz w:val="22"/>
                <w:szCs w:val="22"/>
                <w:lang w:eastAsia="en-GB"/>
              </w:rPr>
              <w:t>Asthenia</w:t>
            </w:r>
          </w:p>
          <w:p w14:paraId="237813EF" w14:textId="153D733E" w:rsidR="00775A4F" w:rsidRPr="0088269E" w:rsidRDefault="00775A4F" w:rsidP="0088269E">
            <w:pPr>
              <w:pStyle w:val="paragraph"/>
              <w:spacing w:before="0" w:beforeAutospacing="0" w:after="0" w:afterAutospacing="0"/>
              <w:textAlignment w:val="baseline"/>
              <w:rPr>
                <w:rStyle w:val="eop"/>
                <w:rFonts w:ascii="Calibri" w:hAnsi="Calibri" w:cs="Calibri"/>
                <w:sz w:val="22"/>
                <w:szCs w:val="22"/>
                <w:lang w:eastAsia="en-US"/>
              </w:rPr>
            </w:pPr>
            <w:r w:rsidRPr="0088269E">
              <w:rPr>
                <w:rFonts w:ascii="Calibri" w:hAnsi="Calibri" w:cs="Calibri"/>
                <w:color w:val="161616"/>
                <w:sz w:val="22"/>
                <w:szCs w:val="22"/>
              </w:rPr>
              <w:t>Headache</w:t>
            </w:r>
          </w:p>
        </w:tc>
        <w:tc>
          <w:tcPr>
            <w:tcW w:w="2045"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50A17723" w14:textId="717AC273" w:rsidR="00775A4F" w:rsidRPr="0088269E" w:rsidRDefault="00775A4F" w:rsidP="0088269E">
            <w:pPr>
              <w:pStyle w:val="paragraph"/>
              <w:spacing w:before="0" w:beforeAutospacing="0" w:after="0" w:afterAutospacing="0"/>
              <w:textAlignment w:val="baseline"/>
              <w:rPr>
                <w:rFonts w:ascii="Calibri" w:hAnsi="Calibri" w:cs="Calibri"/>
                <w:sz w:val="22"/>
                <w:szCs w:val="22"/>
              </w:rPr>
            </w:pPr>
            <w:r w:rsidRPr="0088269E">
              <w:rPr>
                <w:rFonts w:ascii="Calibri" w:hAnsi="Calibri" w:cs="Calibri"/>
                <w:sz w:val="22"/>
                <w:szCs w:val="22"/>
              </w:rPr>
              <w:t>Common</w:t>
            </w:r>
          </w:p>
        </w:tc>
        <w:tc>
          <w:tcPr>
            <w:tcW w:w="2558" w:type="dxa"/>
            <w:tcBorders>
              <w:top w:val="single" w:sz="6" w:space="0" w:color="auto"/>
              <w:left w:val="single" w:sz="6" w:space="0" w:color="auto"/>
              <w:bottom w:val="single" w:sz="6" w:space="0" w:color="auto"/>
              <w:right w:val="single" w:sz="6" w:space="0" w:color="auto"/>
            </w:tcBorders>
            <w:shd w:val="clear" w:color="auto" w:fill="FFFFFF" w:themeFill="background1"/>
          </w:tcPr>
          <w:p w14:paraId="5D646636" w14:textId="32DE0D85" w:rsidR="00775A4F" w:rsidRPr="0088269E" w:rsidRDefault="00775A4F" w:rsidP="0088269E">
            <w:pPr>
              <w:pStyle w:val="paragraph"/>
              <w:spacing w:before="0" w:beforeAutospacing="0" w:after="0" w:afterAutospacing="0"/>
              <w:textAlignment w:val="baseline"/>
              <w:rPr>
                <w:rStyle w:val="eop"/>
                <w:rFonts w:ascii="Calibri" w:hAnsi="Calibri" w:cs="Calibri"/>
                <w:sz w:val="22"/>
                <w:szCs w:val="22"/>
              </w:rPr>
            </w:pPr>
            <w:r w:rsidRPr="0088269E">
              <w:rPr>
                <w:rFonts w:ascii="Calibri" w:hAnsi="Calibri" w:cs="Calibri"/>
                <w:sz w:val="22"/>
                <w:szCs w:val="22"/>
              </w:rPr>
              <w:t>Please</w:t>
            </w:r>
            <w:r w:rsidR="00404D59">
              <w:rPr>
                <w:rFonts w:ascii="Calibri" w:hAnsi="Calibri" w:cs="Calibri"/>
                <w:sz w:val="22"/>
                <w:szCs w:val="22"/>
              </w:rPr>
              <w:t xml:space="preserve"> stop cinacalcet, or </w:t>
            </w:r>
            <w:r w:rsidRPr="0088269E">
              <w:rPr>
                <w:rFonts w:ascii="Calibri" w:hAnsi="Calibri" w:cs="Calibri"/>
                <w:sz w:val="22"/>
                <w:szCs w:val="22"/>
              </w:rPr>
              <w:t>reduce dosage</w:t>
            </w:r>
            <w:r w:rsidR="00404D59">
              <w:rPr>
                <w:rFonts w:ascii="Calibri" w:hAnsi="Calibri" w:cs="Calibri"/>
                <w:sz w:val="22"/>
                <w:szCs w:val="22"/>
              </w:rPr>
              <w:t>,</w:t>
            </w:r>
            <w:r w:rsidRPr="0088269E">
              <w:rPr>
                <w:rFonts w:ascii="Calibri" w:hAnsi="Calibri" w:cs="Calibri"/>
                <w:sz w:val="22"/>
                <w:szCs w:val="22"/>
              </w:rPr>
              <w:t xml:space="preserve"> and contact endocrinologist.</w:t>
            </w:r>
          </w:p>
        </w:tc>
      </w:tr>
      <w:tr w:rsidR="00C313C0" w:rsidRPr="00B22880" w14:paraId="6571EC73" w14:textId="77777777" w:rsidTr="00775A4F">
        <w:trPr>
          <w:trHeight w:val="255"/>
        </w:trPr>
        <w:tc>
          <w:tcPr>
            <w:tcW w:w="28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F2A66D4" w14:textId="77777777" w:rsidR="00C313C0" w:rsidRPr="0088269E" w:rsidRDefault="00C313C0" w:rsidP="00C313C0">
            <w:pPr>
              <w:pStyle w:val="paragraph"/>
              <w:spacing w:before="0" w:beforeAutospacing="0" w:after="0" w:afterAutospacing="0"/>
              <w:textAlignment w:val="baseline"/>
              <w:rPr>
                <w:rFonts w:ascii="Calibri" w:hAnsi="Calibri" w:cs="Calibri"/>
                <w:sz w:val="22"/>
                <w:szCs w:val="22"/>
              </w:rPr>
            </w:pPr>
            <w:r w:rsidRPr="0088269E">
              <w:rPr>
                <w:rStyle w:val="normaltextrun"/>
                <w:rFonts w:ascii="Calibri" w:hAnsi="Calibri" w:cs="Calibri"/>
                <w:b/>
                <w:bCs/>
                <w:sz w:val="22"/>
                <w:szCs w:val="22"/>
                <w:lang w:val="en-AU"/>
              </w:rPr>
              <w:t>Advice to patients and carers</w:t>
            </w:r>
            <w:r w:rsidRPr="0088269E">
              <w:rPr>
                <w:rStyle w:val="eop"/>
                <w:rFonts w:ascii="Calibri" w:hAnsi="Calibri" w:cs="Calibri"/>
                <w:sz w:val="22"/>
                <w:szCs w:val="22"/>
              </w:rPr>
              <w:t> </w:t>
            </w:r>
          </w:p>
          <w:p w14:paraId="58B7B52C" w14:textId="77777777" w:rsidR="00C313C0" w:rsidRPr="0088269E" w:rsidRDefault="00C313C0" w:rsidP="00C313C0">
            <w:pPr>
              <w:pStyle w:val="paragraph"/>
              <w:spacing w:before="0" w:beforeAutospacing="0" w:after="0" w:afterAutospacing="0"/>
              <w:textAlignment w:val="baseline"/>
              <w:rPr>
                <w:rFonts w:ascii="Calibri" w:hAnsi="Calibri" w:cs="Calibri"/>
                <w:sz w:val="22"/>
                <w:szCs w:val="22"/>
              </w:rPr>
            </w:pPr>
            <w:r w:rsidRPr="0088269E">
              <w:rPr>
                <w:rStyle w:val="eop"/>
                <w:rFonts w:ascii="Calibri" w:hAnsi="Calibri" w:cs="Calibri"/>
                <w:sz w:val="22"/>
                <w:szCs w:val="22"/>
              </w:rPr>
              <w:t> </w:t>
            </w:r>
          </w:p>
          <w:p w14:paraId="1AAE30E1" w14:textId="77777777" w:rsidR="00C313C0" w:rsidRPr="0088269E" w:rsidRDefault="00C313C0" w:rsidP="00C313C0">
            <w:pPr>
              <w:pStyle w:val="paragraph"/>
              <w:spacing w:before="0" w:beforeAutospacing="0" w:after="0" w:afterAutospacing="0"/>
              <w:textAlignment w:val="baseline"/>
              <w:rPr>
                <w:rFonts w:ascii="Calibri" w:hAnsi="Calibri" w:cs="Calibri"/>
                <w:sz w:val="22"/>
                <w:szCs w:val="22"/>
              </w:rPr>
            </w:pPr>
          </w:p>
        </w:tc>
        <w:tc>
          <w:tcPr>
            <w:tcW w:w="7258" w:type="dxa"/>
            <w:gridSpan w:val="5"/>
            <w:tcBorders>
              <w:top w:val="single" w:sz="6" w:space="0" w:color="auto"/>
              <w:left w:val="single" w:sz="6" w:space="0" w:color="auto"/>
              <w:bottom w:val="single" w:sz="6" w:space="0" w:color="auto"/>
              <w:right w:val="single" w:sz="6" w:space="0" w:color="auto"/>
            </w:tcBorders>
            <w:shd w:val="clear" w:color="auto" w:fill="FFFFFF" w:themeFill="background1"/>
            <w:hideMark/>
          </w:tcPr>
          <w:p w14:paraId="2795DDB0" w14:textId="1DFA193D" w:rsidR="00C313C0" w:rsidRPr="0088269E" w:rsidRDefault="00C313C0" w:rsidP="00C313C0">
            <w:pPr>
              <w:pStyle w:val="paragraph"/>
              <w:spacing w:before="0" w:beforeAutospacing="0" w:after="0" w:afterAutospacing="0"/>
              <w:jc w:val="both"/>
              <w:textAlignment w:val="baseline"/>
              <w:rPr>
                <w:rStyle w:val="normaltextrun"/>
                <w:rFonts w:ascii="Calibri" w:hAnsi="Calibri" w:cs="Calibri"/>
                <w:sz w:val="22"/>
                <w:szCs w:val="22"/>
                <w:lang w:val="en-AU"/>
              </w:rPr>
            </w:pPr>
            <w:r w:rsidRPr="0088269E">
              <w:rPr>
                <w:rStyle w:val="normaltextrun"/>
                <w:rFonts w:ascii="Calibri" w:hAnsi="Calibri" w:cs="Calibri"/>
                <w:sz w:val="22"/>
                <w:szCs w:val="22"/>
                <w:lang w:val="en-AU"/>
              </w:rPr>
              <w:t xml:space="preserve">The patient should be advised to report any of the </w:t>
            </w:r>
            <w:r w:rsidR="00775A4F" w:rsidRPr="0088269E">
              <w:rPr>
                <w:rStyle w:val="normaltextrun"/>
                <w:rFonts w:ascii="Calibri" w:hAnsi="Calibri" w:cs="Calibri"/>
                <w:sz w:val="22"/>
                <w:szCs w:val="22"/>
                <w:lang w:val="en-AU"/>
              </w:rPr>
              <w:t xml:space="preserve">above </w:t>
            </w:r>
            <w:r w:rsidRPr="0088269E">
              <w:rPr>
                <w:rStyle w:val="normaltextrun"/>
                <w:rFonts w:ascii="Calibri" w:hAnsi="Calibri" w:cs="Calibri"/>
                <w:sz w:val="22"/>
                <w:szCs w:val="22"/>
                <w:lang w:val="en-AU"/>
              </w:rPr>
              <w:t>signs or symptoms to their</w:t>
            </w:r>
            <w:r w:rsidR="00775A4F" w:rsidRPr="0088269E">
              <w:rPr>
                <w:rStyle w:val="normaltextrun"/>
                <w:rFonts w:ascii="Calibri" w:hAnsi="Calibri" w:cs="Calibri"/>
                <w:sz w:val="22"/>
                <w:szCs w:val="22"/>
                <w:lang w:val="en-AU"/>
              </w:rPr>
              <w:t xml:space="preserve"> primary care prescribers/specialist </w:t>
            </w:r>
            <w:r w:rsidRPr="0088269E">
              <w:rPr>
                <w:rStyle w:val="normaltextrun"/>
                <w:rFonts w:ascii="Calibri" w:hAnsi="Calibri" w:cs="Calibri"/>
                <w:sz w:val="22"/>
                <w:szCs w:val="22"/>
                <w:lang w:val="en-AU"/>
              </w:rPr>
              <w:t>without delay</w:t>
            </w:r>
            <w:r w:rsidR="00775A4F" w:rsidRPr="0088269E">
              <w:rPr>
                <w:rStyle w:val="normaltextrun"/>
                <w:rFonts w:ascii="Calibri" w:hAnsi="Calibri" w:cs="Calibri"/>
                <w:sz w:val="22"/>
                <w:szCs w:val="22"/>
                <w:lang w:val="en-AU"/>
              </w:rPr>
              <w:t>.</w:t>
            </w:r>
          </w:p>
          <w:p w14:paraId="1779C2B7" w14:textId="1551499E" w:rsidR="00775A4F" w:rsidRPr="0088269E" w:rsidRDefault="00775A4F" w:rsidP="00C313C0">
            <w:pPr>
              <w:pStyle w:val="paragraph"/>
              <w:spacing w:before="0" w:beforeAutospacing="0" w:after="0" w:afterAutospacing="0"/>
              <w:jc w:val="both"/>
              <w:textAlignment w:val="baseline"/>
              <w:rPr>
                <w:rStyle w:val="eop"/>
                <w:rFonts w:ascii="Calibri" w:hAnsi="Calibri" w:cs="Calibri"/>
                <w:sz w:val="22"/>
                <w:szCs w:val="22"/>
                <w:lang w:val="en-AU"/>
              </w:rPr>
            </w:pPr>
            <w:r w:rsidRPr="0088269E">
              <w:rPr>
                <w:rStyle w:val="normaltextrun"/>
                <w:rFonts w:ascii="Calibri" w:hAnsi="Calibri" w:cs="Calibri"/>
                <w:sz w:val="22"/>
                <w:szCs w:val="22"/>
                <w:lang w:val="en-AU"/>
              </w:rPr>
              <w:lastRenderedPageBreak/>
              <w:t>Attend blood tests 3-6 monthly.</w:t>
            </w:r>
          </w:p>
          <w:p w14:paraId="3B667A63" w14:textId="77777777" w:rsidR="00C313C0" w:rsidRPr="0088269E" w:rsidRDefault="00C313C0" w:rsidP="00C313C0">
            <w:pPr>
              <w:pStyle w:val="paragraph"/>
              <w:spacing w:before="0" w:after="0"/>
              <w:jc w:val="both"/>
              <w:textAlignment w:val="baseline"/>
              <w:rPr>
                <w:rFonts w:ascii="Calibri" w:hAnsi="Calibri" w:cs="Calibri"/>
                <w:sz w:val="22"/>
                <w:szCs w:val="22"/>
              </w:rPr>
            </w:pPr>
          </w:p>
        </w:tc>
      </w:tr>
      <w:tr w:rsidR="00C313C0" w:rsidRPr="00B22880" w14:paraId="2F656239" w14:textId="77777777" w:rsidTr="00775A4F">
        <w:trPr>
          <w:trHeight w:val="255"/>
        </w:trPr>
        <w:tc>
          <w:tcPr>
            <w:tcW w:w="286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88D25D" w14:textId="77777777" w:rsidR="00C313C0" w:rsidRPr="0088269E" w:rsidRDefault="00C313C0" w:rsidP="00C313C0">
            <w:pPr>
              <w:pStyle w:val="paragraph"/>
              <w:spacing w:before="0" w:beforeAutospacing="0" w:after="0" w:afterAutospacing="0"/>
              <w:textAlignment w:val="baseline"/>
              <w:rPr>
                <w:rFonts w:ascii="Calibri" w:hAnsi="Calibri" w:cs="Calibri"/>
                <w:sz w:val="22"/>
                <w:szCs w:val="22"/>
              </w:rPr>
            </w:pPr>
            <w:r w:rsidRPr="0088269E">
              <w:rPr>
                <w:rStyle w:val="normaltextrun"/>
                <w:rFonts w:ascii="Calibri" w:hAnsi="Calibri" w:cs="Calibri"/>
                <w:b/>
                <w:bCs/>
                <w:sz w:val="22"/>
                <w:szCs w:val="22"/>
                <w:lang w:val="en-AU"/>
              </w:rPr>
              <w:lastRenderedPageBreak/>
              <w:t>Resources and key references</w:t>
            </w:r>
            <w:r w:rsidRPr="0088269E">
              <w:rPr>
                <w:rStyle w:val="eop"/>
                <w:rFonts w:ascii="Calibri" w:hAnsi="Calibri" w:cs="Calibri"/>
                <w:sz w:val="22"/>
                <w:szCs w:val="22"/>
              </w:rPr>
              <w:t> </w:t>
            </w:r>
          </w:p>
          <w:p w14:paraId="41FB2AC7" w14:textId="77777777" w:rsidR="00C313C0" w:rsidRPr="0088269E" w:rsidRDefault="00C313C0" w:rsidP="00C313C0">
            <w:pPr>
              <w:pStyle w:val="paragraph"/>
              <w:spacing w:before="0" w:beforeAutospacing="0" w:after="0" w:afterAutospacing="0"/>
              <w:textAlignment w:val="baseline"/>
              <w:rPr>
                <w:rFonts w:ascii="Calibri" w:hAnsi="Calibri" w:cs="Calibri"/>
                <w:sz w:val="22"/>
                <w:szCs w:val="22"/>
              </w:rPr>
            </w:pPr>
            <w:r w:rsidRPr="0088269E">
              <w:rPr>
                <w:rStyle w:val="eop"/>
                <w:rFonts w:ascii="Calibri" w:hAnsi="Calibri" w:cs="Calibri"/>
                <w:sz w:val="22"/>
                <w:szCs w:val="22"/>
              </w:rPr>
              <w:t> </w:t>
            </w:r>
          </w:p>
          <w:p w14:paraId="5BA4EAD5" w14:textId="77777777" w:rsidR="00C313C0" w:rsidRPr="0088269E" w:rsidRDefault="00C313C0" w:rsidP="00C313C0">
            <w:pPr>
              <w:pStyle w:val="paragraph"/>
              <w:spacing w:before="0" w:beforeAutospacing="0" w:after="0" w:afterAutospacing="0"/>
              <w:textAlignment w:val="baseline"/>
              <w:rPr>
                <w:rFonts w:ascii="Calibri" w:hAnsi="Calibri" w:cs="Calibri"/>
                <w:sz w:val="22"/>
                <w:szCs w:val="22"/>
              </w:rPr>
            </w:pPr>
            <w:r w:rsidRPr="0088269E">
              <w:rPr>
                <w:rStyle w:val="eop"/>
                <w:rFonts w:ascii="Calibri" w:hAnsi="Calibri" w:cs="Calibri"/>
                <w:sz w:val="22"/>
                <w:szCs w:val="22"/>
              </w:rPr>
              <w:t> </w:t>
            </w:r>
          </w:p>
          <w:p w14:paraId="60D1E5B6" w14:textId="77777777" w:rsidR="00C313C0" w:rsidRPr="0088269E" w:rsidRDefault="00C313C0" w:rsidP="00C313C0">
            <w:pPr>
              <w:pStyle w:val="paragraph"/>
              <w:spacing w:before="0" w:beforeAutospacing="0" w:after="0" w:afterAutospacing="0"/>
              <w:textAlignment w:val="baseline"/>
              <w:rPr>
                <w:rFonts w:ascii="Calibri" w:hAnsi="Calibri" w:cs="Calibri"/>
                <w:sz w:val="22"/>
                <w:szCs w:val="22"/>
              </w:rPr>
            </w:pPr>
            <w:r w:rsidRPr="0088269E">
              <w:rPr>
                <w:rStyle w:val="eop"/>
                <w:rFonts w:ascii="Calibri" w:hAnsi="Calibri" w:cs="Calibri"/>
                <w:sz w:val="22"/>
                <w:szCs w:val="22"/>
              </w:rPr>
              <w:t> </w:t>
            </w:r>
          </w:p>
        </w:tc>
        <w:tc>
          <w:tcPr>
            <w:tcW w:w="7258" w:type="dxa"/>
            <w:gridSpan w:val="5"/>
            <w:tcBorders>
              <w:top w:val="single" w:sz="6" w:space="0" w:color="auto"/>
              <w:left w:val="single" w:sz="6" w:space="0" w:color="auto"/>
              <w:bottom w:val="single" w:sz="6" w:space="0" w:color="auto"/>
              <w:right w:val="single" w:sz="6" w:space="0" w:color="auto"/>
            </w:tcBorders>
            <w:shd w:val="clear" w:color="auto" w:fill="FFFFFF" w:themeFill="background1"/>
            <w:hideMark/>
          </w:tcPr>
          <w:p w14:paraId="79B7EA83" w14:textId="77777777" w:rsidR="00C313C0" w:rsidRPr="0088269E" w:rsidRDefault="00C313C0" w:rsidP="0088269E">
            <w:pPr>
              <w:pStyle w:val="NCLBodyText"/>
              <w:jc w:val="left"/>
            </w:pPr>
            <w:r w:rsidRPr="0088269E">
              <w:rPr>
                <w:rStyle w:val="eop"/>
                <w:color w:val="FF0000"/>
              </w:rPr>
              <w:t> </w:t>
            </w:r>
            <w:r w:rsidRPr="0088269E">
              <w:t xml:space="preserve">Clinical Commissioning Policy: Cinacalcet for complex primary hyperparathyroidism in adults. NHS England: 16034/P July 2016. Available at : </w:t>
            </w:r>
            <w:hyperlink r:id="rId20" w:history="1">
              <w:r w:rsidRPr="0088269E">
                <w:rPr>
                  <w:rStyle w:val="Hyperlink"/>
                </w:rPr>
                <w:t>https://www.england.nhs.uk/wp-content/uploads/2017/06/ccp-cinacalcet-complex-primary-hyperparathyroidism-adults.pdf</w:t>
              </w:r>
            </w:hyperlink>
          </w:p>
          <w:p w14:paraId="1FACA67E" w14:textId="77777777" w:rsidR="00C313C0" w:rsidRPr="0088269E" w:rsidRDefault="00C313C0" w:rsidP="0088269E">
            <w:pPr>
              <w:pStyle w:val="NCLBodyText"/>
              <w:jc w:val="left"/>
            </w:pPr>
          </w:p>
          <w:p w14:paraId="3D7BEFD6" w14:textId="77777777" w:rsidR="00C313C0" w:rsidRPr="0088269E" w:rsidRDefault="00C313C0" w:rsidP="0088269E">
            <w:pPr>
              <w:pStyle w:val="NCLBodyText"/>
              <w:jc w:val="left"/>
              <w:rPr>
                <w:rFonts w:eastAsia="Times New Roman"/>
                <w:shd w:val="clear" w:color="auto" w:fill="FFFFFF"/>
              </w:rPr>
            </w:pPr>
            <w:r w:rsidRPr="0088269E">
              <w:rPr>
                <w:rFonts w:eastAsia="Times New Roman"/>
                <w:shd w:val="clear" w:color="auto" w:fill="FFFFFF"/>
              </w:rPr>
              <w:t xml:space="preserve">Ng CH, Chin YH, Tan MHQ, Ng JX, Yang SP, Kiew JJ, Khoo CM. Cinacalcet and primary hyperparathyroidism: systematic review and meta regression. </w:t>
            </w:r>
            <w:proofErr w:type="spellStart"/>
            <w:r w:rsidRPr="0088269E">
              <w:rPr>
                <w:rFonts w:eastAsia="Times New Roman"/>
                <w:shd w:val="clear" w:color="auto" w:fill="FFFFFF"/>
              </w:rPr>
              <w:t>Endocr</w:t>
            </w:r>
            <w:proofErr w:type="spellEnd"/>
            <w:r w:rsidRPr="0088269E">
              <w:rPr>
                <w:rFonts w:eastAsia="Times New Roman"/>
                <w:shd w:val="clear" w:color="auto" w:fill="FFFFFF"/>
              </w:rPr>
              <w:t xml:space="preserve"> Connect. 2020 Jul;9(7):724-735.</w:t>
            </w:r>
          </w:p>
          <w:p w14:paraId="56ACCA32" w14:textId="77777777" w:rsidR="00C313C0" w:rsidRPr="0088269E" w:rsidRDefault="00C313C0" w:rsidP="0088269E">
            <w:pPr>
              <w:pStyle w:val="NCLBodyText"/>
              <w:jc w:val="left"/>
              <w:rPr>
                <w:rFonts w:eastAsia="Times New Roman"/>
                <w:color w:val="212121"/>
                <w:shd w:val="clear" w:color="auto" w:fill="FFFFFF"/>
              </w:rPr>
            </w:pPr>
          </w:p>
          <w:p w14:paraId="4AF74DEA" w14:textId="4B658BDC" w:rsidR="00C313C0" w:rsidRPr="0088269E" w:rsidRDefault="00C313C0" w:rsidP="0088269E">
            <w:pPr>
              <w:pStyle w:val="NCLBodyText"/>
              <w:jc w:val="left"/>
            </w:pPr>
            <w:r w:rsidRPr="0088269E">
              <w:t xml:space="preserve">Joint Formulary Committee. </w:t>
            </w:r>
            <w:r w:rsidRPr="0088269E">
              <w:rPr>
                <w:i/>
                <w:iCs/>
              </w:rPr>
              <w:t>British National Formulary</w:t>
            </w:r>
            <w:r w:rsidRPr="0088269E">
              <w:t xml:space="preserve">. London: BMJ Group and Pharmaceutical Press. Cinacalcet. Available at </w:t>
            </w:r>
            <w:hyperlink r:id="rId21" w:history="1">
              <w:r w:rsidRPr="0088269E">
                <w:rPr>
                  <w:rStyle w:val="Hyperlink"/>
                </w:rPr>
                <w:t>https://bnf.nice.org.uk/</w:t>
              </w:r>
            </w:hyperlink>
          </w:p>
          <w:p w14:paraId="56907F2C" w14:textId="77777777" w:rsidR="00C313C0" w:rsidRPr="0088269E" w:rsidRDefault="00C313C0" w:rsidP="0088269E">
            <w:pPr>
              <w:pStyle w:val="NCLBodyText"/>
              <w:jc w:val="left"/>
            </w:pPr>
          </w:p>
          <w:p w14:paraId="0C74EBF1" w14:textId="77777777" w:rsidR="00C313C0" w:rsidRPr="0088269E" w:rsidRDefault="00C313C0" w:rsidP="0088269E">
            <w:pPr>
              <w:pStyle w:val="NCLBodyText"/>
              <w:jc w:val="left"/>
            </w:pPr>
            <w:r w:rsidRPr="0088269E">
              <w:t xml:space="preserve">Summary of Product Characteristics – </w:t>
            </w:r>
            <w:proofErr w:type="spellStart"/>
            <w:r w:rsidRPr="0088269E">
              <w:t>Mimpara</w:t>
            </w:r>
            <w:proofErr w:type="spellEnd"/>
            <w:r w:rsidRPr="0088269E">
              <w:t xml:space="preserve"> (cinacalcet). Amgen Ltd. [date of revision of the text Jan 2021]; available at </w:t>
            </w:r>
            <w:hyperlink r:id="rId22" w:anchor="about-medicine" w:history="1">
              <w:r w:rsidRPr="0088269E">
                <w:rPr>
                  <w:rStyle w:val="Hyperlink"/>
                </w:rPr>
                <w:t>https://www.medicines.org.uk/emc/product/5599/smpc#about-medicine</w:t>
              </w:r>
            </w:hyperlink>
          </w:p>
          <w:p w14:paraId="7C8C3F89" w14:textId="77777777" w:rsidR="00C313C0" w:rsidRPr="0088269E" w:rsidRDefault="00C313C0" w:rsidP="0088269E">
            <w:pPr>
              <w:pStyle w:val="NCLBodyText"/>
              <w:jc w:val="left"/>
            </w:pPr>
          </w:p>
          <w:p w14:paraId="2B6E5372" w14:textId="77777777" w:rsidR="00C313C0" w:rsidRPr="0088269E" w:rsidRDefault="00C313C0" w:rsidP="0088269E">
            <w:pPr>
              <w:pStyle w:val="NCLBodyText"/>
              <w:jc w:val="left"/>
            </w:pPr>
            <w:r w:rsidRPr="0088269E">
              <w:t xml:space="preserve">Package Information Leaflet – </w:t>
            </w:r>
            <w:proofErr w:type="spellStart"/>
            <w:r w:rsidRPr="0088269E">
              <w:t>Mimpara</w:t>
            </w:r>
            <w:proofErr w:type="spellEnd"/>
            <w:r w:rsidRPr="0088269E">
              <w:t xml:space="preserve"> (cinacalcet). Amgen Ltd. [date of revision of the text Sept 2021]; available at https://www.medicines.org.uk/emc/files/pil.5599.pdf</w:t>
            </w:r>
          </w:p>
          <w:p w14:paraId="42840CD0" w14:textId="77777777" w:rsidR="00C313C0" w:rsidRPr="0088269E" w:rsidRDefault="00C313C0" w:rsidP="0088269E">
            <w:pPr>
              <w:pStyle w:val="NCLBodyText"/>
              <w:jc w:val="left"/>
            </w:pPr>
          </w:p>
          <w:p w14:paraId="3C8270F3" w14:textId="2B74F0CC" w:rsidR="005E2F41" w:rsidRDefault="00C313C0" w:rsidP="0088269E">
            <w:pPr>
              <w:pStyle w:val="NCLBodyText"/>
              <w:jc w:val="left"/>
              <w:rPr>
                <w:rStyle w:val="Hyperlink"/>
              </w:rPr>
            </w:pPr>
            <w:r w:rsidRPr="0088269E">
              <w:t xml:space="preserve">Patient information leaflet ‘Primary </w:t>
            </w:r>
            <w:proofErr w:type="spellStart"/>
            <w:r w:rsidRPr="0088269E">
              <w:t>Hyperparathryoidism</w:t>
            </w:r>
            <w:proofErr w:type="spellEnd"/>
            <w:r w:rsidRPr="0088269E">
              <w:t xml:space="preserve">’. Parathyroid UK. Available at </w:t>
            </w:r>
            <w:hyperlink r:id="rId23" w:history="1">
              <w:r w:rsidRPr="0088269E">
                <w:rPr>
                  <w:rStyle w:val="Hyperlink"/>
                </w:rPr>
                <w:t>https://parathyroiduk.org/wp-content/uploads/2018/10/Hyperparathyroidism-Leaflet-DL-2-31_10.pdf</w:t>
              </w:r>
            </w:hyperlink>
          </w:p>
          <w:p w14:paraId="6DA9042A" w14:textId="77777777" w:rsidR="005E2F41" w:rsidRDefault="005E2F41" w:rsidP="0088269E">
            <w:pPr>
              <w:pStyle w:val="NCLBodyText"/>
              <w:jc w:val="left"/>
              <w:rPr>
                <w:color w:val="0000FF" w:themeColor="hyperlink"/>
                <w:u w:val="single"/>
              </w:rPr>
            </w:pPr>
          </w:p>
          <w:p w14:paraId="2B8C07F5" w14:textId="7134A3DA" w:rsidR="005E2F41" w:rsidRPr="005E2F41" w:rsidRDefault="005E2F41" w:rsidP="0088269E">
            <w:pPr>
              <w:pStyle w:val="NCLBodyText"/>
              <w:jc w:val="left"/>
              <w:rPr>
                <w:color w:val="0000FF" w:themeColor="hyperlink"/>
                <w:u w:val="single"/>
              </w:rPr>
            </w:pPr>
            <w:r>
              <w:t xml:space="preserve">NICE Clinical Guideline 132: Hyperparathyroidism (primary): diagnosis, </w:t>
            </w:r>
            <w:proofErr w:type="gramStart"/>
            <w:r>
              <w:t>assessment</w:t>
            </w:r>
            <w:proofErr w:type="gramEnd"/>
            <w:r>
              <w:t xml:space="preserve"> and initial management. Available at </w:t>
            </w:r>
            <w:hyperlink r:id="rId24" w:history="1">
              <w:r w:rsidRPr="0075590D">
                <w:rPr>
                  <w:rStyle w:val="Hyperlink"/>
                </w:rPr>
                <w:t>https://www.nice.org.uk/guidance/ng132</w:t>
              </w:r>
            </w:hyperlink>
            <w:r>
              <w:t xml:space="preserve"> </w:t>
            </w:r>
          </w:p>
          <w:p w14:paraId="4758A958" w14:textId="77777777" w:rsidR="00C313C0" w:rsidRPr="0088269E" w:rsidRDefault="00C313C0" w:rsidP="00C313C0">
            <w:pPr>
              <w:pStyle w:val="paragraph"/>
              <w:spacing w:before="0" w:beforeAutospacing="0" w:after="0" w:afterAutospacing="0"/>
              <w:textAlignment w:val="baseline"/>
              <w:rPr>
                <w:rFonts w:ascii="Calibri" w:hAnsi="Calibri" w:cs="Calibri"/>
                <w:sz w:val="22"/>
                <w:szCs w:val="22"/>
              </w:rPr>
            </w:pPr>
          </w:p>
        </w:tc>
      </w:tr>
    </w:tbl>
    <w:p w14:paraId="072175DD" w14:textId="3F85FF93" w:rsidR="00CE49CD" w:rsidRDefault="00CE49CD" w:rsidP="00433776">
      <w:pPr>
        <w:pStyle w:val="NCLBodyText"/>
      </w:pPr>
    </w:p>
    <w:p w14:paraId="32FA7E5D" w14:textId="5591E97B" w:rsidR="00CC34C1" w:rsidRDefault="00CC34C1" w:rsidP="54E3825D">
      <w:pPr>
        <w:pStyle w:val="NCLHeading1"/>
        <w:numPr>
          <w:ilvl w:val="0"/>
          <w:numId w:val="0"/>
        </w:numPr>
      </w:pPr>
      <w:bookmarkStart w:id="0" w:name="_Toc156827848"/>
      <w:r>
        <w:t>Contact Details</w:t>
      </w:r>
      <w:bookmarkEnd w:id="0"/>
    </w:p>
    <w:tbl>
      <w:tblPr>
        <w:tblStyle w:val="TableGrid"/>
        <w:tblW w:w="0" w:type="auto"/>
        <w:tblLook w:val="04A0" w:firstRow="1" w:lastRow="0" w:firstColumn="1" w:lastColumn="0" w:noHBand="0" w:noVBand="1"/>
      </w:tblPr>
      <w:tblGrid>
        <w:gridCol w:w="4662"/>
        <w:gridCol w:w="4660"/>
      </w:tblGrid>
      <w:tr w:rsidR="0052313F" w14:paraId="13803694" w14:textId="77777777" w:rsidTr="0052313F">
        <w:trPr>
          <w:trHeight w:val="300"/>
        </w:trPr>
        <w:tc>
          <w:tcPr>
            <w:tcW w:w="4662" w:type="dxa"/>
          </w:tcPr>
          <w:p w14:paraId="60720784" w14:textId="33B39D97" w:rsidR="0052313F" w:rsidRPr="0088269E" w:rsidRDefault="00C313C0" w:rsidP="00E671CC">
            <w:pPr>
              <w:ind w:left="-20" w:right="-20"/>
              <w:rPr>
                <w:sz w:val="22"/>
                <w:szCs w:val="22"/>
              </w:rPr>
            </w:pPr>
            <w:r w:rsidRPr="0088269E">
              <w:rPr>
                <w:rFonts w:eastAsia="Calibri" w:cs="Calibri"/>
                <w:sz w:val="22"/>
                <w:szCs w:val="22"/>
              </w:rPr>
              <w:t>North Middlesex University Hospital NHS Trust</w:t>
            </w:r>
          </w:p>
        </w:tc>
        <w:tc>
          <w:tcPr>
            <w:tcW w:w="4660" w:type="dxa"/>
          </w:tcPr>
          <w:p w14:paraId="75702E06" w14:textId="0FFC5410" w:rsidR="00570813" w:rsidRPr="00570813" w:rsidRDefault="00570813" w:rsidP="00C313C0">
            <w:pPr>
              <w:spacing w:after="0" w:line="276" w:lineRule="auto"/>
              <w:ind w:right="-20"/>
              <w:rPr>
                <w:rFonts w:asciiTheme="minorHAnsi" w:eastAsia="Calibri" w:hAnsiTheme="minorHAnsi" w:cstheme="minorHAnsi"/>
                <w:sz w:val="22"/>
                <w:szCs w:val="22"/>
              </w:rPr>
            </w:pPr>
            <w:r w:rsidRPr="00570813">
              <w:rPr>
                <w:rFonts w:asciiTheme="minorHAnsi" w:eastAsia="Calibri" w:hAnsiTheme="minorHAnsi" w:cstheme="minorHAnsi"/>
                <w:sz w:val="22"/>
                <w:szCs w:val="22"/>
              </w:rPr>
              <w:t xml:space="preserve">NMUH Trust Switchboard: </w:t>
            </w:r>
          </w:p>
          <w:p w14:paraId="1F6AB9B3" w14:textId="77777777" w:rsidR="00570813" w:rsidRPr="0088269E" w:rsidRDefault="00570813" w:rsidP="00C313C0">
            <w:pPr>
              <w:spacing w:after="0" w:line="276" w:lineRule="auto"/>
              <w:ind w:right="-20"/>
              <w:rPr>
                <w:sz w:val="22"/>
                <w:szCs w:val="22"/>
              </w:rPr>
            </w:pPr>
            <w:r w:rsidRPr="0088269E">
              <w:rPr>
                <w:sz w:val="22"/>
                <w:szCs w:val="22"/>
              </w:rPr>
              <w:t xml:space="preserve">020 887 7000 </w:t>
            </w:r>
          </w:p>
          <w:p w14:paraId="7561B039" w14:textId="77777777" w:rsidR="00570813" w:rsidRPr="0088269E" w:rsidRDefault="00570813" w:rsidP="00C313C0">
            <w:pPr>
              <w:spacing w:after="0" w:line="276" w:lineRule="auto"/>
              <w:ind w:right="-20"/>
              <w:rPr>
                <w:sz w:val="22"/>
                <w:szCs w:val="22"/>
              </w:rPr>
            </w:pPr>
          </w:p>
          <w:p w14:paraId="63047FA6" w14:textId="2047136A" w:rsidR="00570813" w:rsidRPr="00570813" w:rsidRDefault="00570813" w:rsidP="00C313C0">
            <w:pPr>
              <w:spacing w:after="0" w:line="276" w:lineRule="auto"/>
              <w:ind w:right="-20"/>
              <w:rPr>
                <w:rFonts w:asciiTheme="minorHAnsi" w:eastAsia="Calibri" w:hAnsiTheme="minorHAnsi" w:cstheme="minorHAnsi"/>
                <w:sz w:val="22"/>
                <w:szCs w:val="22"/>
              </w:rPr>
            </w:pPr>
            <w:r w:rsidRPr="0088269E">
              <w:rPr>
                <w:sz w:val="22"/>
                <w:szCs w:val="22"/>
              </w:rPr>
              <w:t>Endocrinology consultant: #6699</w:t>
            </w:r>
          </w:p>
          <w:p w14:paraId="33B037D2" w14:textId="77777777" w:rsidR="00570813" w:rsidRPr="00570813" w:rsidRDefault="00570813" w:rsidP="00C313C0">
            <w:pPr>
              <w:spacing w:after="0" w:line="276" w:lineRule="auto"/>
              <w:ind w:right="-20"/>
              <w:rPr>
                <w:rFonts w:asciiTheme="minorHAnsi" w:eastAsia="Calibri" w:hAnsiTheme="minorHAnsi" w:cstheme="minorHAnsi"/>
                <w:sz w:val="22"/>
                <w:szCs w:val="22"/>
              </w:rPr>
            </w:pPr>
          </w:p>
          <w:p w14:paraId="3F3DB115" w14:textId="0CB16A72" w:rsidR="00C313C0" w:rsidRPr="00570813" w:rsidRDefault="00C313C0" w:rsidP="00C313C0">
            <w:pPr>
              <w:spacing w:after="0" w:line="276" w:lineRule="auto"/>
              <w:ind w:right="-20"/>
              <w:rPr>
                <w:rFonts w:asciiTheme="minorHAnsi" w:eastAsiaTheme="majorEastAsia" w:hAnsiTheme="minorHAnsi" w:cstheme="minorHAnsi"/>
                <w:sz w:val="22"/>
                <w:szCs w:val="22"/>
                <w:bdr w:val="none" w:sz="0" w:space="0" w:color="auto" w:frame="1"/>
                <w:shd w:val="clear" w:color="auto" w:fill="FFFFFF"/>
              </w:rPr>
            </w:pPr>
            <w:r w:rsidRPr="0088269E">
              <w:rPr>
                <w:rFonts w:asciiTheme="minorHAnsi" w:eastAsia="Calibri" w:hAnsiTheme="minorHAnsi" w:cstheme="minorHAnsi"/>
                <w:sz w:val="22"/>
                <w:szCs w:val="22"/>
              </w:rPr>
              <w:t xml:space="preserve">Endocrinology </w:t>
            </w:r>
            <w:proofErr w:type="gramStart"/>
            <w:r w:rsidRPr="0088269E">
              <w:rPr>
                <w:rFonts w:asciiTheme="minorHAnsi" w:eastAsia="Calibri" w:hAnsiTheme="minorHAnsi" w:cstheme="minorHAnsi"/>
                <w:sz w:val="22"/>
                <w:szCs w:val="22"/>
              </w:rPr>
              <w:t>secretaries</w:t>
            </w:r>
            <w:proofErr w:type="gramEnd"/>
            <w:r w:rsidRPr="0088269E">
              <w:rPr>
                <w:rFonts w:asciiTheme="minorHAnsi" w:eastAsia="Calibri" w:hAnsiTheme="minorHAnsi" w:cstheme="minorHAnsi"/>
                <w:sz w:val="22"/>
                <w:szCs w:val="22"/>
              </w:rPr>
              <w:t xml:space="preserve"> email: </w:t>
            </w:r>
            <w:hyperlink r:id="rId25" w:history="1">
              <w:r w:rsidRPr="0088269E">
                <w:rPr>
                  <w:rStyle w:val="Hyperlink"/>
                  <w:rFonts w:asciiTheme="minorHAnsi" w:eastAsiaTheme="majorEastAsia" w:hAnsiTheme="minorHAnsi" w:cstheme="minorHAnsi"/>
                  <w:sz w:val="22"/>
                  <w:szCs w:val="22"/>
                  <w:bdr w:val="none" w:sz="0" w:space="0" w:color="auto" w:frame="1"/>
                  <w:shd w:val="clear" w:color="auto" w:fill="FFFFFF"/>
                </w:rPr>
                <w:t>northmid.endocrine@nhs.net</w:t>
              </w:r>
            </w:hyperlink>
          </w:p>
          <w:p w14:paraId="1ED7A27C" w14:textId="77777777" w:rsidR="00C313C0" w:rsidRPr="0088269E" w:rsidRDefault="00C313C0" w:rsidP="0088269E">
            <w:pPr>
              <w:spacing w:after="0" w:line="276" w:lineRule="auto"/>
              <w:ind w:right="-20"/>
              <w:rPr>
                <w:rFonts w:asciiTheme="minorHAnsi" w:eastAsia="Calibri" w:hAnsiTheme="minorHAnsi" w:cstheme="minorHAnsi"/>
                <w:sz w:val="22"/>
                <w:szCs w:val="22"/>
              </w:rPr>
            </w:pPr>
          </w:p>
          <w:p w14:paraId="24749444" w14:textId="77777777" w:rsidR="00C313C0" w:rsidRPr="0088269E" w:rsidRDefault="00C313C0" w:rsidP="0088269E">
            <w:pPr>
              <w:spacing w:after="0" w:line="276" w:lineRule="auto"/>
              <w:ind w:left="-20" w:right="-20"/>
              <w:rPr>
                <w:rFonts w:asciiTheme="minorHAnsi" w:eastAsia="Calibri" w:hAnsiTheme="minorHAnsi" w:cstheme="minorHAnsi"/>
                <w:sz w:val="22"/>
                <w:szCs w:val="22"/>
              </w:rPr>
            </w:pPr>
            <w:r w:rsidRPr="0088269E">
              <w:rPr>
                <w:rFonts w:asciiTheme="minorHAnsi" w:eastAsia="Calibri" w:hAnsiTheme="minorHAnsi" w:cstheme="minorHAnsi"/>
                <w:sz w:val="22"/>
                <w:szCs w:val="22"/>
              </w:rPr>
              <w:t>Endocrinology secretaries phone number:</w:t>
            </w:r>
          </w:p>
          <w:p w14:paraId="5B737A85" w14:textId="77777777" w:rsidR="00C313C0" w:rsidRPr="00570813" w:rsidRDefault="00C313C0" w:rsidP="00C313C0">
            <w:pPr>
              <w:spacing w:after="0" w:line="276" w:lineRule="auto"/>
              <w:ind w:left="-20" w:right="-20"/>
              <w:rPr>
                <w:rFonts w:asciiTheme="minorHAnsi" w:hAnsiTheme="minorHAnsi" w:cstheme="minorHAnsi"/>
                <w:color w:val="242424"/>
                <w:sz w:val="22"/>
                <w:szCs w:val="22"/>
                <w:shd w:val="clear" w:color="auto" w:fill="FFFFFF"/>
              </w:rPr>
            </w:pPr>
            <w:r w:rsidRPr="0088269E">
              <w:rPr>
                <w:rFonts w:asciiTheme="minorHAnsi" w:hAnsiTheme="minorHAnsi" w:cstheme="minorHAnsi"/>
                <w:color w:val="242424"/>
                <w:sz w:val="22"/>
                <w:szCs w:val="22"/>
                <w:shd w:val="clear" w:color="auto" w:fill="FFFFFF"/>
              </w:rPr>
              <w:t>0208 887 2287</w:t>
            </w:r>
          </w:p>
          <w:p w14:paraId="39F97C80" w14:textId="77777777" w:rsidR="00C313C0" w:rsidRPr="0088269E" w:rsidRDefault="00C313C0" w:rsidP="00C313C0">
            <w:pPr>
              <w:spacing w:after="0" w:line="276" w:lineRule="auto"/>
              <w:ind w:left="-20" w:right="-20"/>
              <w:rPr>
                <w:rFonts w:cs="Calibri"/>
                <w:sz w:val="22"/>
                <w:szCs w:val="22"/>
                <w:shd w:val="clear" w:color="auto" w:fill="FFFFFF"/>
              </w:rPr>
            </w:pPr>
          </w:p>
          <w:p w14:paraId="3BB69497" w14:textId="5B01BBC8" w:rsidR="00C313C0" w:rsidRDefault="00570813" w:rsidP="0088269E">
            <w:pPr>
              <w:spacing w:after="0" w:line="276" w:lineRule="auto"/>
              <w:ind w:left="-20" w:right="-20"/>
              <w:rPr>
                <w:rFonts w:cs="Calibri"/>
                <w:sz w:val="22"/>
                <w:szCs w:val="22"/>
                <w:shd w:val="clear" w:color="auto" w:fill="FFFFFF"/>
              </w:rPr>
            </w:pPr>
            <w:r w:rsidRPr="008D5C01">
              <w:rPr>
                <w:rFonts w:cs="Calibri"/>
                <w:sz w:val="22"/>
                <w:szCs w:val="22"/>
                <w:shd w:val="clear" w:color="auto" w:fill="FFFFFF"/>
              </w:rPr>
              <w:t>Pharmacy Medicines Advice</w:t>
            </w:r>
            <w:r w:rsidR="008D5C01" w:rsidRPr="008D5C01">
              <w:rPr>
                <w:rFonts w:cs="Calibri"/>
                <w:sz w:val="22"/>
                <w:szCs w:val="22"/>
                <w:shd w:val="clear" w:color="auto" w:fill="FFFFFF"/>
              </w:rPr>
              <w:t xml:space="preserve"> telephone: 0208 887 2417</w:t>
            </w:r>
          </w:p>
          <w:p w14:paraId="542F8B0F" w14:textId="77777777" w:rsidR="008D5C01" w:rsidRDefault="008D5C01" w:rsidP="0088269E">
            <w:pPr>
              <w:spacing w:after="0" w:line="276" w:lineRule="auto"/>
              <w:ind w:left="-20" w:right="-20"/>
              <w:rPr>
                <w:rFonts w:cs="Calibri"/>
                <w:sz w:val="22"/>
                <w:szCs w:val="22"/>
              </w:rPr>
            </w:pPr>
          </w:p>
          <w:p w14:paraId="7469A231" w14:textId="5F283A0A" w:rsidR="008D5C01" w:rsidRPr="0088269E" w:rsidRDefault="008D5C01" w:rsidP="0088269E">
            <w:pPr>
              <w:spacing w:after="0" w:line="276" w:lineRule="auto"/>
              <w:ind w:left="-20" w:right="-20"/>
              <w:rPr>
                <w:rFonts w:eastAsia="Calibri" w:cs="Calibri"/>
                <w:sz w:val="22"/>
                <w:szCs w:val="22"/>
              </w:rPr>
            </w:pPr>
            <w:r>
              <w:rPr>
                <w:rFonts w:cs="Calibri"/>
                <w:sz w:val="22"/>
                <w:szCs w:val="22"/>
              </w:rPr>
              <w:lastRenderedPageBreak/>
              <w:t xml:space="preserve">Pharmacy Medicines Advice email: </w:t>
            </w:r>
            <w:hyperlink r:id="rId26" w:history="1">
              <w:r w:rsidRPr="00482203">
                <w:rPr>
                  <w:rStyle w:val="Hyperlink"/>
                  <w:rFonts w:cs="Calibri"/>
                  <w:sz w:val="22"/>
                  <w:szCs w:val="22"/>
                </w:rPr>
                <w:t>nmu-tr.medicinesinformation@nhs.net</w:t>
              </w:r>
            </w:hyperlink>
            <w:r>
              <w:rPr>
                <w:rFonts w:cs="Calibri"/>
                <w:sz w:val="22"/>
                <w:szCs w:val="22"/>
              </w:rPr>
              <w:t xml:space="preserve"> </w:t>
            </w:r>
          </w:p>
        </w:tc>
      </w:tr>
      <w:tr w:rsidR="00C313C0" w14:paraId="45668C2E" w14:textId="77777777" w:rsidTr="0052313F">
        <w:trPr>
          <w:trHeight w:val="300"/>
        </w:trPr>
        <w:tc>
          <w:tcPr>
            <w:tcW w:w="4662" w:type="dxa"/>
          </w:tcPr>
          <w:p w14:paraId="1FAD5814" w14:textId="155DA59C" w:rsidR="00C313C0" w:rsidRPr="0088269E" w:rsidRDefault="00570813" w:rsidP="00E671CC">
            <w:pPr>
              <w:ind w:left="-20" w:right="-20"/>
              <w:rPr>
                <w:rFonts w:eastAsia="Calibri" w:cs="Calibri"/>
                <w:sz w:val="22"/>
                <w:szCs w:val="22"/>
              </w:rPr>
            </w:pPr>
            <w:r>
              <w:rPr>
                <w:rFonts w:eastAsia="Calibri" w:cs="Calibri"/>
                <w:sz w:val="22"/>
                <w:szCs w:val="22"/>
              </w:rPr>
              <w:lastRenderedPageBreak/>
              <w:t>Royal Free London NHS Foundation Trust</w:t>
            </w:r>
          </w:p>
        </w:tc>
        <w:tc>
          <w:tcPr>
            <w:tcW w:w="4660" w:type="dxa"/>
          </w:tcPr>
          <w:p w14:paraId="1EC9EC5E" w14:textId="6A185F8C" w:rsidR="00570813" w:rsidRPr="0088269E" w:rsidRDefault="00570813" w:rsidP="00570813">
            <w:pPr>
              <w:spacing w:after="0" w:line="276" w:lineRule="auto"/>
              <w:rPr>
                <w:sz w:val="22"/>
                <w:szCs w:val="22"/>
              </w:rPr>
            </w:pPr>
            <w:r w:rsidRPr="0088269E">
              <w:rPr>
                <w:sz w:val="22"/>
                <w:szCs w:val="22"/>
              </w:rPr>
              <w:t>RFL Trust Switchboard: 020</w:t>
            </w:r>
            <w:r w:rsidR="00B45EF6">
              <w:rPr>
                <w:sz w:val="22"/>
                <w:szCs w:val="22"/>
              </w:rPr>
              <w:t xml:space="preserve"> </w:t>
            </w:r>
            <w:r w:rsidRPr="0088269E">
              <w:rPr>
                <w:sz w:val="22"/>
                <w:szCs w:val="22"/>
              </w:rPr>
              <w:t xml:space="preserve">3758 2000 </w:t>
            </w:r>
          </w:p>
          <w:p w14:paraId="734CB23B" w14:textId="77777777" w:rsidR="00570813" w:rsidRPr="0088269E" w:rsidRDefault="00570813" w:rsidP="0088269E">
            <w:pPr>
              <w:spacing w:after="0" w:line="276" w:lineRule="auto"/>
              <w:rPr>
                <w:sz w:val="22"/>
                <w:szCs w:val="22"/>
              </w:rPr>
            </w:pPr>
          </w:p>
          <w:p w14:paraId="63600234" w14:textId="3257D22E" w:rsidR="00C313C0" w:rsidRPr="0088269E" w:rsidRDefault="00570813" w:rsidP="00570813">
            <w:pPr>
              <w:spacing w:after="0" w:line="276" w:lineRule="auto"/>
              <w:ind w:left="-20" w:right="-20"/>
              <w:rPr>
                <w:sz w:val="22"/>
                <w:szCs w:val="22"/>
              </w:rPr>
            </w:pPr>
            <w:r w:rsidRPr="0088269E">
              <w:rPr>
                <w:sz w:val="22"/>
                <w:szCs w:val="22"/>
              </w:rPr>
              <w:t>RFH Switchboard: 020</w:t>
            </w:r>
            <w:r w:rsidR="00B45EF6">
              <w:rPr>
                <w:sz w:val="22"/>
                <w:szCs w:val="22"/>
              </w:rPr>
              <w:t xml:space="preserve"> </w:t>
            </w:r>
            <w:r w:rsidRPr="0088269E">
              <w:rPr>
                <w:sz w:val="22"/>
                <w:szCs w:val="22"/>
              </w:rPr>
              <w:t>7794 0500</w:t>
            </w:r>
          </w:p>
          <w:p w14:paraId="4BD0AB9A" w14:textId="77777777" w:rsidR="00570813" w:rsidRPr="0088269E" w:rsidRDefault="00570813" w:rsidP="0088269E">
            <w:pPr>
              <w:spacing w:after="0" w:line="276" w:lineRule="auto"/>
              <w:ind w:left="-20" w:right="-20"/>
              <w:rPr>
                <w:sz w:val="22"/>
                <w:szCs w:val="22"/>
              </w:rPr>
            </w:pPr>
          </w:p>
          <w:p w14:paraId="7B866693" w14:textId="7A6AF97C" w:rsidR="00570813" w:rsidRPr="0088269E" w:rsidRDefault="00570813" w:rsidP="0088269E">
            <w:pPr>
              <w:spacing w:after="0" w:line="276" w:lineRule="auto"/>
              <w:ind w:left="-20" w:right="-20"/>
              <w:rPr>
                <w:sz w:val="22"/>
                <w:szCs w:val="22"/>
              </w:rPr>
            </w:pPr>
            <w:r w:rsidRPr="0088269E">
              <w:rPr>
                <w:sz w:val="22"/>
                <w:szCs w:val="22"/>
              </w:rPr>
              <w:t>Endocrinology secretaries at Barnet and Chase Farm Hospitals:</w:t>
            </w:r>
          </w:p>
          <w:p w14:paraId="08DC7DCF" w14:textId="31C48D59" w:rsidR="00570813" w:rsidRPr="0088269E" w:rsidRDefault="00000000" w:rsidP="00570813">
            <w:pPr>
              <w:spacing w:after="0" w:line="276" w:lineRule="auto"/>
              <w:ind w:left="-20" w:right="-20"/>
              <w:rPr>
                <w:sz w:val="22"/>
                <w:szCs w:val="22"/>
              </w:rPr>
            </w:pPr>
            <w:hyperlink r:id="rId27" w:history="1">
              <w:r w:rsidR="00570813" w:rsidRPr="0088269E">
                <w:rPr>
                  <w:rStyle w:val="Hyperlink"/>
                  <w:sz w:val="22"/>
                  <w:szCs w:val="22"/>
                </w:rPr>
                <w:t>rf-tr.barnetendodiabadmin@nhs.net</w:t>
              </w:r>
            </w:hyperlink>
          </w:p>
          <w:p w14:paraId="28366D4D" w14:textId="77777777" w:rsidR="00570813" w:rsidRPr="0088269E" w:rsidRDefault="00570813" w:rsidP="0088269E">
            <w:pPr>
              <w:spacing w:after="0" w:line="276" w:lineRule="auto"/>
              <w:ind w:left="-20" w:right="-20"/>
              <w:rPr>
                <w:rStyle w:val="Hyperlink"/>
                <w:color w:val="auto"/>
                <w:sz w:val="22"/>
                <w:szCs w:val="22"/>
                <w:u w:val="none"/>
              </w:rPr>
            </w:pPr>
          </w:p>
          <w:p w14:paraId="168E115F" w14:textId="370D0AC9" w:rsidR="00570813" w:rsidRPr="0088269E" w:rsidRDefault="00570813" w:rsidP="0088269E">
            <w:pPr>
              <w:spacing w:after="0" w:line="276" w:lineRule="auto"/>
              <w:ind w:left="-20" w:right="-20"/>
              <w:rPr>
                <w:sz w:val="22"/>
                <w:szCs w:val="22"/>
              </w:rPr>
            </w:pPr>
            <w:r w:rsidRPr="0088269E">
              <w:rPr>
                <w:sz w:val="22"/>
                <w:szCs w:val="22"/>
              </w:rPr>
              <w:t>Endocrinology secretaries at Royal Free Hospital:</w:t>
            </w:r>
          </w:p>
          <w:p w14:paraId="1E3EF07A" w14:textId="544B4EE1" w:rsidR="00570813" w:rsidRPr="0088269E" w:rsidRDefault="00000000" w:rsidP="00570813">
            <w:pPr>
              <w:spacing w:after="0" w:line="276" w:lineRule="auto"/>
              <w:ind w:left="-20" w:right="-20"/>
              <w:rPr>
                <w:sz w:val="22"/>
                <w:szCs w:val="22"/>
              </w:rPr>
            </w:pPr>
            <w:hyperlink r:id="rId28" w:history="1">
              <w:r w:rsidR="00570813" w:rsidRPr="0088269E">
                <w:rPr>
                  <w:rStyle w:val="Hyperlink"/>
                  <w:sz w:val="22"/>
                  <w:szCs w:val="22"/>
                </w:rPr>
                <w:t>Rf.diabendocrineadmin@nhs.net</w:t>
              </w:r>
            </w:hyperlink>
          </w:p>
          <w:p w14:paraId="781E348C" w14:textId="77777777" w:rsidR="00570813" w:rsidRPr="0088269E" w:rsidRDefault="00570813" w:rsidP="0088269E">
            <w:pPr>
              <w:spacing w:after="0" w:line="276" w:lineRule="auto"/>
              <w:ind w:left="-20" w:right="-20"/>
              <w:rPr>
                <w:rStyle w:val="Hyperlink"/>
                <w:sz w:val="22"/>
                <w:szCs w:val="22"/>
              </w:rPr>
            </w:pPr>
          </w:p>
          <w:p w14:paraId="0B80B2C8" w14:textId="63CE6FF0" w:rsidR="00570813" w:rsidRPr="0088269E" w:rsidRDefault="00570813" w:rsidP="0088269E">
            <w:pPr>
              <w:spacing w:after="0" w:line="276" w:lineRule="auto"/>
              <w:rPr>
                <w:sz w:val="22"/>
                <w:szCs w:val="22"/>
              </w:rPr>
            </w:pPr>
            <w:r w:rsidRPr="0088269E">
              <w:rPr>
                <w:sz w:val="22"/>
                <w:szCs w:val="22"/>
              </w:rPr>
              <w:t>Pharmacy Medicines Advice:</w:t>
            </w:r>
          </w:p>
          <w:p w14:paraId="0E5E3380" w14:textId="25A0981A" w:rsidR="00570813" w:rsidRPr="0088269E" w:rsidRDefault="00000000" w:rsidP="0088269E">
            <w:pPr>
              <w:spacing w:after="0" w:line="276" w:lineRule="auto"/>
              <w:rPr>
                <w:sz w:val="22"/>
                <w:szCs w:val="22"/>
              </w:rPr>
            </w:pPr>
            <w:hyperlink r:id="rId29" w:history="1">
              <w:r w:rsidR="00570813" w:rsidRPr="0088269E">
                <w:rPr>
                  <w:rStyle w:val="Hyperlink"/>
                  <w:sz w:val="22"/>
                  <w:szCs w:val="22"/>
                </w:rPr>
                <w:t>Rf.medicinesadvice@nhs.net</w:t>
              </w:r>
            </w:hyperlink>
          </w:p>
          <w:p w14:paraId="5818AB0A" w14:textId="4EEA641B" w:rsidR="00570813" w:rsidRPr="0088269E" w:rsidRDefault="00570813" w:rsidP="0088269E">
            <w:pPr>
              <w:spacing w:after="0" w:line="276" w:lineRule="auto"/>
              <w:ind w:left="-20" w:right="-20"/>
              <w:rPr>
                <w:rFonts w:eastAsia="Calibri" w:cs="Calibri"/>
                <w:sz w:val="22"/>
                <w:szCs w:val="22"/>
              </w:rPr>
            </w:pPr>
            <w:r w:rsidRPr="0088269E">
              <w:rPr>
                <w:sz w:val="22"/>
                <w:szCs w:val="22"/>
              </w:rPr>
              <w:t>0207 830 2983</w:t>
            </w:r>
          </w:p>
        </w:tc>
      </w:tr>
    </w:tbl>
    <w:p w14:paraId="11F3A572" w14:textId="77777777" w:rsidR="00CC34C1" w:rsidRDefault="00CC34C1">
      <w:pPr>
        <w:spacing w:after="200" w:line="276" w:lineRule="auto"/>
      </w:pPr>
    </w:p>
    <w:p w14:paraId="75F3644E" w14:textId="20AB5C99" w:rsidR="00D46B50" w:rsidRPr="001119FE" w:rsidRDefault="00D46B50" w:rsidP="001119FE">
      <w:pPr>
        <w:spacing w:after="200" w:line="276" w:lineRule="auto"/>
      </w:pPr>
      <w:r w:rsidRPr="009D2F4A">
        <w:rPr>
          <w:b/>
          <w:sz w:val="28"/>
        </w:rPr>
        <w:t>Document control</w:t>
      </w:r>
    </w:p>
    <w:tbl>
      <w:tblPr>
        <w:tblStyle w:val="ReportTable"/>
        <w:tblW w:w="9322" w:type="dxa"/>
        <w:tblLook w:val="04A0" w:firstRow="1" w:lastRow="0" w:firstColumn="1" w:lastColumn="0" w:noHBand="0" w:noVBand="1"/>
      </w:tblPr>
      <w:tblGrid>
        <w:gridCol w:w="1221"/>
        <w:gridCol w:w="1050"/>
        <w:gridCol w:w="7051"/>
      </w:tblGrid>
      <w:tr w:rsidR="00D46B50" w14:paraId="7D4E8F6D" w14:textId="77777777" w:rsidTr="2AB8EA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tcPr>
          <w:p w14:paraId="155C05BD" w14:textId="77777777" w:rsidR="00D46B50" w:rsidRDefault="00D46B50" w:rsidP="008424FD">
            <w:pPr>
              <w:pStyle w:val="NCLTableText"/>
            </w:pPr>
            <w:r>
              <w:t>Date</w:t>
            </w:r>
          </w:p>
        </w:tc>
        <w:tc>
          <w:tcPr>
            <w:tcW w:w="1050" w:type="dxa"/>
          </w:tcPr>
          <w:p w14:paraId="0654F1D0" w14:textId="77777777" w:rsidR="00D46B50" w:rsidRDefault="00D46B50" w:rsidP="008424FD">
            <w:pPr>
              <w:pStyle w:val="NCLTableText"/>
              <w:cnfStyle w:val="100000000000" w:firstRow="1" w:lastRow="0" w:firstColumn="0" w:lastColumn="0" w:oddVBand="0" w:evenVBand="0" w:oddHBand="0" w:evenHBand="0" w:firstRowFirstColumn="0" w:firstRowLastColumn="0" w:lastRowFirstColumn="0" w:lastRowLastColumn="0"/>
            </w:pPr>
            <w:r>
              <w:t>Version</w:t>
            </w:r>
          </w:p>
        </w:tc>
        <w:tc>
          <w:tcPr>
            <w:tcW w:w="7051" w:type="dxa"/>
          </w:tcPr>
          <w:p w14:paraId="03CD7D5A" w14:textId="77777777" w:rsidR="00D46B50" w:rsidRDefault="00D46B50" w:rsidP="008424FD">
            <w:pPr>
              <w:pStyle w:val="NCLTableText"/>
              <w:cnfStyle w:val="100000000000" w:firstRow="1" w:lastRow="0" w:firstColumn="0" w:lastColumn="0" w:oddVBand="0" w:evenVBand="0" w:oddHBand="0" w:evenHBand="0" w:firstRowFirstColumn="0" w:firstRowLastColumn="0" w:lastRowFirstColumn="0" w:lastRowLastColumn="0"/>
            </w:pPr>
            <w:r>
              <w:t>Amendments</w:t>
            </w:r>
          </w:p>
        </w:tc>
      </w:tr>
      <w:tr w:rsidR="00D46B50" w14:paraId="0AF2B1A7" w14:textId="77777777" w:rsidTr="2AB8EA19">
        <w:tc>
          <w:tcPr>
            <w:cnfStyle w:val="001000000000" w:firstRow="0" w:lastRow="0" w:firstColumn="1" w:lastColumn="0" w:oddVBand="0" w:evenVBand="0" w:oddHBand="0" w:evenHBand="0" w:firstRowFirstColumn="0" w:firstRowLastColumn="0" w:lastRowFirstColumn="0" w:lastRowLastColumn="0"/>
            <w:tcW w:w="1221" w:type="dxa"/>
          </w:tcPr>
          <w:p w14:paraId="49E14F78" w14:textId="52AC2FC0" w:rsidR="00D46B50" w:rsidRDefault="00570813" w:rsidP="008424FD">
            <w:pPr>
              <w:pStyle w:val="NCLTableText"/>
            </w:pPr>
            <w:r>
              <w:t>25/06/2024</w:t>
            </w:r>
          </w:p>
        </w:tc>
        <w:tc>
          <w:tcPr>
            <w:tcW w:w="1050" w:type="dxa"/>
          </w:tcPr>
          <w:p w14:paraId="63B286A2" w14:textId="46044050" w:rsidR="00D46B50" w:rsidRDefault="00570813" w:rsidP="008424FD">
            <w:pPr>
              <w:pStyle w:val="NCLTableText"/>
              <w:cnfStyle w:val="000000000000" w:firstRow="0" w:lastRow="0" w:firstColumn="0" w:lastColumn="0" w:oddVBand="0" w:evenVBand="0" w:oddHBand="0" w:evenHBand="0" w:firstRowFirstColumn="0" w:firstRowLastColumn="0" w:lastRowFirstColumn="0" w:lastRowLastColumn="0"/>
            </w:pPr>
            <w:r>
              <w:t>1.0</w:t>
            </w:r>
          </w:p>
        </w:tc>
        <w:tc>
          <w:tcPr>
            <w:tcW w:w="7051" w:type="dxa"/>
          </w:tcPr>
          <w:p w14:paraId="52E3DF19" w14:textId="2452AEC5" w:rsidR="00D46B50" w:rsidRDefault="00570813" w:rsidP="2AB8EA19">
            <w:pPr>
              <w:pStyle w:val="NCLTableText"/>
              <w:cnfStyle w:val="000000000000" w:firstRow="0" w:lastRow="0" w:firstColumn="0" w:lastColumn="0" w:oddVBand="0" w:evenVBand="0" w:oddHBand="0" w:evenHBand="0" w:firstRowFirstColumn="0" w:firstRowLastColumn="0" w:lastRowFirstColumn="0" w:lastRowLastColumn="0"/>
            </w:pPr>
            <w:r>
              <w:t>New document developed in collaboration with NMUH and RFL clinical teams</w:t>
            </w:r>
          </w:p>
        </w:tc>
      </w:tr>
    </w:tbl>
    <w:p w14:paraId="1B9618E7" w14:textId="77777777" w:rsidR="00D46B50" w:rsidRDefault="00D46B50" w:rsidP="00D46B50">
      <w:pPr>
        <w:pStyle w:val="NC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4920"/>
      </w:tblGrid>
      <w:tr w:rsidR="008D4C89" w:rsidRPr="00B82C4D" w14:paraId="6BD81524" w14:textId="77777777" w:rsidTr="008D37DF">
        <w:tc>
          <w:tcPr>
            <w:tcW w:w="4402" w:type="dxa"/>
            <w:shd w:val="clear" w:color="auto" w:fill="auto"/>
          </w:tcPr>
          <w:p w14:paraId="13C1AD9F" w14:textId="77777777" w:rsidR="008D4C89" w:rsidRPr="00B82C4D" w:rsidRDefault="008D4C89" w:rsidP="008D37DF">
            <w:pPr>
              <w:pStyle w:val="NCLTableText"/>
              <w:rPr>
                <w:szCs w:val="20"/>
              </w:rPr>
            </w:pPr>
            <w:r w:rsidRPr="00B82C4D">
              <w:rPr>
                <w:szCs w:val="20"/>
              </w:rPr>
              <w:t>Groups / Individuals who have overseen the development of this guidance:</w:t>
            </w:r>
          </w:p>
        </w:tc>
        <w:tc>
          <w:tcPr>
            <w:tcW w:w="4920" w:type="dxa"/>
            <w:shd w:val="clear" w:color="auto" w:fill="auto"/>
          </w:tcPr>
          <w:p w14:paraId="2B381FCA" w14:textId="6FDF1848" w:rsidR="008D4C89" w:rsidRPr="00B82C4D" w:rsidRDefault="008D5C01" w:rsidP="008D37DF">
            <w:pPr>
              <w:pStyle w:val="NCLTableText"/>
              <w:rPr>
                <w:szCs w:val="20"/>
              </w:rPr>
            </w:pPr>
            <w:r w:rsidRPr="00B82C4D">
              <w:rPr>
                <w:szCs w:val="20"/>
              </w:rPr>
              <w:t xml:space="preserve">Dr Bernard </w:t>
            </w:r>
            <w:proofErr w:type="spellStart"/>
            <w:r w:rsidRPr="00B82C4D">
              <w:rPr>
                <w:szCs w:val="20"/>
              </w:rPr>
              <w:t>Freudenthal</w:t>
            </w:r>
            <w:proofErr w:type="spellEnd"/>
            <w:r w:rsidRPr="00B82C4D">
              <w:rPr>
                <w:szCs w:val="20"/>
              </w:rPr>
              <w:t xml:space="preserve"> (RFL)</w:t>
            </w:r>
          </w:p>
          <w:p w14:paraId="44EF322D" w14:textId="59A0E538" w:rsidR="008D5C01" w:rsidRPr="00B82C4D" w:rsidRDefault="008D5C01" w:rsidP="008D37DF">
            <w:pPr>
              <w:pStyle w:val="NCLTableText"/>
              <w:rPr>
                <w:szCs w:val="20"/>
              </w:rPr>
            </w:pPr>
            <w:r w:rsidRPr="00B82C4D">
              <w:rPr>
                <w:szCs w:val="20"/>
              </w:rPr>
              <w:t>Ms Georgina Glass (RFL)</w:t>
            </w:r>
          </w:p>
          <w:p w14:paraId="13B81534" w14:textId="7BBC7C58" w:rsidR="008D5C01" w:rsidRPr="00B82C4D" w:rsidRDefault="008D5C01" w:rsidP="008D37DF">
            <w:pPr>
              <w:pStyle w:val="NCLTableText"/>
              <w:rPr>
                <w:szCs w:val="20"/>
              </w:rPr>
            </w:pPr>
            <w:r w:rsidRPr="00B82C4D">
              <w:rPr>
                <w:szCs w:val="20"/>
              </w:rPr>
              <w:t>Dr Sajid (NMUH)</w:t>
            </w:r>
          </w:p>
          <w:p w14:paraId="6C148FA8" w14:textId="3C7AC1FB" w:rsidR="008D5C01" w:rsidRPr="00B82C4D" w:rsidRDefault="008D5C01" w:rsidP="008D37DF">
            <w:pPr>
              <w:pStyle w:val="NCLTableText"/>
              <w:rPr>
                <w:szCs w:val="20"/>
              </w:rPr>
            </w:pPr>
            <w:r w:rsidRPr="00B82C4D">
              <w:rPr>
                <w:szCs w:val="20"/>
              </w:rPr>
              <w:t>NCL ICB Medicines Optimisation team</w:t>
            </w:r>
          </w:p>
        </w:tc>
      </w:tr>
      <w:tr w:rsidR="008D4C89" w:rsidRPr="00B82C4D" w14:paraId="3FB455F8" w14:textId="77777777" w:rsidTr="008D37DF">
        <w:tc>
          <w:tcPr>
            <w:tcW w:w="4402" w:type="dxa"/>
            <w:shd w:val="clear" w:color="auto" w:fill="auto"/>
          </w:tcPr>
          <w:p w14:paraId="5BB002AF" w14:textId="77777777" w:rsidR="008D4C89" w:rsidRPr="00B82C4D" w:rsidRDefault="008D4C89" w:rsidP="008D37DF">
            <w:pPr>
              <w:pStyle w:val="NCLTableText"/>
              <w:rPr>
                <w:szCs w:val="20"/>
              </w:rPr>
            </w:pPr>
            <w:r w:rsidRPr="00B82C4D">
              <w:rPr>
                <w:szCs w:val="20"/>
              </w:rPr>
              <w:t>Groups which were consulted and have given approval:</w:t>
            </w:r>
          </w:p>
        </w:tc>
        <w:tc>
          <w:tcPr>
            <w:tcW w:w="4920" w:type="dxa"/>
            <w:shd w:val="clear" w:color="auto" w:fill="auto"/>
          </w:tcPr>
          <w:p w14:paraId="7023CDAF" w14:textId="415E4B71" w:rsidR="008D4C89" w:rsidRPr="00B82C4D" w:rsidRDefault="008D5C01" w:rsidP="008D37DF">
            <w:pPr>
              <w:pStyle w:val="NCLTableText"/>
              <w:rPr>
                <w:szCs w:val="20"/>
              </w:rPr>
            </w:pPr>
            <w:r w:rsidRPr="00B82C4D">
              <w:rPr>
                <w:szCs w:val="20"/>
              </w:rPr>
              <w:t>NCL consultants and specialist pharmacists</w:t>
            </w:r>
          </w:p>
          <w:p w14:paraId="223BFF6E" w14:textId="77777777" w:rsidR="008D5C01" w:rsidRPr="00B82C4D" w:rsidRDefault="008D5C01" w:rsidP="008D37DF">
            <w:pPr>
              <w:pStyle w:val="NCLTableText"/>
              <w:rPr>
                <w:szCs w:val="20"/>
              </w:rPr>
            </w:pPr>
            <w:r w:rsidRPr="00B82C4D">
              <w:rPr>
                <w:szCs w:val="20"/>
              </w:rPr>
              <w:t>NCL GPPA</w:t>
            </w:r>
          </w:p>
          <w:p w14:paraId="45E1E9F5" w14:textId="77777777" w:rsidR="008D5C01" w:rsidRPr="00B82C4D" w:rsidRDefault="008D5C01" w:rsidP="008D37DF">
            <w:pPr>
              <w:pStyle w:val="NCLTableText"/>
              <w:rPr>
                <w:szCs w:val="20"/>
              </w:rPr>
            </w:pPr>
            <w:r w:rsidRPr="00B82C4D">
              <w:rPr>
                <w:szCs w:val="20"/>
              </w:rPr>
              <w:t>NCL LMC</w:t>
            </w:r>
          </w:p>
          <w:p w14:paraId="02D4FB2B" w14:textId="55994DB1" w:rsidR="008D5C01" w:rsidRPr="00B82C4D" w:rsidRDefault="008D5C01" w:rsidP="008D37DF">
            <w:pPr>
              <w:pStyle w:val="NCLTableText"/>
              <w:rPr>
                <w:szCs w:val="20"/>
              </w:rPr>
            </w:pPr>
            <w:r w:rsidRPr="00B82C4D">
              <w:rPr>
                <w:szCs w:val="20"/>
              </w:rPr>
              <w:t>NCL Shared Care Group</w:t>
            </w:r>
          </w:p>
        </w:tc>
      </w:tr>
      <w:tr w:rsidR="008D4C89" w:rsidRPr="00B82C4D" w14:paraId="48E7B574" w14:textId="77777777" w:rsidTr="008D37DF">
        <w:tc>
          <w:tcPr>
            <w:tcW w:w="4402" w:type="dxa"/>
            <w:shd w:val="clear" w:color="auto" w:fill="auto"/>
          </w:tcPr>
          <w:p w14:paraId="0452F187" w14:textId="77777777" w:rsidR="008D4C89" w:rsidRPr="00B82C4D" w:rsidRDefault="008D4C89" w:rsidP="008D37DF">
            <w:pPr>
              <w:pStyle w:val="NCLTableText"/>
              <w:rPr>
                <w:szCs w:val="20"/>
              </w:rPr>
            </w:pPr>
            <w:r w:rsidRPr="00B82C4D">
              <w:rPr>
                <w:szCs w:val="20"/>
              </w:rPr>
              <w:t>File name:</w:t>
            </w:r>
          </w:p>
        </w:tc>
        <w:tc>
          <w:tcPr>
            <w:tcW w:w="4920" w:type="dxa"/>
            <w:shd w:val="clear" w:color="auto" w:fill="auto"/>
          </w:tcPr>
          <w:p w14:paraId="7D0877C5" w14:textId="07E05908" w:rsidR="008D4C89" w:rsidRPr="00B82C4D" w:rsidRDefault="008D5C01" w:rsidP="008D37DF">
            <w:pPr>
              <w:pStyle w:val="NCLTableText"/>
              <w:rPr>
                <w:szCs w:val="20"/>
              </w:rPr>
            </w:pPr>
            <w:proofErr w:type="spellStart"/>
            <w:r w:rsidRPr="00B82C4D">
              <w:rPr>
                <w:szCs w:val="20"/>
              </w:rPr>
              <w:t>SCG_Cinacalcet</w:t>
            </w:r>
            <w:proofErr w:type="spellEnd"/>
          </w:p>
        </w:tc>
      </w:tr>
      <w:tr w:rsidR="008D4C89" w:rsidRPr="00B82C4D" w14:paraId="7DA998FA" w14:textId="77777777" w:rsidTr="008D37DF">
        <w:tc>
          <w:tcPr>
            <w:tcW w:w="4402" w:type="dxa"/>
            <w:shd w:val="clear" w:color="auto" w:fill="auto"/>
          </w:tcPr>
          <w:p w14:paraId="7C290AC3" w14:textId="77777777" w:rsidR="008D4C89" w:rsidRPr="00B82C4D" w:rsidRDefault="008D4C89" w:rsidP="008D37DF">
            <w:pPr>
              <w:pStyle w:val="NCLTableText"/>
              <w:rPr>
                <w:szCs w:val="20"/>
              </w:rPr>
            </w:pPr>
            <w:r w:rsidRPr="00B82C4D">
              <w:rPr>
                <w:szCs w:val="20"/>
              </w:rPr>
              <w:t>Version number:</w:t>
            </w:r>
          </w:p>
        </w:tc>
        <w:tc>
          <w:tcPr>
            <w:tcW w:w="4920" w:type="dxa"/>
            <w:shd w:val="clear" w:color="auto" w:fill="auto"/>
          </w:tcPr>
          <w:p w14:paraId="4D8EE30F" w14:textId="59D0F37E" w:rsidR="008D4C89" w:rsidRPr="00B82C4D" w:rsidRDefault="008D5C01" w:rsidP="008D37DF">
            <w:pPr>
              <w:pStyle w:val="NCLTableText"/>
              <w:rPr>
                <w:szCs w:val="20"/>
              </w:rPr>
            </w:pPr>
            <w:r w:rsidRPr="00B82C4D">
              <w:rPr>
                <w:szCs w:val="20"/>
              </w:rPr>
              <w:t>1.0</w:t>
            </w:r>
          </w:p>
        </w:tc>
      </w:tr>
      <w:tr w:rsidR="008D4C89" w:rsidRPr="00B82C4D" w14:paraId="26CEF462" w14:textId="77777777" w:rsidTr="008D37DF">
        <w:tc>
          <w:tcPr>
            <w:tcW w:w="4402" w:type="dxa"/>
            <w:shd w:val="clear" w:color="auto" w:fill="auto"/>
          </w:tcPr>
          <w:p w14:paraId="6E5EA98D" w14:textId="77777777" w:rsidR="008D4C89" w:rsidRPr="00B82C4D" w:rsidRDefault="008D4C89" w:rsidP="008D37DF">
            <w:pPr>
              <w:pStyle w:val="NCLTableText"/>
              <w:rPr>
                <w:szCs w:val="20"/>
              </w:rPr>
            </w:pPr>
            <w:r w:rsidRPr="00B82C4D">
              <w:rPr>
                <w:szCs w:val="20"/>
              </w:rPr>
              <w:t>Available on:</w:t>
            </w:r>
          </w:p>
        </w:tc>
        <w:tc>
          <w:tcPr>
            <w:tcW w:w="4920" w:type="dxa"/>
            <w:shd w:val="clear" w:color="auto" w:fill="auto"/>
          </w:tcPr>
          <w:p w14:paraId="409B7471" w14:textId="61D09A90" w:rsidR="008D4C89" w:rsidRPr="00B82C4D" w:rsidRDefault="00000000" w:rsidP="008D37DF">
            <w:pPr>
              <w:pStyle w:val="NCLTableText"/>
              <w:rPr>
                <w:szCs w:val="20"/>
              </w:rPr>
            </w:pPr>
            <w:hyperlink r:id="rId30" w:history="1">
              <w:r w:rsidR="008D5C01" w:rsidRPr="00B82C4D">
                <w:rPr>
                  <w:rStyle w:val="Hyperlink"/>
                  <w:szCs w:val="20"/>
                </w:rPr>
                <w:t>www.nclhealthandcare.org.uk</w:t>
              </w:r>
            </w:hyperlink>
          </w:p>
        </w:tc>
      </w:tr>
      <w:tr w:rsidR="008D4C89" w:rsidRPr="00B82C4D" w14:paraId="7B055067" w14:textId="77777777" w:rsidTr="008D37DF">
        <w:tc>
          <w:tcPr>
            <w:tcW w:w="4402" w:type="dxa"/>
            <w:shd w:val="clear" w:color="auto" w:fill="auto"/>
          </w:tcPr>
          <w:p w14:paraId="6C822B91" w14:textId="77777777" w:rsidR="008D4C89" w:rsidRPr="00B82C4D" w:rsidRDefault="008D4C89" w:rsidP="008D37DF">
            <w:pPr>
              <w:pStyle w:val="NCLTableText"/>
              <w:rPr>
                <w:szCs w:val="20"/>
              </w:rPr>
            </w:pPr>
            <w:r w:rsidRPr="00B82C4D">
              <w:rPr>
                <w:szCs w:val="20"/>
              </w:rPr>
              <w:t>Disseminated to:</w:t>
            </w:r>
          </w:p>
        </w:tc>
        <w:tc>
          <w:tcPr>
            <w:tcW w:w="4920" w:type="dxa"/>
            <w:shd w:val="clear" w:color="auto" w:fill="auto"/>
          </w:tcPr>
          <w:p w14:paraId="58CE3CF4" w14:textId="427CA1B3" w:rsidR="008D4C89" w:rsidRPr="00B82C4D" w:rsidRDefault="008D5C01" w:rsidP="008D37DF">
            <w:pPr>
              <w:pStyle w:val="NCLTableText"/>
              <w:rPr>
                <w:szCs w:val="20"/>
              </w:rPr>
            </w:pPr>
            <w:r w:rsidRPr="00B82C4D">
              <w:rPr>
                <w:szCs w:val="20"/>
              </w:rPr>
              <w:t>NCL Formulary pharmacists and commissioners</w:t>
            </w:r>
          </w:p>
        </w:tc>
      </w:tr>
      <w:tr w:rsidR="008D4C89" w:rsidRPr="00B82C4D" w14:paraId="705CCA28" w14:textId="77777777" w:rsidTr="008D37DF">
        <w:tc>
          <w:tcPr>
            <w:tcW w:w="4402" w:type="dxa"/>
            <w:shd w:val="clear" w:color="auto" w:fill="auto"/>
          </w:tcPr>
          <w:p w14:paraId="15EA719D" w14:textId="77777777" w:rsidR="008D4C89" w:rsidRPr="00B82C4D" w:rsidRDefault="008D4C89" w:rsidP="008D37DF">
            <w:pPr>
              <w:pStyle w:val="NCLTableText"/>
              <w:rPr>
                <w:szCs w:val="20"/>
              </w:rPr>
            </w:pPr>
            <w:r w:rsidRPr="00B82C4D">
              <w:rPr>
                <w:szCs w:val="20"/>
              </w:rPr>
              <w:t>Equality impact assessment:</w:t>
            </w:r>
          </w:p>
        </w:tc>
        <w:tc>
          <w:tcPr>
            <w:tcW w:w="4920" w:type="dxa"/>
            <w:shd w:val="clear" w:color="auto" w:fill="auto"/>
          </w:tcPr>
          <w:p w14:paraId="5E15409E" w14:textId="69CFDC6B" w:rsidR="008D4C89" w:rsidRPr="00B82C4D" w:rsidRDefault="008D5C01" w:rsidP="008D37DF">
            <w:pPr>
              <w:pStyle w:val="NCLTableText"/>
              <w:rPr>
                <w:szCs w:val="20"/>
              </w:rPr>
            </w:pPr>
            <w:r w:rsidRPr="00B82C4D">
              <w:rPr>
                <w:szCs w:val="20"/>
              </w:rPr>
              <w:t>Low</w:t>
            </w:r>
          </w:p>
        </w:tc>
      </w:tr>
      <w:tr w:rsidR="008D4C89" w:rsidRPr="00B82C4D" w14:paraId="178EDF93" w14:textId="77777777" w:rsidTr="008D37DF">
        <w:tc>
          <w:tcPr>
            <w:tcW w:w="4402" w:type="dxa"/>
            <w:shd w:val="clear" w:color="auto" w:fill="auto"/>
          </w:tcPr>
          <w:p w14:paraId="32C45BCA" w14:textId="77777777" w:rsidR="008D4C89" w:rsidRPr="00B82C4D" w:rsidRDefault="008D4C89" w:rsidP="008D37DF">
            <w:pPr>
              <w:pStyle w:val="NCLTableText"/>
              <w:rPr>
                <w:szCs w:val="20"/>
              </w:rPr>
            </w:pPr>
            <w:r w:rsidRPr="00B82C4D">
              <w:rPr>
                <w:szCs w:val="20"/>
              </w:rPr>
              <w:t>NCL Shared Care Group Approval date:</w:t>
            </w:r>
          </w:p>
        </w:tc>
        <w:tc>
          <w:tcPr>
            <w:tcW w:w="4920" w:type="dxa"/>
            <w:shd w:val="clear" w:color="auto" w:fill="auto"/>
          </w:tcPr>
          <w:p w14:paraId="32022695" w14:textId="3CFE381B" w:rsidR="008D4C89" w:rsidRPr="00B82C4D" w:rsidRDefault="008D5C01" w:rsidP="008D37DF">
            <w:pPr>
              <w:pStyle w:val="NCLTableText"/>
              <w:rPr>
                <w:szCs w:val="20"/>
              </w:rPr>
            </w:pPr>
            <w:r w:rsidRPr="00B82C4D">
              <w:rPr>
                <w:szCs w:val="20"/>
              </w:rPr>
              <w:t>08/10/2024</w:t>
            </w:r>
          </w:p>
        </w:tc>
      </w:tr>
      <w:tr w:rsidR="008D4C89" w:rsidRPr="00B82C4D" w14:paraId="6C3F2A98" w14:textId="77777777" w:rsidTr="008D37DF">
        <w:tc>
          <w:tcPr>
            <w:tcW w:w="4402" w:type="dxa"/>
            <w:shd w:val="clear" w:color="auto" w:fill="auto"/>
          </w:tcPr>
          <w:p w14:paraId="5F23BBC7" w14:textId="77777777" w:rsidR="008D4C89" w:rsidRPr="00B82C4D" w:rsidRDefault="008D4C89" w:rsidP="008D37DF">
            <w:pPr>
              <w:pStyle w:val="NCLTableText"/>
              <w:rPr>
                <w:szCs w:val="20"/>
              </w:rPr>
            </w:pPr>
            <w:r w:rsidRPr="00B82C4D">
              <w:rPr>
                <w:szCs w:val="20"/>
              </w:rPr>
              <w:t>Review date:</w:t>
            </w:r>
          </w:p>
        </w:tc>
        <w:tc>
          <w:tcPr>
            <w:tcW w:w="4920" w:type="dxa"/>
            <w:shd w:val="clear" w:color="auto" w:fill="auto"/>
          </w:tcPr>
          <w:p w14:paraId="78E7B607" w14:textId="3C317467" w:rsidR="008D4C89" w:rsidRPr="00B82C4D" w:rsidRDefault="008D5C01" w:rsidP="008D37DF">
            <w:pPr>
              <w:pStyle w:val="NCLTableText"/>
              <w:rPr>
                <w:szCs w:val="20"/>
              </w:rPr>
            </w:pPr>
            <w:r w:rsidRPr="00B82C4D">
              <w:rPr>
                <w:szCs w:val="20"/>
              </w:rPr>
              <w:t>08/10/2027</w:t>
            </w:r>
          </w:p>
        </w:tc>
      </w:tr>
    </w:tbl>
    <w:p w14:paraId="7D2535ED" w14:textId="77777777" w:rsidR="00D46B50" w:rsidRDefault="00D46B50" w:rsidP="00D46B50">
      <w:pPr>
        <w:pStyle w:val="NCLBodyText"/>
      </w:pPr>
    </w:p>
    <w:p w14:paraId="2418BDFC" w14:textId="77777777" w:rsidR="00D46B50" w:rsidRDefault="00D46B50" w:rsidP="00D46B50">
      <w:pPr>
        <w:pStyle w:val="NCLBodyText"/>
      </w:pPr>
      <w:r>
        <w:br w:type="page"/>
      </w:r>
    </w:p>
    <w:p w14:paraId="643D3141" w14:textId="4AECFC8B" w:rsidR="00DF3C38" w:rsidRPr="00DF3C38" w:rsidRDefault="00DF3C38" w:rsidP="2AB8EA19">
      <w:pPr>
        <w:pStyle w:val="NCLAppendix"/>
        <w:ind w:left="0" w:firstLine="0"/>
      </w:pPr>
      <w:bookmarkStart w:id="1" w:name="_Toc156827849"/>
      <w:r>
        <w:lastRenderedPageBreak/>
        <w:t xml:space="preserve">Appendix </w:t>
      </w:r>
      <w:r>
        <w:fldChar w:fldCharType="begin"/>
      </w:r>
      <w:r>
        <w:instrText>SEQ Appendix \* ARABIC</w:instrText>
      </w:r>
      <w:r>
        <w:fldChar w:fldCharType="separate"/>
      </w:r>
      <w:r w:rsidR="00673692">
        <w:rPr>
          <w:noProof/>
        </w:rPr>
        <w:t>1</w:t>
      </w:r>
      <w:r>
        <w:fldChar w:fldCharType="end"/>
      </w:r>
      <w:r>
        <w:t>: xxx transfer form: from [Trust] to GP practice</w:t>
      </w:r>
      <w:bookmarkEnd w:id="1"/>
    </w:p>
    <w:tbl>
      <w:tblPr>
        <w:tblW w:w="103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4"/>
        <w:gridCol w:w="1600"/>
        <w:gridCol w:w="380"/>
        <w:gridCol w:w="639"/>
        <w:gridCol w:w="257"/>
        <w:gridCol w:w="242"/>
        <w:gridCol w:w="842"/>
        <w:gridCol w:w="1134"/>
        <w:gridCol w:w="875"/>
        <w:gridCol w:w="1920"/>
      </w:tblGrid>
      <w:tr w:rsidR="00DF3C38" w14:paraId="165F5C78" w14:textId="77777777" w:rsidTr="273A31E3">
        <w:trPr>
          <w:cantSplit/>
          <w:trHeight w:val="482"/>
        </w:trPr>
        <w:tc>
          <w:tcPr>
            <w:tcW w:w="10363" w:type="dxa"/>
            <w:gridSpan w:val="10"/>
            <w:tcBorders>
              <w:top w:val="nil"/>
              <w:left w:val="nil"/>
              <w:bottom w:val="nil"/>
              <w:right w:val="nil"/>
            </w:tcBorders>
            <w:vAlign w:val="center"/>
          </w:tcPr>
          <w:p w14:paraId="1A977A1C" w14:textId="77777777" w:rsidR="00DF3C38" w:rsidRDefault="00DF3C38" w:rsidP="008424FD">
            <w:pPr>
              <w:pStyle w:val="BodyText"/>
              <w:tabs>
                <w:tab w:val="left" w:pos="-174"/>
                <w:tab w:val="left" w:pos="4860"/>
                <w:tab w:val="left" w:pos="6660"/>
                <w:tab w:val="left" w:pos="7740"/>
                <w:tab w:val="right" w:pos="8820"/>
              </w:tabs>
              <w:spacing w:after="240"/>
              <w:ind w:left="-174" w:right="-516" w:firstLine="66"/>
              <w:rPr>
                <w:rFonts w:ascii="Arial" w:hAnsi="Arial" w:cs="Arial"/>
                <w:b/>
                <w:iCs/>
              </w:rPr>
            </w:pPr>
          </w:p>
          <w:p w14:paraId="40344270" w14:textId="34C568DA" w:rsidR="00DF3C38" w:rsidRDefault="00DF3C38" w:rsidP="273A31E3">
            <w:pPr>
              <w:pStyle w:val="BodyText"/>
              <w:tabs>
                <w:tab w:val="left" w:pos="4860"/>
                <w:tab w:val="left" w:pos="6660"/>
                <w:tab w:val="left" w:pos="7740"/>
                <w:tab w:val="right" w:pos="8820"/>
              </w:tabs>
              <w:spacing w:after="240"/>
              <w:ind w:left="-174" w:right="-516" w:firstLine="66"/>
              <w:rPr>
                <w:rFonts w:ascii="Arial" w:hAnsi="Arial" w:cs="Arial"/>
                <w:i/>
                <w:iCs/>
              </w:rPr>
            </w:pPr>
            <w:r w:rsidRPr="273A31E3">
              <w:rPr>
                <w:rFonts w:ascii="Arial" w:hAnsi="Arial" w:cs="Arial"/>
                <w:b/>
                <w:bCs/>
              </w:rPr>
              <w:t xml:space="preserve">Section A: to be completed by secondary care </w:t>
            </w:r>
            <w:r w:rsidRPr="273A31E3">
              <w:rPr>
                <w:rFonts w:ascii="Arial" w:hAnsi="Arial" w:cs="Arial"/>
                <w:i/>
                <w:iCs/>
              </w:rPr>
              <w:t>Send to practice</w:t>
            </w:r>
          </w:p>
          <w:p w14:paraId="2FE59A5B" w14:textId="77777777" w:rsidR="00DF3C38" w:rsidRDefault="00DF3C38" w:rsidP="008424FD">
            <w:pPr>
              <w:pStyle w:val="BodyText"/>
              <w:tabs>
                <w:tab w:val="left" w:pos="-540"/>
                <w:tab w:val="left" w:pos="4860"/>
                <w:tab w:val="left" w:pos="6660"/>
                <w:tab w:val="left" w:pos="7740"/>
                <w:tab w:val="right" w:pos="8820"/>
              </w:tabs>
              <w:spacing w:after="240"/>
              <w:ind w:left="-108" w:right="-516"/>
              <w:rPr>
                <w:rFonts w:ascii="Arial" w:hAnsi="Arial" w:cs="Arial"/>
                <w:bCs/>
                <w:iCs/>
              </w:rPr>
            </w:pPr>
            <w:r>
              <w:rPr>
                <w:rFonts w:ascii="Arial" w:hAnsi="Arial" w:cs="Arial"/>
                <w:bCs/>
                <w:i/>
              </w:rPr>
              <w:t>This document is to request the shared care pathway of your patient and comprises an agreement between the GP and named consultant.  The patient will continue to be seen by the named consultant as regular follow up.</w:t>
            </w:r>
          </w:p>
        </w:tc>
      </w:tr>
      <w:tr w:rsidR="00DF3C38" w14:paraId="5D363CF3" w14:textId="77777777" w:rsidTr="273A31E3">
        <w:trPr>
          <w:cantSplit/>
          <w:trHeight w:val="586"/>
        </w:trPr>
        <w:tc>
          <w:tcPr>
            <w:tcW w:w="5350" w:type="dxa"/>
            <w:gridSpan w:val="5"/>
            <w:vMerge w:val="restart"/>
            <w:tcBorders>
              <w:top w:val="single" w:sz="4" w:space="0" w:color="auto"/>
              <w:left w:val="single" w:sz="4" w:space="0" w:color="auto"/>
              <w:right w:val="single" w:sz="4" w:space="0" w:color="auto"/>
            </w:tcBorders>
          </w:tcPr>
          <w:p w14:paraId="636B1F0A" w14:textId="31336672" w:rsidR="00DF3C38" w:rsidRDefault="00DF3C38" w:rsidP="273A31E3">
            <w:pPr>
              <w:pStyle w:val="BodyText"/>
              <w:tabs>
                <w:tab w:val="left" w:pos="4860"/>
                <w:tab w:val="left" w:pos="6660"/>
                <w:tab w:val="left" w:pos="7740"/>
                <w:tab w:val="right" w:pos="8820"/>
              </w:tabs>
              <w:spacing w:before="120"/>
              <w:ind w:right="-516" w:firstLine="74"/>
              <w:rPr>
                <w:rFonts w:ascii="Arial" w:hAnsi="Arial" w:cs="Arial"/>
                <w:i/>
                <w:iCs/>
              </w:rPr>
            </w:pPr>
            <w:r w:rsidRPr="273A31E3">
              <w:rPr>
                <w:rFonts w:ascii="Arial" w:hAnsi="Arial" w:cs="Arial"/>
                <w:i/>
                <w:iCs/>
              </w:rPr>
              <w:t xml:space="preserve">Fix address label here (ensure NHS </w:t>
            </w:r>
            <w:r w:rsidR="16F548D0" w:rsidRPr="273A31E3">
              <w:rPr>
                <w:rFonts w:ascii="Arial" w:hAnsi="Arial" w:cs="Arial"/>
                <w:i/>
                <w:iCs/>
              </w:rPr>
              <w:t>Number</w:t>
            </w:r>
            <w:r w:rsidR="008D5C01">
              <w:rPr>
                <w:rFonts w:ascii="Arial" w:hAnsi="Arial" w:cs="Arial"/>
                <w:i/>
                <w:iCs/>
              </w:rPr>
              <w:t xml:space="preserve"> inc.</w:t>
            </w:r>
            <w:r w:rsidRPr="273A31E3">
              <w:rPr>
                <w:rFonts w:ascii="Arial" w:hAnsi="Arial" w:cs="Arial"/>
                <w:i/>
                <w:iCs/>
              </w:rPr>
              <w:t>)</w:t>
            </w:r>
          </w:p>
        </w:tc>
        <w:tc>
          <w:tcPr>
            <w:tcW w:w="242" w:type="dxa"/>
            <w:tcBorders>
              <w:top w:val="nil"/>
              <w:left w:val="single" w:sz="4" w:space="0" w:color="auto"/>
              <w:bottom w:val="nil"/>
              <w:right w:val="nil"/>
            </w:tcBorders>
          </w:tcPr>
          <w:p w14:paraId="1F92AC5C"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771" w:type="dxa"/>
            <w:gridSpan w:val="4"/>
            <w:vMerge w:val="restart"/>
            <w:tcBorders>
              <w:top w:val="single" w:sz="4" w:space="0" w:color="auto"/>
              <w:left w:val="single" w:sz="4" w:space="0" w:color="auto"/>
              <w:right w:val="single" w:sz="4" w:space="0" w:color="auto"/>
            </w:tcBorders>
          </w:tcPr>
          <w:p w14:paraId="58EB0436" w14:textId="77777777" w:rsidR="00DF3C38" w:rsidRDefault="00DF3C38" w:rsidP="008424FD">
            <w:pPr>
              <w:pStyle w:val="BodyText"/>
              <w:tabs>
                <w:tab w:val="left" w:pos="-540"/>
                <w:tab w:val="left" w:pos="4860"/>
                <w:tab w:val="left" w:pos="6660"/>
                <w:tab w:val="left" w:pos="7740"/>
                <w:tab w:val="right" w:pos="8820"/>
              </w:tabs>
              <w:spacing w:before="120"/>
              <w:ind w:right="-516" w:firstLine="51"/>
              <w:rPr>
                <w:rFonts w:ascii="Arial" w:hAnsi="Arial" w:cs="Arial"/>
                <w:bCs/>
                <w:i/>
              </w:rPr>
            </w:pPr>
            <w:r>
              <w:rPr>
                <w:rFonts w:ascii="Arial" w:hAnsi="Arial" w:cs="Arial"/>
                <w:bCs/>
                <w:iCs/>
              </w:rPr>
              <w:t xml:space="preserve">Clinic stamp </w:t>
            </w:r>
            <w:r>
              <w:rPr>
                <w:rFonts w:ascii="Arial" w:hAnsi="Arial" w:cs="Arial"/>
                <w:bCs/>
                <w:i/>
              </w:rPr>
              <w:t>or give details below</w:t>
            </w:r>
          </w:p>
          <w:p w14:paraId="4B0D6DB3" w14:textId="77777777" w:rsidR="00DF3C38" w:rsidRDefault="00DF3C38" w:rsidP="008424FD">
            <w:pPr>
              <w:pStyle w:val="BodyText"/>
              <w:tabs>
                <w:tab w:val="left" w:pos="-540"/>
                <w:tab w:val="left" w:pos="4860"/>
                <w:tab w:val="left" w:pos="6660"/>
                <w:tab w:val="left" w:pos="7740"/>
                <w:tab w:val="right" w:pos="8820"/>
              </w:tabs>
              <w:spacing w:before="120"/>
              <w:ind w:right="-516" w:firstLine="51"/>
              <w:rPr>
                <w:rFonts w:ascii="Arial" w:hAnsi="Arial" w:cs="Arial"/>
                <w:b/>
                <w:bCs/>
                <w:iCs/>
              </w:rPr>
            </w:pPr>
          </w:p>
        </w:tc>
      </w:tr>
      <w:tr w:rsidR="00DF3C38" w14:paraId="75BB8E07" w14:textId="77777777" w:rsidTr="273A31E3">
        <w:trPr>
          <w:cantSplit/>
          <w:trHeight w:val="145"/>
        </w:trPr>
        <w:tc>
          <w:tcPr>
            <w:tcW w:w="5350" w:type="dxa"/>
            <w:gridSpan w:val="5"/>
            <w:vMerge/>
          </w:tcPr>
          <w:p w14:paraId="04CD16B7"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242" w:type="dxa"/>
            <w:tcBorders>
              <w:top w:val="nil"/>
              <w:left w:val="single" w:sz="4" w:space="0" w:color="auto"/>
              <w:bottom w:val="nil"/>
              <w:right w:val="nil"/>
            </w:tcBorders>
          </w:tcPr>
          <w:p w14:paraId="4AED1530"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771" w:type="dxa"/>
            <w:gridSpan w:val="4"/>
            <w:vMerge/>
          </w:tcPr>
          <w:p w14:paraId="0452C0D0"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r>
      <w:tr w:rsidR="00DF3C38" w14:paraId="1F659CFE" w14:textId="77777777" w:rsidTr="273A31E3">
        <w:trPr>
          <w:cantSplit/>
          <w:trHeight w:val="113"/>
        </w:trPr>
        <w:tc>
          <w:tcPr>
            <w:tcW w:w="5350" w:type="dxa"/>
            <w:gridSpan w:val="5"/>
            <w:vMerge/>
          </w:tcPr>
          <w:p w14:paraId="374491AA"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242" w:type="dxa"/>
            <w:tcBorders>
              <w:top w:val="nil"/>
              <w:left w:val="single" w:sz="4" w:space="0" w:color="auto"/>
              <w:bottom w:val="nil"/>
              <w:right w:val="nil"/>
            </w:tcBorders>
          </w:tcPr>
          <w:p w14:paraId="5C94E89E"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771" w:type="dxa"/>
            <w:gridSpan w:val="4"/>
            <w:vMerge/>
          </w:tcPr>
          <w:p w14:paraId="57ACE8A3"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r>
      <w:tr w:rsidR="00DF3C38" w14:paraId="17CA2488" w14:textId="77777777" w:rsidTr="273A31E3">
        <w:trPr>
          <w:cantSplit/>
          <w:trHeight w:val="90"/>
        </w:trPr>
        <w:tc>
          <w:tcPr>
            <w:tcW w:w="10363" w:type="dxa"/>
            <w:gridSpan w:val="10"/>
            <w:tcBorders>
              <w:top w:val="nil"/>
              <w:left w:val="nil"/>
              <w:bottom w:val="nil"/>
              <w:right w:val="nil"/>
            </w:tcBorders>
          </w:tcPr>
          <w:p w14:paraId="184485B5" w14:textId="77777777" w:rsidR="00DF3C38" w:rsidRDefault="00DF3C38" w:rsidP="008424FD">
            <w:pPr>
              <w:pStyle w:val="BodyText"/>
              <w:tabs>
                <w:tab w:val="left" w:pos="-540"/>
                <w:tab w:val="left" w:pos="4860"/>
                <w:tab w:val="left" w:pos="6660"/>
                <w:tab w:val="left" w:pos="7740"/>
                <w:tab w:val="right" w:pos="8820"/>
              </w:tabs>
              <w:ind w:right="-516" w:firstLine="51"/>
              <w:rPr>
                <w:rFonts w:ascii="Arial" w:hAnsi="Arial" w:cs="Arial"/>
                <w:bCs/>
                <w:iCs/>
                <w:sz w:val="16"/>
              </w:rPr>
            </w:pPr>
          </w:p>
        </w:tc>
      </w:tr>
      <w:tr w:rsidR="00B1573E" w14:paraId="12CDDF41" w14:textId="77777777" w:rsidTr="273A31E3">
        <w:trPr>
          <w:cantSplit/>
          <w:trHeight w:val="468"/>
        </w:trPr>
        <w:tc>
          <w:tcPr>
            <w:tcW w:w="2474" w:type="dxa"/>
            <w:tcBorders>
              <w:top w:val="nil"/>
              <w:left w:val="nil"/>
              <w:bottom w:val="nil"/>
              <w:right w:val="single" w:sz="4" w:space="0" w:color="auto"/>
            </w:tcBorders>
            <w:vAlign w:val="center"/>
          </w:tcPr>
          <w:p w14:paraId="40E83C97" w14:textId="77777777" w:rsidR="00DF3C3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 xml:space="preserve"> Department</w:t>
            </w:r>
          </w:p>
        </w:tc>
        <w:tc>
          <w:tcPr>
            <w:tcW w:w="2876" w:type="dxa"/>
            <w:gridSpan w:val="4"/>
            <w:tcBorders>
              <w:top w:val="single" w:sz="4" w:space="0" w:color="auto"/>
              <w:left w:val="single" w:sz="4" w:space="0" w:color="auto"/>
              <w:bottom w:val="single" w:sz="4" w:space="0" w:color="auto"/>
              <w:right w:val="nil"/>
            </w:tcBorders>
            <w:vAlign w:val="center"/>
          </w:tcPr>
          <w:p w14:paraId="286935C3"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c>
          <w:tcPr>
            <w:tcW w:w="242" w:type="dxa"/>
            <w:tcBorders>
              <w:top w:val="nil"/>
              <w:left w:val="single" w:sz="4" w:space="0" w:color="auto"/>
              <w:bottom w:val="nil"/>
              <w:right w:val="nil"/>
            </w:tcBorders>
            <w:vAlign w:val="center"/>
          </w:tcPr>
          <w:p w14:paraId="6740499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771" w:type="dxa"/>
            <w:gridSpan w:val="4"/>
            <w:tcBorders>
              <w:top w:val="nil"/>
              <w:left w:val="nil"/>
              <w:bottom w:val="nil"/>
              <w:right w:val="nil"/>
            </w:tcBorders>
            <w:vAlign w:val="center"/>
          </w:tcPr>
          <w:p w14:paraId="2852FD58"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11B3ECB9" w14:textId="77777777" w:rsidTr="273A31E3">
        <w:trPr>
          <w:cantSplit/>
          <w:trHeight w:val="300"/>
        </w:trPr>
        <w:tc>
          <w:tcPr>
            <w:tcW w:w="5592" w:type="dxa"/>
            <w:gridSpan w:val="6"/>
            <w:tcBorders>
              <w:top w:val="nil"/>
              <w:left w:val="nil"/>
              <w:bottom w:val="nil"/>
              <w:right w:val="nil"/>
            </w:tcBorders>
          </w:tcPr>
          <w:p w14:paraId="7EFA829F"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c>
          <w:tcPr>
            <w:tcW w:w="4771" w:type="dxa"/>
            <w:gridSpan w:val="4"/>
            <w:tcBorders>
              <w:top w:val="nil"/>
              <w:left w:val="nil"/>
              <w:bottom w:val="nil"/>
              <w:right w:val="nil"/>
            </w:tcBorders>
          </w:tcPr>
          <w:p w14:paraId="6B720EF0"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B1573E" w14:paraId="383C4029" w14:textId="77777777" w:rsidTr="273A31E3">
        <w:trPr>
          <w:cantSplit/>
          <w:trHeight w:val="468"/>
        </w:trPr>
        <w:tc>
          <w:tcPr>
            <w:tcW w:w="2474" w:type="dxa"/>
            <w:tcBorders>
              <w:top w:val="nil"/>
              <w:left w:val="nil"/>
              <w:bottom w:val="nil"/>
              <w:right w:val="single" w:sz="4" w:space="0" w:color="auto"/>
            </w:tcBorders>
            <w:vAlign w:val="center"/>
          </w:tcPr>
          <w:p w14:paraId="3E8D3F76"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Clinic phone </w:t>
            </w:r>
          </w:p>
          <w:p w14:paraId="4BC86BEE"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p>
        </w:tc>
        <w:tc>
          <w:tcPr>
            <w:tcW w:w="2876" w:type="dxa"/>
            <w:gridSpan w:val="4"/>
            <w:tcBorders>
              <w:top w:val="single" w:sz="4" w:space="0" w:color="auto"/>
              <w:left w:val="single" w:sz="4" w:space="0" w:color="auto"/>
              <w:bottom w:val="single" w:sz="4" w:space="0" w:color="auto"/>
              <w:right w:val="nil"/>
            </w:tcBorders>
            <w:vAlign w:val="center"/>
          </w:tcPr>
          <w:p w14:paraId="62E17009"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c>
          <w:tcPr>
            <w:tcW w:w="242" w:type="dxa"/>
            <w:tcBorders>
              <w:top w:val="nil"/>
              <w:left w:val="single" w:sz="4" w:space="0" w:color="auto"/>
              <w:bottom w:val="nil"/>
              <w:right w:val="nil"/>
            </w:tcBorders>
            <w:vAlign w:val="center"/>
          </w:tcPr>
          <w:p w14:paraId="7D93FCA8"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 </w:t>
            </w:r>
          </w:p>
        </w:tc>
        <w:tc>
          <w:tcPr>
            <w:tcW w:w="842" w:type="dxa"/>
            <w:tcBorders>
              <w:top w:val="nil"/>
              <w:left w:val="nil"/>
              <w:bottom w:val="nil"/>
              <w:right w:val="nil"/>
            </w:tcBorders>
            <w:vAlign w:val="center"/>
          </w:tcPr>
          <w:p w14:paraId="3150AEBF" w14:textId="77777777" w:rsidR="00DF3C38" w:rsidRDefault="00DF3C38" w:rsidP="007B67B8">
            <w:pPr>
              <w:pStyle w:val="BodyText"/>
              <w:tabs>
                <w:tab w:val="left" w:pos="-540"/>
                <w:tab w:val="left" w:pos="4860"/>
                <w:tab w:val="left" w:pos="6660"/>
                <w:tab w:val="left" w:pos="7740"/>
                <w:tab w:val="right" w:pos="8820"/>
              </w:tabs>
              <w:spacing w:before="120"/>
              <w:ind w:right="-516" w:hanging="128"/>
              <w:rPr>
                <w:rFonts w:ascii="Arial" w:hAnsi="Arial" w:cs="Arial"/>
                <w:bCs/>
                <w:iCs/>
              </w:rPr>
            </w:pPr>
            <w:r>
              <w:rPr>
                <w:rFonts w:ascii="Arial" w:hAnsi="Arial" w:cs="Arial"/>
                <w:bCs/>
                <w:iCs/>
              </w:rPr>
              <w:t xml:space="preserve">     </w:t>
            </w:r>
          </w:p>
        </w:tc>
        <w:tc>
          <w:tcPr>
            <w:tcW w:w="3929" w:type="dxa"/>
            <w:gridSpan w:val="3"/>
            <w:tcBorders>
              <w:top w:val="nil"/>
              <w:left w:val="nil"/>
              <w:bottom w:val="nil"/>
              <w:right w:val="nil"/>
            </w:tcBorders>
            <w:vAlign w:val="center"/>
          </w:tcPr>
          <w:p w14:paraId="7F4C96A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r>
      <w:tr w:rsidR="00DF3C38" w14:paraId="3B2895F3" w14:textId="77777777" w:rsidTr="273A31E3">
        <w:trPr>
          <w:cantSplit/>
          <w:trHeight w:val="300"/>
        </w:trPr>
        <w:tc>
          <w:tcPr>
            <w:tcW w:w="5592" w:type="dxa"/>
            <w:gridSpan w:val="6"/>
            <w:tcBorders>
              <w:top w:val="nil"/>
              <w:left w:val="nil"/>
              <w:bottom w:val="nil"/>
              <w:right w:val="nil"/>
            </w:tcBorders>
          </w:tcPr>
          <w:p w14:paraId="7A76476C"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c>
          <w:tcPr>
            <w:tcW w:w="4771" w:type="dxa"/>
            <w:gridSpan w:val="4"/>
            <w:tcBorders>
              <w:top w:val="nil"/>
              <w:left w:val="nil"/>
              <w:bottom w:val="nil"/>
              <w:right w:val="nil"/>
            </w:tcBorders>
          </w:tcPr>
          <w:p w14:paraId="269EF4F8" w14:textId="77777777" w:rsidR="00DF3C38" w:rsidRDefault="00DF3C38" w:rsidP="008424FD">
            <w:pPr>
              <w:pStyle w:val="BodyText"/>
              <w:tabs>
                <w:tab w:val="left" w:pos="-540"/>
                <w:tab w:val="left" w:pos="4860"/>
                <w:tab w:val="left" w:pos="6660"/>
                <w:tab w:val="left" w:pos="7740"/>
                <w:tab w:val="right" w:pos="8820"/>
              </w:tabs>
              <w:ind w:right="-516" w:hanging="128"/>
              <w:rPr>
                <w:rFonts w:ascii="Arial" w:hAnsi="Arial" w:cs="Arial"/>
                <w:bCs/>
                <w:iCs/>
                <w:sz w:val="16"/>
              </w:rPr>
            </w:pPr>
          </w:p>
        </w:tc>
      </w:tr>
      <w:tr w:rsidR="00B1573E" w14:paraId="4AF479AA" w14:textId="77777777" w:rsidTr="273A31E3">
        <w:trPr>
          <w:cantSplit/>
          <w:trHeight w:val="468"/>
        </w:trPr>
        <w:tc>
          <w:tcPr>
            <w:tcW w:w="2474" w:type="dxa"/>
            <w:tcBorders>
              <w:top w:val="nil"/>
              <w:left w:val="nil"/>
              <w:bottom w:val="nil"/>
              <w:right w:val="single" w:sz="4" w:space="0" w:color="auto"/>
            </w:tcBorders>
            <w:vAlign w:val="center"/>
          </w:tcPr>
          <w:p w14:paraId="1F0D6C89"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Consultant</w:t>
            </w:r>
          </w:p>
        </w:tc>
        <w:tc>
          <w:tcPr>
            <w:tcW w:w="2876" w:type="dxa"/>
            <w:gridSpan w:val="4"/>
            <w:tcBorders>
              <w:top w:val="single" w:sz="4" w:space="0" w:color="auto"/>
              <w:left w:val="single" w:sz="4" w:space="0" w:color="auto"/>
              <w:bottom w:val="single" w:sz="4" w:space="0" w:color="auto"/>
              <w:right w:val="nil"/>
            </w:tcBorders>
            <w:vAlign w:val="center"/>
          </w:tcPr>
          <w:p w14:paraId="610994C4"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vAlign w:val="center"/>
          </w:tcPr>
          <w:p w14:paraId="479D0A9B"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  </w:t>
            </w:r>
          </w:p>
        </w:tc>
        <w:tc>
          <w:tcPr>
            <w:tcW w:w="842" w:type="dxa"/>
            <w:tcBorders>
              <w:top w:val="nil"/>
              <w:left w:val="nil"/>
              <w:bottom w:val="nil"/>
              <w:right w:val="nil"/>
            </w:tcBorders>
            <w:vAlign w:val="center"/>
          </w:tcPr>
          <w:p w14:paraId="6EACA942" w14:textId="77777777" w:rsidR="00DF3C38" w:rsidRDefault="00DF3C38" w:rsidP="008424FD">
            <w:pPr>
              <w:pStyle w:val="BodyText"/>
              <w:tabs>
                <w:tab w:val="left" w:pos="-540"/>
                <w:tab w:val="left" w:pos="4860"/>
                <w:tab w:val="left" w:pos="6660"/>
                <w:tab w:val="left" w:pos="7740"/>
                <w:tab w:val="right" w:pos="8820"/>
              </w:tabs>
              <w:spacing w:before="120"/>
              <w:ind w:right="-516" w:hanging="128"/>
              <w:rPr>
                <w:rFonts w:ascii="Arial" w:hAnsi="Arial" w:cs="Arial"/>
                <w:bCs/>
                <w:iCs/>
              </w:rPr>
            </w:pPr>
            <w:r>
              <w:rPr>
                <w:rFonts w:ascii="Arial" w:hAnsi="Arial" w:cs="Arial"/>
                <w:bCs/>
                <w:iCs/>
              </w:rPr>
              <w:t xml:space="preserve">  Email</w:t>
            </w:r>
          </w:p>
        </w:tc>
        <w:tc>
          <w:tcPr>
            <w:tcW w:w="3929" w:type="dxa"/>
            <w:gridSpan w:val="3"/>
            <w:tcBorders>
              <w:top w:val="single" w:sz="4" w:space="0" w:color="auto"/>
              <w:left w:val="single" w:sz="4" w:space="0" w:color="auto"/>
              <w:bottom w:val="single" w:sz="4" w:space="0" w:color="auto"/>
              <w:right w:val="single" w:sz="4" w:space="0" w:color="auto"/>
            </w:tcBorders>
            <w:vAlign w:val="center"/>
          </w:tcPr>
          <w:p w14:paraId="70E637B8"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r>
      <w:tr w:rsidR="00DF3C38" w14:paraId="48DD4DE8" w14:textId="77777777" w:rsidTr="273A31E3">
        <w:trPr>
          <w:cantSplit/>
          <w:trHeight w:val="287"/>
        </w:trPr>
        <w:tc>
          <w:tcPr>
            <w:tcW w:w="10363" w:type="dxa"/>
            <w:gridSpan w:val="10"/>
            <w:tcBorders>
              <w:top w:val="nil"/>
              <w:left w:val="nil"/>
              <w:bottom w:val="nil"/>
              <w:right w:val="nil"/>
            </w:tcBorders>
          </w:tcPr>
          <w:p w14:paraId="1FEC5749"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DF3C38" w14:paraId="0C3606EF" w14:textId="77777777" w:rsidTr="273A31E3">
        <w:trPr>
          <w:cantSplit/>
          <w:trHeight w:val="403"/>
        </w:trPr>
        <w:tc>
          <w:tcPr>
            <w:tcW w:w="2474" w:type="dxa"/>
            <w:tcBorders>
              <w:top w:val="nil"/>
              <w:left w:val="nil"/>
              <w:bottom w:val="nil"/>
              <w:right w:val="single" w:sz="4" w:space="0" w:color="auto"/>
            </w:tcBorders>
            <w:vAlign w:val="center"/>
          </w:tcPr>
          <w:p w14:paraId="6D029492" w14:textId="77777777" w:rsidR="00DF3C38" w:rsidRPr="007B487A"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Indication for prescription</w:t>
            </w:r>
          </w:p>
        </w:tc>
        <w:tc>
          <w:tcPr>
            <w:tcW w:w="7889" w:type="dxa"/>
            <w:gridSpan w:val="9"/>
            <w:tcBorders>
              <w:top w:val="single" w:sz="4" w:space="0" w:color="auto"/>
              <w:left w:val="nil"/>
              <w:bottom w:val="single" w:sz="4" w:space="0" w:color="auto"/>
              <w:right w:val="single" w:sz="4" w:space="0" w:color="auto"/>
            </w:tcBorders>
            <w:vAlign w:val="center"/>
          </w:tcPr>
          <w:p w14:paraId="170A965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24428D76" w14:textId="77777777" w:rsidTr="273A31E3">
        <w:trPr>
          <w:cantSplit/>
          <w:trHeight w:val="300"/>
        </w:trPr>
        <w:tc>
          <w:tcPr>
            <w:tcW w:w="10363" w:type="dxa"/>
            <w:gridSpan w:val="10"/>
            <w:tcBorders>
              <w:top w:val="nil"/>
              <w:left w:val="nil"/>
              <w:bottom w:val="nil"/>
              <w:right w:val="nil"/>
            </w:tcBorders>
          </w:tcPr>
          <w:p w14:paraId="0FB4C051"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26342C91" w14:textId="77777777" w:rsidTr="273A31E3">
        <w:trPr>
          <w:cantSplit/>
          <w:trHeight w:val="403"/>
        </w:trPr>
        <w:tc>
          <w:tcPr>
            <w:tcW w:w="2474" w:type="dxa"/>
            <w:tcBorders>
              <w:top w:val="nil"/>
              <w:left w:val="nil"/>
              <w:bottom w:val="nil"/>
              <w:right w:val="single" w:sz="4" w:space="0" w:color="auto"/>
            </w:tcBorders>
            <w:vAlign w:val="center"/>
          </w:tcPr>
          <w:p w14:paraId="2839BDE3" w14:textId="77777777" w:rsidR="00DF3C38" w:rsidRPr="007B487A"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Drug prescribed</w:t>
            </w:r>
          </w:p>
        </w:tc>
        <w:tc>
          <w:tcPr>
            <w:tcW w:w="7889" w:type="dxa"/>
            <w:gridSpan w:val="9"/>
            <w:tcBorders>
              <w:top w:val="single" w:sz="4" w:space="0" w:color="auto"/>
              <w:left w:val="nil"/>
              <w:bottom w:val="single" w:sz="4" w:space="0" w:color="auto"/>
              <w:right w:val="single" w:sz="4" w:space="0" w:color="auto"/>
            </w:tcBorders>
            <w:vAlign w:val="center"/>
          </w:tcPr>
          <w:p w14:paraId="4A36750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6B805EA5" w14:textId="77777777" w:rsidTr="273A31E3">
        <w:trPr>
          <w:cantSplit/>
          <w:trHeight w:val="300"/>
        </w:trPr>
        <w:tc>
          <w:tcPr>
            <w:tcW w:w="10363" w:type="dxa"/>
            <w:gridSpan w:val="10"/>
            <w:tcBorders>
              <w:top w:val="nil"/>
              <w:left w:val="nil"/>
              <w:bottom w:val="nil"/>
              <w:right w:val="nil"/>
            </w:tcBorders>
          </w:tcPr>
          <w:p w14:paraId="3A9E71CB"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B1573E" w14:paraId="4D10A921" w14:textId="77777777" w:rsidTr="273A31E3">
        <w:trPr>
          <w:cantSplit/>
          <w:trHeight w:val="462"/>
        </w:trPr>
        <w:tc>
          <w:tcPr>
            <w:tcW w:w="4074" w:type="dxa"/>
            <w:gridSpan w:val="2"/>
            <w:tcBorders>
              <w:top w:val="nil"/>
              <w:left w:val="nil"/>
              <w:bottom w:val="nil"/>
              <w:right w:val="single" w:sz="4" w:space="0" w:color="auto"/>
            </w:tcBorders>
          </w:tcPr>
          <w:p w14:paraId="36BBE158" w14:textId="77777777" w:rsidR="00DF3C38" w:rsidRDefault="00DF3C38" w:rsidP="00D831A5">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Date                                     Drug started</w:t>
            </w:r>
          </w:p>
        </w:tc>
        <w:tc>
          <w:tcPr>
            <w:tcW w:w="1019" w:type="dxa"/>
            <w:gridSpan w:val="2"/>
            <w:tcBorders>
              <w:top w:val="single" w:sz="4" w:space="0" w:color="auto"/>
              <w:left w:val="nil"/>
              <w:bottom w:val="single" w:sz="4" w:space="0" w:color="auto"/>
              <w:right w:val="single" w:sz="4" w:space="0" w:color="auto"/>
            </w:tcBorders>
          </w:tcPr>
          <w:p w14:paraId="60C0BB1E"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75" w:type="dxa"/>
            <w:gridSpan w:val="4"/>
            <w:tcBorders>
              <w:top w:val="nil"/>
              <w:left w:val="nil"/>
              <w:bottom w:val="nil"/>
              <w:right w:val="single" w:sz="4" w:space="0" w:color="auto"/>
            </w:tcBorders>
          </w:tcPr>
          <w:p w14:paraId="5CD7590B" w14:textId="77777777" w:rsidR="00DF3C38" w:rsidRDefault="00DF3C38" w:rsidP="00D831A5">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              Current dose</w:t>
            </w:r>
          </w:p>
        </w:tc>
        <w:tc>
          <w:tcPr>
            <w:tcW w:w="875" w:type="dxa"/>
            <w:tcBorders>
              <w:top w:val="single" w:sz="4" w:space="0" w:color="auto"/>
              <w:left w:val="single" w:sz="4" w:space="0" w:color="auto"/>
              <w:bottom w:val="single" w:sz="4" w:space="0" w:color="auto"/>
              <w:right w:val="single" w:sz="4" w:space="0" w:color="auto"/>
            </w:tcBorders>
          </w:tcPr>
          <w:p w14:paraId="4C7FF17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1920" w:type="dxa"/>
            <w:tcBorders>
              <w:top w:val="nil"/>
              <w:left w:val="single" w:sz="4" w:space="0" w:color="auto"/>
              <w:bottom w:val="nil"/>
              <w:right w:val="nil"/>
            </w:tcBorders>
          </w:tcPr>
          <w:p w14:paraId="635EF60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7D148A5D" w14:textId="77777777" w:rsidTr="273A31E3">
        <w:trPr>
          <w:cantSplit/>
          <w:trHeight w:val="300"/>
        </w:trPr>
        <w:tc>
          <w:tcPr>
            <w:tcW w:w="10363" w:type="dxa"/>
            <w:gridSpan w:val="10"/>
            <w:tcBorders>
              <w:top w:val="nil"/>
              <w:left w:val="nil"/>
              <w:bottom w:val="nil"/>
              <w:right w:val="nil"/>
            </w:tcBorders>
          </w:tcPr>
          <w:p w14:paraId="1335413D"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DF3C38" w14:paraId="457EB596" w14:textId="77777777" w:rsidTr="273A31E3">
        <w:trPr>
          <w:cantSplit/>
          <w:trHeight w:val="468"/>
        </w:trPr>
        <w:tc>
          <w:tcPr>
            <w:tcW w:w="2474" w:type="dxa"/>
            <w:tcBorders>
              <w:top w:val="nil"/>
              <w:left w:val="nil"/>
              <w:bottom w:val="nil"/>
              <w:right w:val="single" w:sz="4" w:space="0" w:color="auto"/>
            </w:tcBorders>
          </w:tcPr>
          <w:p w14:paraId="180CFD63"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Relevant conditions </w:t>
            </w:r>
          </w:p>
        </w:tc>
        <w:tc>
          <w:tcPr>
            <w:tcW w:w="7889" w:type="dxa"/>
            <w:gridSpan w:val="9"/>
            <w:tcBorders>
              <w:top w:val="single" w:sz="4" w:space="0" w:color="auto"/>
              <w:left w:val="single" w:sz="4" w:space="0" w:color="auto"/>
              <w:bottom w:val="single" w:sz="4" w:space="0" w:color="auto"/>
              <w:right w:val="single" w:sz="4" w:space="0" w:color="auto"/>
            </w:tcBorders>
          </w:tcPr>
          <w:p w14:paraId="45616C26"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5C956EC6" w14:textId="77777777" w:rsidTr="273A31E3">
        <w:trPr>
          <w:cantSplit/>
          <w:trHeight w:val="300"/>
        </w:trPr>
        <w:tc>
          <w:tcPr>
            <w:tcW w:w="10363" w:type="dxa"/>
            <w:gridSpan w:val="10"/>
            <w:tcBorders>
              <w:top w:val="nil"/>
              <w:left w:val="nil"/>
              <w:bottom w:val="nil"/>
              <w:right w:val="nil"/>
            </w:tcBorders>
          </w:tcPr>
          <w:p w14:paraId="290915C8"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3D38F875" w14:textId="77777777" w:rsidTr="273A31E3">
        <w:trPr>
          <w:cantSplit/>
          <w:trHeight w:val="468"/>
        </w:trPr>
        <w:tc>
          <w:tcPr>
            <w:tcW w:w="2474" w:type="dxa"/>
            <w:tcBorders>
              <w:top w:val="nil"/>
              <w:left w:val="nil"/>
              <w:bottom w:val="nil"/>
              <w:right w:val="single" w:sz="4" w:space="0" w:color="auto"/>
            </w:tcBorders>
          </w:tcPr>
          <w:p w14:paraId="6BC788F4"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Monitoring variations</w:t>
            </w:r>
          </w:p>
        </w:tc>
        <w:tc>
          <w:tcPr>
            <w:tcW w:w="7889" w:type="dxa"/>
            <w:gridSpan w:val="9"/>
            <w:tcBorders>
              <w:top w:val="single" w:sz="4" w:space="0" w:color="auto"/>
              <w:left w:val="single" w:sz="4" w:space="0" w:color="auto"/>
              <w:bottom w:val="single" w:sz="4" w:space="0" w:color="auto"/>
              <w:right w:val="single" w:sz="4" w:space="0" w:color="auto"/>
            </w:tcBorders>
          </w:tcPr>
          <w:p w14:paraId="60DDEF7A"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1F3D8242" w14:textId="77777777" w:rsidTr="273A31E3">
        <w:trPr>
          <w:cantSplit/>
          <w:trHeight w:val="300"/>
        </w:trPr>
        <w:tc>
          <w:tcPr>
            <w:tcW w:w="10363" w:type="dxa"/>
            <w:gridSpan w:val="10"/>
            <w:tcBorders>
              <w:top w:val="nil"/>
              <w:left w:val="nil"/>
              <w:bottom w:val="nil"/>
              <w:right w:val="nil"/>
            </w:tcBorders>
          </w:tcPr>
          <w:p w14:paraId="4DA071E0" w14:textId="77777777" w:rsidR="00DF3C38" w:rsidRDefault="00DF3C38" w:rsidP="008424FD">
            <w:pPr>
              <w:pStyle w:val="BodyText"/>
              <w:tabs>
                <w:tab w:val="left" w:pos="-540"/>
                <w:tab w:val="left" w:pos="5112"/>
                <w:tab w:val="left" w:pos="6660"/>
                <w:tab w:val="left" w:pos="7740"/>
                <w:tab w:val="right" w:pos="8820"/>
              </w:tabs>
              <w:ind w:right="-516" w:hanging="108"/>
              <w:rPr>
                <w:rFonts w:ascii="Arial" w:hAnsi="Arial" w:cs="Arial"/>
                <w:bCs/>
                <w:iCs/>
                <w:sz w:val="16"/>
              </w:rPr>
            </w:pPr>
          </w:p>
        </w:tc>
      </w:tr>
      <w:tr w:rsidR="00B1573E" w14:paraId="5FF00A50" w14:textId="77777777" w:rsidTr="273A31E3">
        <w:trPr>
          <w:cantSplit/>
          <w:trHeight w:val="468"/>
        </w:trPr>
        <w:tc>
          <w:tcPr>
            <w:tcW w:w="2474" w:type="dxa"/>
            <w:tcBorders>
              <w:top w:val="nil"/>
              <w:left w:val="nil"/>
              <w:bottom w:val="nil"/>
              <w:right w:val="single" w:sz="4" w:space="0" w:color="auto"/>
            </w:tcBorders>
          </w:tcPr>
          <w:p w14:paraId="15BAD653" w14:textId="77777777" w:rsidR="00DF3C38" w:rsidRDefault="00DF3C38" w:rsidP="008424FD">
            <w:pPr>
              <w:pStyle w:val="BodyText"/>
              <w:tabs>
                <w:tab w:val="left" w:pos="-540"/>
                <w:tab w:val="left" w:pos="5112"/>
                <w:tab w:val="left" w:pos="6660"/>
                <w:tab w:val="left" w:pos="7740"/>
                <w:tab w:val="right" w:pos="8820"/>
              </w:tabs>
              <w:spacing w:before="120"/>
              <w:ind w:right="-516" w:hanging="108"/>
              <w:rPr>
                <w:rFonts w:ascii="Arial" w:hAnsi="Arial" w:cs="Arial"/>
                <w:bCs/>
                <w:iCs/>
              </w:rPr>
            </w:pPr>
            <w:r>
              <w:rPr>
                <w:rFonts w:ascii="Arial" w:hAnsi="Arial" w:cs="Arial"/>
                <w:bCs/>
                <w:iCs/>
              </w:rPr>
              <w:t xml:space="preserve">Date next blood test </w:t>
            </w:r>
          </w:p>
        </w:tc>
        <w:tc>
          <w:tcPr>
            <w:tcW w:w="1980" w:type="dxa"/>
            <w:gridSpan w:val="2"/>
            <w:tcBorders>
              <w:top w:val="single" w:sz="4" w:space="0" w:color="auto"/>
              <w:left w:val="single" w:sz="4" w:space="0" w:color="auto"/>
              <w:bottom w:val="single" w:sz="4" w:space="0" w:color="auto"/>
              <w:right w:val="nil"/>
            </w:tcBorders>
          </w:tcPr>
          <w:p w14:paraId="3BBCF868" w14:textId="77777777" w:rsidR="00DF3C38"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p>
        </w:tc>
        <w:tc>
          <w:tcPr>
            <w:tcW w:w="3114" w:type="dxa"/>
            <w:gridSpan w:val="5"/>
            <w:tcBorders>
              <w:top w:val="nil"/>
              <w:left w:val="single" w:sz="4" w:space="0" w:color="auto"/>
              <w:bottom w:val="nil"/>
              <w:right w:val="single" w:sz="4" w:space="0" w:color="auto"/>
            </w:tcBorders>
          </w:tcPr>
          <w:p w14:paraId="5B9287D8" w14:textId="77777777" w:rsidR="00DF3C38" w:rsidRDefault="00DF3C38" w:rsidP="008424FD">
            <w:pPr>
              <w:pStyle w:val="BodyText"/>
              <w:tabs>
                <w:tab w:val="left" w:pos="-540"/>
                <w:tab w:val="left" w:pos="5112"/>
                <w:tab w:val="left" w:pos="6660"/>
                <w:tab w:val="left" w:pos="7740"/>
                <w:tab w:val="right" w:pos="8820"/>
              </w:tabs>
              <w:spacing w:before="120"/>
              <w:ind w:right="-516" w:hanging="149"/>
              <w:rPr>
                <w:rFonts w:ascii="Arial" w:hAnsi="Arial" w:cs="Arial"/>
                <w:bCs/>
                <w:iCs/>
              </w:rPr>
            </w:pPr>
            <w:r>
              <w:rPr>
                <w:rFonts w:ascii="Arial" w:hAnsi="Arial" w:cs="Arial"/>
                <w:bCs/>
                <w:iCs/>
              </w:rPr>
              <w:t xml:space="preserve">      Next disease review due in </w:t>
            </w:r>
          </w:p>
        </w:tc>
        <w:tc>
          <w:tcPr>
            <w:tcW w:w="875" w:type="dxa"/>
            <w:tcBorders>
              <w:top w:val="single" w:sz="4" w:space="0" w:color="auto"/>
              <w:left w:val="single" w:sz="4" w:space="0" w:color="auto"/>
              <w:bottom w:val="single" w:sz="4" w:space="0" w:color="auto"/>
              <w:right w:val="single" w:sz="4" w:space="0" w:color="auto"/>
            </w:tcBorders>
          </w:tcPr>
          <w:p w14:paraId="1F72500C" w14:textId="77777777" w:rsidR="00DF3C38"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p>
        </w:tc>
        <w:tc>
          <w:tcPr>
            <w:tcW w:w="1920" w:type="dxa"/>
            <w:tcBorders>
              <w:top w:val="nil"/>
              <w:left w:val="single" w:sz="4" w:space="0" w:color="auto"/>
              <w:bottom w:val="nil"/>
              <w:right w:val="nil"/>
            </w:tcBorders>
          </w:tcPr>
          <w:p w14:paraId="7F75A962" w14:textId="77777777" w:rsidR="00DF3C38"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r>
              <w:rPr>
                <w:rFonts w:ascii="Arial" w:hAnsi="Arial" w:cs="Arial"/>
                <w:bCs/>
                <w:iCs/>
              </w:rPr>
              <w:t>months’ time.</w:t>
            </w:r>
          </w:p>
        </w:tc>
      </w:tr>
      <w:tr w:rsidR="00DF3C38" w14:paraId="25E3EFCC" w14:textId="77777777" w:rsidTr="273A31E3">
        <w:trPr>
          <w:cantSplit/>
          <w:trHeight w:val="300"/>
        </w:trPr>
        <w:tc>
          <w:tcPr>
            <w:tcW w:w="10363" w:type="dxa"/>
            <w:gridSpan w:val="10"/>
            <w:tcBorders>
              <w:top w:val="nil"/>
              <w:left w:val="nil"/>
              <w:bottom w:val="nil"/>
              <w:right w:val="nil"/>
            </w:tcBorders>
          </w:tcPr>
          <w:p w14:paraId="16C886B1" w14:textId="77777777" w:rsidR="00DF3C38" w:rsidRDefault="00DF3C38" w:rsidP="008424FD">
            <w:pPr>
              <w:pStyle w:val="BodyText"/>
              <w:tabs>
                <w:tab w:val="left" w:pos="-540"/>
                <w:tab w:val="left" w:pos="5112"/>
                <w:tab w:val="left" w:pos="6660"/>
                <w:tab w:val="left" w:pos="7740"/>
                <w:tab w:val="right" w:pos="8820"/>
              </w:tabs>
              <w:ind w:right="-516"/>
              <w:rPr>
                <w:rFonts w:ascii="Arial" w:hAnsi="Arial" w:cs="Arial"/>
                <w:bCs/>
                <w:iCs/>
                <w:sz w:val="16"/>
              </w:rPr>
            </w:pPr>
          </w:p>
        </w:tc>
      </w:tr>
    </w:tbl>
    <w:p w14:paraId="34732121" w14:textId="77777777" w:rsidR="00DF3C38" w:rsidRDefault="00DF3C38" w:rsidP="00801EDB">
      <w:pPr>
        <w:spacing w:after="200" w:line="276" w:lineRule="auto"/>
        <w:rPr>
          <w:rFonts w:eastAsiaTheme="minorHAnsi" w:cs="Calibri"/>
          <w:sz w:val="22"/>
          <w:szCs w:val="22"/>
        </w:rPr>
      </w:pPr>
    </w:p>
    <w:p w14:paraId="3FCAB56C" w14:textId="77777777" w:rsidR="00DF3C38" w:rsidRDefault="00DF3C38">
      <w:pPr>
        <w:spacing w:after="200" w:line="276" w:lineRule="auto"/>
        <w:rPr>
          <w:rFonts w:eastAsiaTheme="minorHAnsi" w:cs="Calibri"/>
          <w:sz w:val="22"/>
          <w:szCs w:val="22"/>
        </w:rPr>
      </w:pPr>
      <w:r>
        <w:rPr>
          <w:rFonts w:eastAsiaTheme="minorHAnsi" w:cs="Calibri"/>
          <w:sz w:val="22"/>
          <w:szCs w:val="22"/>
        </w:rPr>
        <w:br w:type="page"/>
      </w:r>
    </w:p>
    <w:tbl>
      <w:tblPr>
        <w:tblW w:w="103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1422"/>
        <w:gridCol w:w="2546"/>
        <w:gridCol w:w="242"/>
        <w:gridCol w:w="4373"/>
      </w:tblGrid>
      <w:tr w:rsidR="00DF3C38" w14:paraId="228FA33A" w14:textId="77777777" w:rsidTr="273A31E3">
        <w:trPr>
          <w:cantSplit/>
          <w:trHeight w:val="789"/>
        </w:trPr>
        <w:tc>
          <w:tcPr>
            <w:tcW w:w="10363" w:type="dxa"/>
            <w:gridSpan w:val="5"/>
            <w:tcBorders>
              <w:top w:val="nil"/>
              <w:left w:val="nil"/>
              <w:bottom w:val="nil"/>
              <w:right w:val="nil"/>
            </w:tcBorders>
          </w:tcPr>
          <w:p w14:paraId="2FFD5F1D" w14:textId="54008206" w:rsidR="00DF3C38" w:rsidRDefault="00DF3C38" w:rsidP="273A31E3">
            <w:pPr>
              <w:pStyle w:val="BodyText"/>
              <w:tabs>
                <w:tab w:val="left" w:pos="4860"/>
                <w:tab w:val="left" w:pos="6660"/>
                <w:tab w:val="left" w:pos="7740"/>
                <w:tab w:val="right" w:pos="8820"/>
              </w:tabs>
              <w:spacing w:before="240"/>
              <w:ind w:left="-108" w:right="-516"/>
              <w:rPr>
                <w:rFonts w:ascii="Arial" w:hAnsi="Arial" w:cs="Arial"/>
              </w:rPr>
            </w:pPr>
            <w:r w:rsidRPr="273A31E3">
              <w:rPr>
                <w:rFonts w:ascii="Arial" w:hAnsi="Arial" w:cs="Arial"/>
                <w:b/>
                <w:bCs/>
              </w:rPr>
              <w:lastRenderedPageBreak/>
              <w:t xml:space="preserve">Section B: [Accept Shared Care] to be completed by practice </w:t>
            </w:r>
          </w:p>
          <w:p w14:paraId="3CA82804" w14:textId="5ECB612E" w:rsidR="273A31E3" w:rsidRDefault="00DF3C38" w:rsidP="009D3CF9">
            <w:pPr>
              <w:pStyle w:val="BodyText"/>
              <w:tabs>
                <w:tab w:val="left" w:pos="4860"/>
                <w:tab w:val="left" w:pos="6660"/>
                <w:tab w:val="left" w:pos="7740"/>
                <w:tab w:val="right" w:pos="8820"/>
              </w:tabs>
              <w:spacing w:before="120" w:after="240"/>
              <w:ind w:left="-108" w:right="-516"/>
              <w:rPr>
                <w:rFonts w:ascii="Arial" w:hAnsi="Arial" w:cs="Arial"/>
              </w:rPr>
            </w:pPr>
            <w:r w:rsidRPr="273A31E3">
              <w:rPr>
                <w:rFonts w:ascii="Arial" w:hAnsi="Arial" w:cs="Arial"/>
                <w:i/>
                <w:iCs/>
              </w:rPr>
              <w:t xml:space="preserve">Send back </w:t>
            </w:r>
            <w:r w:rsidRPr="273A31E3">
              <w:rPr>
                <w:rFonts w:ascii="Arial" w:hAnsi="Arial" w:cs="Arial"/>
                <w:b/>
                <w:bCs/>
                <w:i/>
                <w:iCs/>
              </w:rPr>
              <w:t>FAO referring consultant</w:t>
            </w:r>
            <w:r w:rsidRPr="273A31E3">
              <w:rPr>
                <w:rFonts w:ascii="Arial" w:hAnsi="Arial" w:cs="Arial"/>
                <w:i/>
                <w:iCs/>
              </w:rPr>
              <w:t xml:space="preserve"> above</w:t>
            </w:r>
          </w:p>
          <w:p w14:paraId="0B3F9DA6" w14:textId="77777777" w:rsidR="00DF3C38" w:rsidRDefault="00DF3C38" w:rsidP="008424FD">
            <w:pPr>
              <w:pStyle w:val="BodyText"/>
              <w:tabs>
                <w:tab w:val="left" w:pos="-540"/>
                <w:tab w:val="left" w:pos="4860"/>
                <w:tab w:val="left" w:pos="6660"/>
                <w:tab w:val="left" w:pos="7740"/>
                <w:tab w:val="right" w:pos="8820"/>
              </w:tabs>
              <w:spacing w:before="120" w:after="240"/>
              <w:ind w:right="-516" w:hanging="108"/>
              <w:rPr>
                <w:rFonts w:ascii="Arial" w:hAnsi="Arial" w:cs="Arial"/>
                <w:b/>
                <w:iCs/>
              </w:rPr>
            </w:pPr>
            <w:r>
              <w:rPr>
                <w:rFonts w:ascii="Arial" w:hAnsi="Arial" w:cs="Arial"/>
                <w:bCs/>
                <w:iCs/>
              </w:rPr>
              <w:t>The above patient has been accepted into our monitoring service.</w:t>
            </w:r>
          </w:p>
        </w:tc>
      </w:tr>
      <w:tr w:rsidR="00DF3C38" w14:paraId="6C06BDE0" w14:textId="77777777" w:rsidTr="273A31E3">
        <w:trPr>
          <w:cantSplit/>
          <w:trHeight w:val="468"/>
        </w:trPr>
        <w:tc>
          <w:tcPr>
            <w:tcW w:w="3202" w:type="dxa"/>
            <w:gridSpan w:val="2"/>
            <w:tcBorders>
              <w:top w:val="nil"/>
              <w:left w:val="nil"/>
              <w:bottom w:val="nil"/>
              <w:right w:val="single" w:sz="4" w:space="0" w:color="auto"/>
            </w:tcBorders>
          </w:tcPr>
          <w:p w14:paraId="7B75AB34"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Practice date for next blood test</w:t>
            </w:r>
          </w:p>
        </w:tc>
        <w:tc>
          <w:tcPr>
            <w:tcW w:w="2546" w:type="dxa"/>
            <w:tcBorders>
              <w:top w:val="single" w:sz="4" w:space="0" w:color="auto"/>
              <w:left w:val="single" w:sz="4" w:space="0" w:color="auto"/>
              <w:bottom w:val="single" w:sz="4" w:space="0" w:color="auto"/>
              <w:right w:val="single" w:sz="4" w:space="0" w:color="auto"/>
            </w:tcBorders>
          </w:tcPr>
          <w:p w14:paraId="6C35E08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tcPr>
          <w:p w14:paraId="69F27D04"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73" w:type="dxa"/>
            <w:vMerge w:val="restart"/>
            <w:tcBorders>
              <w:top w:val="single" w:sz="4" w:space="0" w:color="auto"/>
              <w:left w:val="single" w:sz="4" w:space="0" w:color="auto"/>
              <w:bottom w:val="single" w:sz="4" w:space="0" w:color="auto"/>
              <w:right w:val="single" w:sz="4" w:space="0" w:color="auto"/>
            </w:tcBorders>
          </w:tcPr>
          <w:p w14:paraId="16B2FFA9" w14:textId="77777777" w:rsidR="00DF3C38" w:rsidRDefault="00DF3C38" w:rsidP="007B67B8">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Practice stamp </w:t>
            </w:r>
          </w:p>
        </w:tc>
      </w:tr>
      <w:tr w:rsidR="00DF3C38" w14:paraId="6B84C02B" w14:textId="77777777" w:rsidTr="273A31E3">
        <w:trPr>
          <w:cantSplit/>
          <w:trHeight w:val="300"/>
        </w:trPr>
        <w:tc>
          <w:tcPr>
            <w:tcW w:w="5748" w:type="dxa"/>
            <w:gridSpan w:val="3"/>
            <w:tcBorders>
              <w:top w:val="nil"/>
              <w:left w:val="nil"/>
              <w:bottom w:val="nil"/>
              <w:right w:val="nil"/>
            </w:tcBorders>
          </w:tcPr>
          <w:p w14:paraId="59AF1F27"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242" w:type="dxa"/>
            <w:tcBorders>
              <w:top w:val="nil"/>
              <w:left w:val="nil"/>
              <w:bottom w:val="nil"/>
              <w:right w:val="nil"/>
            </w:tcBorders>
          </w:tcPr>
          <w:p w14:paraId="2E4B00D9"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73" w:type="dxa"/>
            <w:vMerge/>
          </w:tcPr>
          <w:p w14:paraId="0E6C4AF8"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28C1C121" w14:textId="77777777" w:rsidTr="273A31E3">
        <w:trPr>
          <w:cantSplit/>
          <w:trHeight w:val="468"/>
        </w:trPr>
        <w:tc>
          <w:tcPr>
            <w:tcW w:w="1780" w:type="dxa"/>
            <w:tcBorders>
              <w:top w:val="nil"/>
              <w:left w:val="nil"/>
              <w:bottom w:val="nil"/>
              <w:right w:val="single" w:sz="4" w:space="0" w:color="auto"/>
            </w:tcBorders>
          </w:tcPr>
          <w:p w14:paraId="5ECD14AD" w14:textId="77777777" w:rsidR="00DF3C3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Signed /</w:t>
            </w:r>
          </w:p>
          <w:p w14:paraId="7C9F0FC7"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Designation</w:t>
            </w:r>
          </w:p>
        </w:tc>
        <w:tc>
          <w:tcPr>
            <w:tcW w:w="3968" w:type="dxa"/>
            <w:gridSpan w:val="2"/>
            <w:tcBorders>
              <w:top w:val="single" w:sz="4" w:space="0" w:color="auto"/>
              <w:left w:val="single" w:sz="4" w:space="0" w:color="auto"/>
              <w:bottom w:val="single" w:sz="4" w:space="0" w:color="auto"/>
              <w:right w:val="single" w:sz="4" w:space="0" w:color="auto"/>
            </w:tcBorders>
          </w:tcPr>
          <w:p w14:paraId="7D2D4AD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tcPr>
          <w:p w14:paraId="4D9C01C7"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73" w:type="dxa"/>
            <w:vMerge/>
          </w:tcPr>
          <w:p w14:paraId="74FCFEA4"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0FBD5FC7" w14:textId="77777777" w:rsidTr="273A31E3">
        <w:trPr>
          <w:cantSplit/>
          <w:trHeight w:val="71"/>
        </w:trPr>
        <w:tc>
          <w:tcPr>
            <w:tcW w:w="5748" w:type="dxa"/>
            <w:gridSpan w:val="3"/>
            <w:tcBorders>
              <w:top w:val="nil"/>
              <w:left w:val="nil"/>
              <w:bottom w:val="nil"/>
              <w:right w:val="nil"/>
            </w:tcBorders>
          </w:tcPr>
          <w:p w14:paraId="2C1AEA07"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r>
              <w:rPr>
                <w:rFonts w:ascii="Arial" w:hAnsi="Arial" w:cs="Arial"/>
                <w:bCs/>
                <w:iCs/>
                <w:noProof/>
                <w:lang w:eastAsia="en-GB"/>
              </w:rPr>
              <mc:AlternateContent>
                <mc:Choice Requires="wps">
                  <w:drawing>
                    <wp:anchor distT="0" distB="0" distL="114300" distR="114300" simplePos="0" relativeHeight="251658240" behindDoc="0" locked="0" layoutInCell="1" allowOverlap="1" wp14:anchorId="33345C18" wp14:editId="7ABDC89A">
                      <wp:simplePos x="0" y="0"/>
                      <wp:positionH relativeFrom="column">
                        <wp:posOffset>1068705</wp:posOffset>
                      </wp:positionH>
                      <wp:positionV relativeFrom="paragraph">
                        <wp:posOffset>146846</wp:posOffset>
                      </wp:positionV>
                      <wp:extent cx="2504364" cy="259308"/>
                      <wp:effectExtent l="0" t="0" r="10795" b="26670"/>
                      <wp:wrapNone/>
                      <wp:docPr id="3" name="Rectangle 3"/>
                      <wp:cNvGraphicFramePr/>
                      <a:graphic xmlns:a="http://schemas.openxmlformats.org/drawingml/2006/main">
                        <a:graphicData uri="http://schemas.microsoft.com/office/word/2010/wordprocessingShape">
                          <wps:wsp>
                            <wps:cNvSpPr/>
                            <wps:spPr>
                              <a:xfrm>
                                <a:off x="0" y="0"/>
                                <a:ext cx="2504364" cy="25930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xmlns:arto="http://schemas.microsoft.com/office/word/2006/arto">
                  <w:pict w14:anchorId="16AE45FC">
                    <v:rect id="Rectangle 3" style="position:absolute;margin-left:84.15pt;margin-top:11.55pt;width:197.2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4C46E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"/>
                  </w:pict>
                </mc:Fallback>
              </mc:AlternateContent>
            </w:r>
          </w:p>
          <w:p w14:paraId="1F90DC9F"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Date </w:t>
            </w:r>
          </w:p>
          <w:p w14:paraId="136C7D95"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p>
        </w:tc>
        <w:tc>
          <w:tcPr>
            <w:tcW w:w="242" w:type="dxa"/>
            <w:tcBorders>
              <w:top w:val="nil"/>
              <w:left w:val="nil"/>
              <w:bottom w:val="nil"/>
              <w:right w:val="nil"/>
            </w:tcBorders>
          </w:tcPr>
          <w:p w14:paraId="441A6AFC"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73" w:type="dxa"/>
            <w:vMerge/>
          </w:tcPr>
          <w:p w14:paraId="448725AE"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bl>
    <w:p w14:paraId="6F10076B" w14:textId="77777777" w:rsidR="00801EDB" w:rsidRDefault="00801EDB" w:rsidP="00801EDB">
      <w:pPr>
        <w:spacing w:after="200" w:line="276" w:lineRule="auto"/>
        <w:rPr>
          <w:rFonts w:eastAsiaTheme="minorHAnsi" w:cs="Calibri"/>
          <w:sz w:val="22"/>
          <w:szCs w:val="22"/>
        </w:rPr>
      </w:pPr>
    </w:p>
    <w:p w14:paraId="54F98191" w14:textId="77777777" w:rsidR="00DF3C38" w:rsidRDefault="00DF3C38" w:rsidP="00801EDB">
      <w:pPr>
        <w:spacing w:after="200" w:line="276" w:lineRule="auto"/>
        <w:rPr>
          <w:rFonts w:eastAsiaTheme="minorHAnsi" w:cs="Calibri"/>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64"/>
        <w:gridCol w:w="3827"/>
        <w:gridCol w:w="284"/>
        <w:gridCol w:w="4394"/>
      </w:tblGrid>
      <w:tr w:rsidR="00DF3C38" w14:paraId="3BC395E4" w14:textId="77777777" w:rsidTr="273A31E3">
        <w:trPr>
          <w:cantSplit/>
          <w:trHeight w:val="789"/>
        </w:trPr>
        <w:tc>
          <w:tcPr>
            <w:tcW w:w="10349" w:type="dxa"/>
            <w:gridSpan w:val="5"/>
            <w:tcBorders>
              <w:top w:val="nil"/>
              <w:left w:val="nil"/>
              <w:bottom w:val="nil"/>
              <w:right w:val="nil"/>
            </w:tcBorders>
          </w:tcPr>
          <w:p w14:paraId="3C98AF6F" w14:textId="45DC7EC4" w:rsidR="00DF3C38" w:rsidRDefault="00DF3C38" w:rsidP="273A31E3">
            <w:pPr>
              <w:pStyle w:val="BodyText"/>
              <w:tabs>
                <w:tab w:val="left" w:pos="4860"/>
                <w:tab w:val="left" w:pos="6660"/>
                <w:tab w:val="left" w:pos="7740"/>
                <w:tab w:val="right" w:pos="8820"/>
              </w:tabs>
              <w:spacing w:before="240"/>
              <w:ind w:left="-108" w:right="-516"/>
              <w:rPr>
                <w:rFonts w:ascii="Arial" w:hAnsi="Arial" w:cs="Arial"/>
              </w:rPr>
            </w:pPr>
            <w:r w:rsidRPr="273A31E3">
              <w:rPr>
                <w:rFonts w:ascii="Arial" w:hAnsi="Arial" w:cs="Arial"/>
                <w:b/>
                <w:bCs/>
              </w:rPr>
              <w:t xml:space="preserve">Section B: [Reject Shared Care] to be completed by practice </w:t>
            </w:r>
          </w:p>
          <w:p w14:paraId="02EC6E86" w14:textId="3CD0DF04" w:rsidR="00DF3C38" w:rsidRDefault="00DF3C38" w:rsidP="273A31E3">
            <w:pPr>
              <w:pStyle w:val="BodyText"/>
              <w:tabs>
                <w:tab w:val="left" w:pos="4860"/>
                <w:tab w:val="left" w:pos="6660"/>
                <w:tab w:val="left" w:pos="7740"/>
                <w:tab w:val="right" w:pos="8820"/>
              </w:tabs>
              <w:spacing w:before="240"/>
              <w:ind w:left="-108" w:right="-516"/>
              <w:rPr>
                <w:rFonts w:ascii="Arial" w:hAnsi="Arial" w:cs="Arial"/>
              </w:rPr>
            </w:pPr>
            <w:r w:rsidRPr="273A31E3">
              <w:rPr>
                <w:rFonts w:ascii="Arial" w:hAnsi="Arial" w:cs="Arial"/>
                <w:i/>
                <w:iCs/>
              </w:rPr>
              <w:t xml:space="preserve">Send back </w:t>
            </w:r>
            <w:r w:rsidRPr="273A31E3">
              <w:rPr>
                <w:rFonts w:ascii="Arial" w:hAnsi="Arial" w:cs="Arial"/>
                <w:b/>
                <w:bCs/>
                <w:i/>
                <w:iCs/>
              </w:rPr>
              <w:t xml:space="preserve">FAO referring </w:t>
            </w:r>
            <w:proofErr w:type="gramStart"/>
            <w:r w:rsidRPr="273A31E3">
              <w:rPr>
                <w:rFonts w:ascii="Arial" w:hAnsi="Arial" w:cs="Arial"/>
                <w:b/>
                <w:bCs/>
                <w:i/>
                <w:iCs/>
              </w:rPr>
              <w:t>consultant</w:t>
            </w:r>
            <w:r w:rsidRPr="273A31E3">
              <w:rPr>
                <w:rFonts w:ascii="Arial" w:hAnsi="Arial" w:cs="Arial"/>
                <w:i/>
                <w:iCs/>
              </w:rPr>
              <w:t xml:space="preserve"> </w:t>
            </w:r>
            <w:r w:rsidR="5B7C9243" w:rsidRPr="273A31E3">
              <w:rPr>
                <w:rFonts w:ascii="Arial" w:hAnsi="Arial" w:cs="Arial"/>
                <w:i/>
                <w:iCs/>
              </w:rPr>
              <w:t xml:space="preserve"> </w:t>
            </w:r>
            <w:r w:rsidRPr="273A31E3">
              <w:rPr>
                <w:rFonts w:ascii="Arial" w:hAnsi="Arial" w:cs="Arial"/>
                <w:i/>
                <w:iCs/>
              </w:rPr>
              <w:t>above</w:t>
            </w:r>
            <w:proofErr w:type="gramEnd"/>
          </w:p>
          <w:p w14:paraId="4358ABCC" w14:textId="77777777" w:rsidR="00DF3C38" w:rsidRDefault="00DF3C38" w:rsidP="008424FD">
            <w:pPr>
              <w:pStyle w:val="BodyText"/>
              <w:tabs>
                <w:tab w:val="left" w:pos="-540"/>
                <w:tab w:val="left" w:pos="4860"/>
                <w:tab w:val="left" w:pos="6660"/>
                <w:tab w:val="left" w:pos="7740"/>
                <w:tab w:val="right" w:pos="8820"/>
              </w:tabs>
              <w:spacing w:before="120" w:after="240"/>
              <w:ind w:right="-516" w:hanging="108"/>
              <w:rPr>
                <w:rFonts w:ascii="Arial" w:hAnsi="Arial" w:cs="Arial"/>
                <w:b/>
                <w:iCs/>
              </w:rPr>
            </w:pPr>
            <w:r>
              <w:rPr>
                <w:rFonts w:ascii="Arial" w:hAnsi="Arial" w:cs="Arial"/>
                <w:bCs/>
                <w:iCs/>
              </w:rPr>
              <w:t>The above patient has not been accepted into our monitoring service.</w:t>
            </w:r>
          </w:p>
        </w:tc>
      </w:tr>
      <w:tr w:rsidR="00DF3C38" w14:paraId="33F2E994" w14:textId="77777777" w:rsidTr="273A31E3">
        <w:trPr>
          <w:cantSplit/>
          <w:trHeight w:val="468"/>
        </w:trPr>
        <w:tc>
          <w:tcPr>
            <w:tcW w:w="1844" w:type="dxa"/>
            <w:gridSpan w:val="2"/>
            <w:tcBorders>
              <w:top w:val="nil"/>
              <w:left w:val="nil"/>
              <w:bottom w:val="nil"/>
              <w:right w:val="single" w:sz="4" w:space="0" w:color="auto"/>
            </w:tcBorders>
          </w:tcPr>
          <w:p w14:paraId="595A2212"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Reason</w:t>
            </w:r>
          </w:p>
        </w:tc>
        <w:tc>
          <w:tcPr>
            <w:tcW w:w="3827" w:type="dxa"/>
            <w:tcBorders>
              <w:top w:val="single" w:sz="4" w:space="0" w:color="auto"/>
              <w:left w:val="single" w:sz="4" w:space="0" w:color="auto"/>
              <w:bottom w:val="single" w:sz="4" w:space="0" w:color="auto"/>
              <w:right w:val="single" w:sz="4" w:space="0" w:color="auto"/>
            </w:tcBorders>
          </w:tcPr>
          <w:p w14:paraId="71D9E8FF"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4FCC846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73FF8647"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2CCF5A77"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29CE46B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84" w:type="dxa"/>
            <w:tcBorders>
              <w:top w:val="nil"/>
              <w:left w:val="single" w:sz="4" w:space="0" w:color="auto"/>
              <w:bottom w:val="nil"/>
              <w:right w:val="nil"/>
            </w:tcBorders>
          </w:tcPr>
          <w:p w14:paraId="697AEEBB"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94" w:type="dxa"/>
            <w:vMerge w:val="restart"/>
            <w:tcBorders>
              <w:top w:val="single" w:sz="4" w:space="0" w:color="auto"/>
              <w:left w:val="single" w:sz="4" w:space="0" w:color="auto"/>
              <w:bottom w:val="single" w:sz="4" w:space="0" w:color="auto"/>
              <w:right w:val="single" w:sz="4" w:space="0" w:color="auto"/>
            </w:tcBorders>
          </w:tcPr>
          <w:p w14:paraId="2C25747F" w14:textId="77777777" w:rsidR="00DF3C38" w:rsidRDefault="00DF3C38" w:rsidP="007B67B8">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Practice stamp </w:t>
            </w:r>
          </w:p>
        </w:tc>
      </w:tr>
      <w:tr w:rsidR="00DF3C38" w14:paraId="2D44ECF4" w14:textId="77777777" w:rsidTr="273A31E3">
        <w:trPr>
          <w:cantSplit/>
          <w:trHeight w:val="300"/>
        </w:trPr>
        <w:tc>
          <w:tcPr>
            <w:tcW w:w="5671" w:type="dxa"/>
            <w:gridSpan w:val="3"/>
            <w:tcBorders>
              <w:top w:val="nil"/>
              <w:left w:val="nil"/>
              <w:bottom w:val="nil"/>
              <w:right w:val="nil"/>
            </w:tcBorders>
          </w:tcPr>
          <w:p w14:paraId="08F7AA83"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284" w:type="dxa"/>
            <w:tcBorders>
              <w:top w:val="nil"/>
              <w:left w:val="nil"/>
              <w:bottom w:val="nil"/>
              <w:right w:val="nil"/>
            </w:tcBorders>
          </w:tcPr>
          <w:p w14:paraId="20550B9B"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94" w:type="dxa"/>
            <w:vMerge/>
          </w:tcPr>
          <w:p w14:paraId="79AAECA2"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13685E0E" w14:textId="77777777" w:rsidTr="273A31E3">
        <w:trPr>
          <w:cantSplit/>
          <w:trHeight w:val="468"/>
        </w:trPr>
        <w:tc>
          <w:tcPr>
            <w:tcW w:w="1780" w:type="dxa"/>
            <w:tcBorders>
              <w:top w:val="nil"/>
              <w:left w:val="nil"/>
              <w:bottom w:val="nil"/>
              <w:right w:val="single" w:sz="4" w:space="0" w:color="auto"/>
            </w:tcBorders>
          </w:tcPr>
          <w:p w14:paraId="484307E9" w14:textId="77777777" w:rsidR="00DF3C3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Signed /</w:t>
            </w:r>
          </w:p>
          <w:p w14:paraId="4E93431F"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Designation</w:t>
            </w:r>
          </w:p>
        </w:tc>
        <w:tc>
          <w:tcPr>
            <w:tcW w:w="3891" w:type="dxa"/>
            <w:gridSpan w:val="2"/>
            <w:tcBorders>
              <w:top w:val="single" w:sz="4" w:space="0" w:color="auto"/>
              <w:left w:val="single" w:sz="4" w:space="0" w:color="auto"/>
              <w:bottom w:val="single" w:sz="4" w:space="0" w:color="auto"/>
              <w:right w:val="single" w:sz="4" w:space="0" w:color="auto"/>
            </w:tcBorders>
          </w:tcPr>
          <w:p w14:paraId="0282CF1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84" w:type="dxa"/>
            <w:tcBorders>
              <w:top w:val="nil"/>
              <w:left w:val="single" w:sz="4" w:space="0" w:color="auto"/>
              <w:bottom w:val="nil"/>
              <w:right w:val="nil"/>
            </w:tcBorders>
          </w:tcPr>
          <w:p w14:paraId="6F4E414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94" w:type="dxa"/>
            <w:vMerge/>
          </w:tcPr>
          <w:p w14:paraId="282AF79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16EE89F9" w14:textId="77777777" w:rsidTr="273A31E3">
        <w:trPr>
          <w:cantSplit/>
          <w:trHeight w:val="71"/>
        </w:trPr>
        <w:tc>
          <w:tcPr>
            <w:tcW w:w="5671" w:type="dxa"/>
            <w:gridSpan w:val="3"/>
            <w:tcBorders>
              <w:top w:val="nil"/>
              <w:left w:val="nil"/>
              <w:bottom w:val="nil"/>
              <w:right w:val="nil"/>
            </w:tcBorders>
          </w:tcPr>
          <w:p w14:paraId="25ECF38A"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r>
              <w:rPr>
                <w:rFonts w:ascii="Arial" w:hAnsi="Arial" w:cs="Arial"/>
                <w:bCs/>
                <w:iCs/>
                <w:noProof/>
                <w:lang w:eastAsia="en-GB"/>
              </w:rPr>
              <mc:AlternateContent>
                <mc:Choice Requires="wps">
                  <w:drawing>
                    <wp:anchor distT="0" distB="0" distL="114300" distR="114300" simplePos="0" relativeHeight="251658241" behindDoc="0" locked="0" layoutInCell="1" allowOverlap="1" wp14:anchorId="5DC5B703" wp14:editId="050AE874">
                      <wp:simplePos x="0" y="0"/>
                      <wp:positionH relativeFrom="column">
                        <wp:posOffset>1068705</wp:posOffset>
                      </wp:positionH>
                      <wp:positionV relativeFrom="paragraph">
                        <wp:posOffset>146846</wp:posOffset>
                      </wp:positionV>
                      <wp:extent cx="2504364" cy="259308"/>
                      <wp:effectExtent l="0" t="0" r="10795" b="26670"/>
                      <wp:wrapNone/>
                      <wp:docPr id="4" name="Rectangle 4"/>
                      <wp:cNvGraphicFramePr/>
                      <a:graphic xmlns:a="http://schemas.openxmlformats.org/drawingml/2006/main">
                        <a:graphicData uri="http://schemas.microsoft.com/office/word/2010/wordprocessingShape">
                          <wps:wsp>
                            <wps:cNvSpPr/>
                            <wps:spPr>
                              <a:xfrm>
                                <a:off x="0" y="0"/>
                                <a:ext cx="2504364" cy="25930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xmlns:arto="http://schemas.microsoft.com/office/word/2006/arto">
                  <w:pict w14:anchorId="313EE3A5">
                    <v:rect id="Rectangle 4" style="position:absolute;margin-left:84.15pt;margin-top:11.55pt;width:197.2pt;height:20.4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7D8399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"/>
                  </w:pict>
                </mc:Fallback>
              </mc:AlternateContent>
            </w:r>
          </w:p>
          <w:p w14:paraId="0E47AE4E"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Date </w:t>
            </w:r>
          </w:p>
          <w:p w14:paraId="6EF6B083"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p>
        </w:tc>
        <w:tc>
          <w:tcPr>
            <w:tcW w:w="284" w:type="dxa"/>
            <w:tcBorders>
              <w:top w:val="nil"/>
              <w:left w:val="nil"/>
              <w:bottom w:val="nil"/>
              <w:right w:val="nil"/>
            </w:tcBorders>
          </w:tcPr>
          <w:p w14:paraId="08DE8B0D"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94" w:type="dxa"/>
            <w:vMerge/>
          </w:tcPr>
          <w:p w14:paraId="5C893621"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bl>
    <w:p w14:paraId="582FE435" w14:textId="77777777" w:rsidR="00DF3C38" w:rsidRDefault="00DF3C38" w:rsidP="00801EDB">
      <w:pPr>
        <w:spacing w:after="200" w:line="276" w:lineRule="auto"/>
        <w:rPr>
          <w:rFonts w:eastAsiaTheme="minorHAnsi" w:cs="Calibri"/>
          <w:sz w:val="22"/>
          <w:szCs w:val="22"/>
        </w:rPr>
      </w:pPr>
    </w:p>
    <w:p w14:paraId="40529B6C" w14:textId="77777777" w:rsidR="00DF3C38" w:rsidRDefault="00DF3C38" w:rsidP="00801EDB">
      <w:pPr>
        <w:spacing w:after="200" w:line="276" w:lineRule="auto"/>
        <w:rPr>
          <w:rFonts w:eastAsiaTheme="minorHAnsi" w:cs="Calibri"/>
          <w:sz w:val="22"/>
          <w:szCs w:val="22"/>
        </w:rPr>
      </w:pPr>
    </w:p>
    <w:p w14:paraId="3C2153BA" w14:textId="77777777" w:rsidR="00DF3C38" w:rsidRDefault="00DF3C38" w:rsidP="00801EDB">
      <w:pPr>
        <w:spacing w:after="200" w:line="276" w:lineRule="auto"/>
        <w:rPr>
          <w:rFonts w:eastAsiaTheme="minorHAnsi" w:cs="Calibri"/>
          <w:sz w:val="22"/>
          <w:szCs w:val="22"/>
        </w:rPr>
      </w:pPr>
    </w:p>
    <w:p w14:paraId="54E8000A" w14:textId="77777777" w:rsidR="00DF3C38" w:rsidRPr="009D3CF9" w:rsidRDefault="00DF3C38" w:rsidP="00801EDB">
      <w:pPr>
        <w:spacing w:after="200" w:line="276" w:lineRule="auto"/>
        <w:rPr>
          <w:rFonts w:eastAsiaTheme="minorHAnsi" w:cs="Calibri"/>
          <w:strike/>
          <w:sz w:val="22"/>
          <w:szCs w:val="22"/>
        </w:rPr>
      </w:pPr>
    </w:p>
    <w:sectPr w:rsidR="00DF3C38" w:rsidRPr="009D3CF9" w:rsidSect="008A5E15">
      <w:footerReference w:type="default" r:id="rId31"/>
      <w:footerReference w:type="first" r:id="rId32"/>
      <w:footnotePr>
        <w:numFmt w:val="lowerLetter"/>
      </w:footnotePr>
      <w:pgSz w:w="11906" w:h="16838"/>
      <w:pgMar w:top="1134" w:right="1440" w:bottom="1440"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A947B" w14:textId="77777777" w:rsidR="00EB7709" w:rsidRDefault="00EB7709" w:rsidP="00224B44">
      <w:r>
        <w:separator/>
      </w:r>
    </w:p>
  </w:endnote>
  <w:endnote w:type="continuationSeparator" w:id="0">
    <w:p w14:paraId="3CD09339" w14:textId="77777777" w:rsidR="00EB7709" w:rsidRDefault="00EB7709" w:rsidP="00224B44">
      <w:r>
        <w:continuationSeparator/>
      </w:r>
    </w:p>
  </w:endnote>
  <w:endnote w:type="continuationNotice" w:id="1">
    <w:p w14:paraId="04B3D1F2" w14:textId="77777777" w:rsidR="00EB7709" w:rsidRDefault="00EB77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8C38" w14:textId="7839A555" w:rsidR="008424FD" w:rsidRDefault="008424FD" w:rsidP="00367357">
    <w:pPr>
      <w:pStyle w:val="Footer"/>
      <w:jc w:val="left"/>
    </w:pPr>
    <w:r>
      <w:t xml:space="preserve">North Central London </w:t>
    </w:r>
    <w:r w:rsidR="00130070">
      <w:t>Shared Care Group</w:t>
    </w:r>
    <w:r>
      <w:tab/>
    </w:r>
    <w:r>
      <w:tab/>
    </w:r>
    <w:r>
      <w:fldChar w:fldCharType="begin"/>
    </w:r>
    <w:r>
      <w:instrText xml:space="preserve"> PAGE  \* Arabic  \* MERGEFORMAT </w:instrText>
    </w:r>
    <w:r>
      <w:fldChar w:fldCharType="separate"/>
    </w:r>
    <w:r w:rsidR="001A4E75">
      <w:rPr>
        <w:noProof/>
      </w:rPr>
      <w:t>2</w:t>
    </w:r>
    <w:r>
      <w:fldChar w:fldCharType="end"/>
    </w:r>
    <w:r>
      <w:t xml:space="preserve"> of </w:t>
    </w:r>
    <w:fldSimple w:instr="NUMPAGES  \* Arabic  \* MERGEFORMAT">
      <w:r w:rsidR="001A4E75">
        <w:rPr>
          <w:noProof/>
        </w:rPr>
        <w:t>11</w:t>
      </w:r>
    </w:fldSimple>
  </w:p>
  <w:p w14:paraId="0ED5250E" w14:textId="77777777" w:rsidR="008424FD" w:rsidRDefault="008424FD" w:rsidP="00367357">
    <w:pPr>
      <w:pStyle w:val="Footer"/>
      <w:jc w:val="left"/>
    </w:pPr>
  </w:p>
  <w:p w14:paraId="21FB3300" w14:textId="71A5DBAF" w:rsidR="008424FD" w:rsidRDefault="008D5C01" w:rsidP="00367357">
    <w:pPr>
      <w:pStyle w:val="Footer"/>
      <w:jc w:val="left"/>
    </w:pPr>
    <w:r>
      <w:t>Cinacalcet</w:t>
    </w:r>
    <w:r w:rsidR="00130070">
      <w:t xml:space="preserve"> </w:t>
    </w:r>
    <w:r w:rsidR="006331DF">
      <w:t>NCL</w:t>
    </w:r>
    <w:r w:rsidR="008424FD">
      <w:t xml:space="preserve"> Shared Care</w:t>
    </w:r>
    <w:r w:rsidR="008424FD">
      <w:tab/>
    </w:r>
    <w:r w:rsidR="008424FD">
      <w:tab/>
      <w:t xml:space="preserve">Approval date: </w:t>
    </w:r>
    <w:r>
      <w:t>Oct 2024</w:t>
    </w:r>
  </w:p>
  <w:p w14:paraId="3CE04138" w14:textId="3DA27152" w:rsidR="008424FD" w:rsidRDefault="008424FD" w:rsidP="00367357">
    <w:pPr>
      <w:pStyle w:val="Footer"/>
      <w:jc w:val="left"/>
    </w:pPr>
    <w:r>
      <w:t xml:space="preserve">Version </w:t>
    </w:r>
    <w:r w:rsidR="008D5C01">
      <w:t>1.0</w:t>
    </w:r>
    <w:r>
      <w:tab/>
    </w:r>
    <w:r>
      <w:tab/>
      <w:t>Review date:</w:t>
    </w:r>
    <w:r w:rsidR="008D5C01">
      <w:t xml:space="preserve"> Oct 2027</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C2D2" w14:textId="77777777" w:rsidR="008424FD" w:rsidRDefault="008424FD" w:rsidP="00367357">
    <w:pPr>
      <w:pStyle w:val="Footer"/>
      <w:jc w:val="left"/>
    </w:pPr>
    <w:r>
      <w:t>North Central London Joint Formulary Committee</w:t>
    </w:r>
    <w:r>
      <w:tab/>
    </w:r>
    <w:r>
      <w:ptab w:relativeTo="margin" w:alignment="center" w:leader="none"/>
    </w:r>
    <w:r>
      <w:tab/>
    </w:r>
    <w:r>
      <w:fldChar w:fldCharType="begin"/>
    </w:r>
    <w:r>
      <w:instrText xml:space="preserve"> PAGE  \* Arabic  \* MERGEFORMAT </w:instrText>
    </w:r>
    <w:r>
      <w:fldChar w:fldCharType="separate"/>
    </w:r>
    <w:r>
      <w:rPr>
        <w:noProof/>
      </w:rPr>
      <w:t>1</w:t>
    </w:r>
    <w:r>
      <w:fldChar w:fldCharType="end"/>
    </w:r>
    <w:r>
      <w:t xml:space="preserve"> of </w:t>
    </w:r>
    <w:fldSimple w:instr="NUMPAGES  \* Arabic  \* MERGEFORMAT">
      <w:r w:rsidR="007B67B8">
        <w:rPr>
          <w:noProof/>
        </w:rPr>
        <w:t>3</w:t>
      </w:r>
    </w:fldSimple>
  </w:p>
  <w:p w14:paraId="479FE23C" w14:textId="77777777" w:rsidR="008424FD" w:rsidRDefault="008424FD" w:rsidP="00367357">
    <w:pPr>
      <w:pStyle w:val="Footer"/>
      <w:jc w:val="left"/>
    </w:pPr>
  </w:p>
  <w:p w14:paraId="5BB6F096" w14:textId="77777777" w:rsidR="008424FD" w:rsidRDefault="008424FD" w:rsidP="00367357">
    <w:pPr>
      <w:pStyle w:val="Footer"/>
      <w:jc w:val="left"/>
    </w:pPr>
    <w:r>
      <w:t>Document title</w:t>
    </w:r>
  </w:p>
  <w:p w14:paraId="14388DB3" w14:textId="77777777" w:rsidR="008424FD" w:rsidRDefault="008424FD" w:rsidP="00367357">
    <w:pPr>
      <w:pStyle w:val="Footer"/>
      <w:jc w:val="left"/>
    </w:pPr>
    <w:r>
      <w:t>Version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F1030" w14:textId="77777777" w:rsidR="00EB7709" w:rsidRDefault="00EB7709" w:rsidP="00224B44">
      <w:r>
        <w:separator/>
      </w:r>
    </w:p>
  </w:footnote>
  <w:footnote w:type="continuationSeparator" w:id="0">
    <w:p w14:paraId="777EA73C" w14:textId="77777777" w:rsidR="00EB7709" w:rsidRDefault="00EB7709" w:rsidP="00224B44">
      <w:r>
        <w:continuationSeparator/>
      </w:r>
    </w:p>
  </w:footnote>
  <w:footnote w:type="continuationNotice" w:id="1">
    <w:p w14:paraId="20D0C9E4" w14:textId="77777777" w:rsidR="00EB7709" w:rsidRDefault="00EB770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370"/>
    <w:multiLevelType w:val="hybridMultilevel"/>
    <w:tmpl w:val="7C344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C2096D"/>
    <w:multiLevelType w:val="hybridMultilevel"/>
    <w:tmpl w:val="78F6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B6959"/>
    <w:multiLevelType w:val="hybridMultilevel"/>
    <w:tmpl w:val="9848A494"/>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 w15:restartNumberingAfterBreak="0">
    <w:nsid w:val="1B7D35BA"/>
    <w:multiLevelType w:val="multilevel"/>
    <w:tmpl w:val="9C202792"/>
    <w:styleLink w:val="ReportHeadings"/>
    <w:lvl w:ilvl="0">
      <w:start w:val="1"/>
      <w:numFmt w:val="decimal"/>
      <w:pStyle w:val="NCLHeading1"/>
      <w:lvlText w:val="%1."/>
      <w:lvlJc w:val="left"/>
      <w:pPr>
        <w:ind w:left="851" w:hanging="851"/>
      </w:pPr>
    </w:lvl>
    <w:lvl w:ilvl="1">
      <w:start w:val="1"/>
      <w:numFmt w:val="decimal"/>
      <w:pStyle w:val="NCLHeading2"/>
      <w:lvlText w:val="%1.%2."/>
      <w:lvlJc w:val="left"/>
      <w:pPr>
        <w:ind w:left="851" w:hanging="851"/>
      </w:pPr>
    </w:lvl>
    <w:lvl w:ilvl="2">
      <w:start w:val="1"/>
      <w:numFmt w:val="decimal"/>
      <w:pStyle w:val="NCLHeading3"/>
      <w:lvlText w:val="%1.%2.%3."/>
      <w:lvlJc w:val="left"/>
      <w:pPr>
        <w:ind w:left="851" w:hanging="851"/>
      </w:pPr>
    </w:lvl>
    <w:lvl w:ilvl="3">
      <w:start w:val="1"/>
      <w:numFmt w:val="decimal"/>
      <w:lvlText w:val="%1.%2.%3.%4."/>
      <w:lvlJc w:val="left"/>
      <w:pPr>
        <w:tabs>
          <w:tab w:val="num" w:pos="851"/>
        </w:tabs>
        <w:ind w:left="851" w:hanging="851"/>
      </w:pPr>
    </w:lvl>
    <w:lvl w:ilvl="4">
      <w:start w:val="1"/>
      <w:numFmt w:val="decimal"/>
      <w:pStyle w:val="NCLTableheading"/>
      <w:suff w:val="nothing"/>
      <w:lvlText w:val=""/>
      <w:lvlJc w:val="left"/>
      <w:pPr>
        <w:ind w:left="0" w:firstLine="0"/>
      </w:pPr>
    </w:lvl>
    <w:lvl w:ilvl="5">
      <w:start w:val="1"/>
      <w:numFmt w:val="decimal"/>
      <w:pStyle w:val="ReportHeading6"/>
      <w:suff w:val="nothing"/>
      <w:lvlText w:val=""/>
      <w:lvlJc w:val="left"/>
      <w:pPr>
        <w:ind w:left="0" w:firstLine="0"/>
      </w:pPr>
    </w:lvl>
    <w:lvl w:ilvl="6">
      <w:start w:val="1"/>
      <w:numFmt w:val="decimal"/>
      <w:lvlText w:val=""/>
      <w:lvlJc w:val="left"/>
      <w:pPr>
        <w:ind w:left="567" w:hanging="567"/>
      </w:pPr>
    </w:lvl>
    <w:lvl w:ilvl="7">
      <w:start w:val="1"/>
      <w:numFmt w:val="decimal"/>
      <w:lvlText w:val=""/>
      <w:lvlJc w:val="left"/>
      <w:pPr>
        <w:ind w:left="567" w:hanging="567"/>
      </w:pPr>
    </w:lvl>
    <w:lvl w:ilvl="8">
      <w:start w:val="1"/>
      <w:numFmt w:val="decimal"/>
      <w:lvlText w:val=""/>
      <w:lvlJc w:val="left"/>
      <w:pPr>
        <w:ind w:left="567" w:hanging="567"/>
      </w:pPr>
    </w:lvl>
  </w:abstractNum>
  <w:abstractNum w:abstractNumId="4" w15:restartNumberingAfterBreak="0">
    <w:nsid w:val="1C192BD7"/>
    <w:multiLevelType w:val="singleLevel"/>
    <w:tmpl w:val="1180BBB0"/>
    <w:lvl w:ilvl="0">
      <w:start w:val="1"/>
      <w:numFmt w:val="decimal"/>
      <w:lvlText w:val="%1."/>
      <w:lvlJc w:val="left"/>
      <w:pPr>
        <w:tabs>
          <w:tab w:val="num" w:pos="360"/>
        </w:tabs>
        <w:ind w:left="360" w:hanging="360"/>
      </w:pPr>
      <w:rPr>
        <w:sz w:val="22"/>
        <w:szCs w:val="22"/>
      </w:rPr>
    </w:lvl>
  </w:abstractNum>
  <w:abstractNum w:abstractNumId="5" w15:restartNumberingAfterBreak="0">
    <w:nsid w:val="26C21D3F"/>
    <w:multiLevelType w:val="hybridMultilevel"/>
    <w:tmpl w:val="656A2212"/>
    <w:lvl w:ilvl="0" w:tplc="B7F6E55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D5336"/>
    <w:multiLevelType w:val="hybridMultilevel"/>
    <w:tmpl w:val="E8D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F40B3"/>
    <w:multiLevelType w:val="multilevel"/>
    <w:tmpl w:val="C62AAEC6"/>
    <w:styleLink w:val="ListNumbers"/>
    <w:lvl w:ilvl="0">
      <w:start w:val="1"/>
      <w:numFmt w:val="decimal"/>
      <w:pStyle w:val="ListNumber"/>
      <w:lvlText w:val="%1)"/>
      <w:lvlJc w:val="left"/>
      <w:pPr>
        <w:ind w:left="567" w:hanging="283"/>
      </w:pPr>
    </w:lvl>
    <w:lvl w:ilvl="1">
      <w:start w:val="1"/>
      <w:numFmt w:val="lowerLetter"/>
      <w:pStyle w:val="ListNumber2"/>
      <w:lvlText w:val="%2)"/>
      <w:lvlJc w:val="left"/>
      <w:pPr>
        <w:ind w:left="851" w:hanging="283"/>
      </w:pPr>
      <w:rPr>
        <w:rFonts w:hint="default"/>
      </w:rPr>
    </w:lvl>
    <w:lvl w:ilvl="2">
      <w:start w:val="1"/>
      <w:numFmt w:val="lowerRoman"/>
      <w:pStyle w:val="ListNumber3"/>
      <w:lvlText w:val="%3)"/>
      <w:lvlJc w:val="left"/>
      <w:pPr>
        <w:ind w:left="1135" w:hanging="283"/>
      </w:pPr>
      <w:rPr>
        <w:rFonts w:hint="default"/>
      </w:rPr>
    </w:lvl>
    <w:lvl w:ilvl="3">
      <w:start w:val="1"/>
      <w:numFmt w:val="none"/>
      <w:lvlText w:val=""/>
      <w:lvlJc w:val="left"/>
      <w:pPr>
        <w:ind w:left="1419" w:hanging="283"/>
      </w:pPr>
      <w:rPr>
        <w:rFonts w:hint="default"/>
      </w:rPr>
    </w:lvl>
    <w:lvl w:ilvl="4">
      <w:start w:val="1"/>
      <w:numFmt w:val="none"/>
      <w:lvlText w:val=""/>
      <w:lvlJc w:val="left"/>
      <w:pPr>
        <w:ind w:left="1703" w:hanging="283"/>
      </w:pPr>
      <w:rPr>
        <w:rFonts w:hint="default"/>
      </w:rPr>
    </w:lvl>
    <w:lvl w:ilvl="5">
      <w:start w:val="1"/>
      <w:numFmt w:val="none"/>
      <w:lvlText w:val=""/>
      <w:lvlJc w:val="left"/>
      <w:pPr>
        <w:ind w:left="1987" w:hanging="283"/>
      </w:pPr>
      <w:rPr>
        <w:rFonts w:hint="default"/>
      </w:rPr>
    </w:lvl>
    <w:lvl w:ilvl="6">
      <w:start w:val="1"/>
      <w:numFmt w:val="none"/>
      <w:lvlText w:val=""/>
      <w:lvlJc w:val="left"/>
      <w:pPr>
        <w:ind w:left="2271" w:hanging="283"/>
      </w:pPr>
      <w:rPr>
        <w:rFonts w:hint="default"/>
      </w:rPr>
    </w:lvl>
    <w:lvl w:ilvl="7">
      <w:start w:val="1"/>
      <w:numFmt w:val="none"/>
      <w:lvlText w:val=""/>
      <w:lvlJc w:val="left"/>
      <w:pPr>
        <w:ind w:left="2555" w:hanging="283"/>
      </w:pPr>
      <w:rPr>
        <w:rFonts w:hint="default"/>
      </w:rPr>
    </w:lvl>
    <w:lvl w:ilvl="8">
      <w:start w:val="1"/>
      <w:numFmt w:val="none"/>
      <w:lvlText w:val=""/>
      <w:lvlJc w:val="left"/>
      <w:pPr>
        <w:ind w:left="2839" w:hanging="283"/>
      </w:pPr>
      <w:rPr>
        <w:rFonts w:hint="default"/>
      </w:rPr>
    </w:lvl>
  </w:abstractNum>
  <w:abstractNum w:abstractNumId="8" w15:restartNumberingAfterBreak="0">
    <w:nsid w:val="3AFF9E23"/>
    <w:multiLevelType w:val="multilevel"/>
    <w:tmpl w:val="F5F8C680"/>
    <w:lvl w:ilvl="0">
      <w:start w:val="1"/>
      <w:numFmt w:val="decimal"/>
      <w:lvlText w:val="%1)"/>
      <w:lvlJc w:val="left"/>
      <w:pPr>
        <w:ind w:left="567"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236FD9"/>
    <w:multiLevelType w:val="multilevel"/>
    <w:tmpl w:val="1E6A1538"/>
    <w:lvl w:ilvl="0">
      <w:start w:val="1"/>
      <w:numFmt w:val="decimal"/>
      <w:pStyle w:val="Heading1"/>
      <w:lvlText w:val="%1"/>
      <w:lvlJc w:val="left"/>
      <w:pPr>
        <w:ind w:left="432" w:hanging="432"/>
      </w:pPr>
    </w:lvl>
    <w:lvl w:ilvl="1">
      <w:start w:val="1"/>
      <w:numFmt w:val="upperLetter"/>
      <w:pStyle w:val="Heading2"/>
      <w:lvlText w:val="%2."/>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708372B"/>
    <w:multiLevelType w:val="hybridMultilevel"/>
    <w:tmpl w:val="092054EE"/>
    <w:styleLink w:val="ListBullets"/>
    <w:lvl w:ilvl="0" w:tplc="1EF03BC2">
      <w:start w:val="1"/>
      <w:numFmt w:val="bullet"/>
      <w:pStyle w:val="ListBullet"/>
      <w:lvlText w:val=""/>
      <w:lvlJc w:val="left"/>
      <w:pPr>
        <w:ind w:left="567" w:hanging="283"/>
      </w:pPr>
      <w:rPr>
        <w:rFonts w:ascii="Symbol" w:hAnsi="Symbol" w:hint="default"/>
      </w:rPr>
    </w:lvl>
    <w:lvl w:ilvl="1" w:tplc="161EC2C0">
      <w:start w:val="1"/>
      <w:numFmt w:val="bullet"/>
      <w:pStyle w:val="ListBullet2"/>
      <w:lvlText w:val="o"/>
      <w:lvlJc w:val="left"/>
      <w:pPr>
        <w:ind w:left="851" w:hanging="283"/>
      </w:pPr>
      <w:rPr>
        <w:rFonts w:ascii="Courier New" w:hAnsi="Courier New" w:hint="default"/>
      </w:rPr>
    </w:lvl>
    <w:lvl w:ilvl="2" w:tplc="E81641E2">
      <w:start w:val="1"/>
      <w:numFmt w:val="bullet"/>
      <w:pStyle w:val="ListBullet3"/>
      <w:lvlText w:val=""/>
      <w:lvlJc w:val="left"/>
      <w:pPr>
        <w:ind w:left="1135" w:hanging="283"/>
      </w:pPr>
      <w:rPr>
        <w:rFonts w:ascii="Wingdings" w:hAnsi="Wingdings" w:hint="default"/>
      </w:rPr>
    </w:lvl>
    <w:lvl w:ilvl="3" w:tplc="E42E6DC4">
      <w:start w:val="1"/>
      <w:numFmt w:val="bullet"/>
      <w:pStyle w:val="ListBullet4"/>
      <w:lvlText w:val=""/>
      <w:lvlJc w:val="left"/>
      <w:pPr>
        <w:ind w:left="1419" w:hanging="283"/>
      </w:pPr>
      <w:rPr>
        <w:rFonts w:ascii="Symbol" w:hAnsi="Symbol" w:hint="default"/>
      </w:rPr>
    </w:lvl>
    <w:lvl w:ilvl="4" w:tplc="5F360786">
      <w:start w:val="1"/>
      <w:numFmt w:val="bullet"/>
      <w:pStyle w:val="ListBullet5"/>
      <w:lvlText w:val="o"/>
      <w:lvlJc w:val="left"/>
      <w:pPr>
        <w:ind w:left="1703" w:hanging="283"/>
      </w:pPr>
      <w:rPr>
        <w:rFonts w:ascii="Courier New" w:hAnsi="Courier New" w:hint="default"/>
      </w:rPr>
    </w:lvl>
    <w:lvl w:ilvl="5" w:tplc="E13A20B2">
      <w:start w:val="1"/>
      <w:numFmt w:val="decimal"/>
      <w:lvlText w:val=""/>
      <w:lvlJc w:val="left"/>
      <w:pPr>
        <w:ind w:left="1987" w:hanging="286"/>
      </w:pPr>
    </w:lvl>
    <w:lvl w:ilvl="6" w:tplc="A7782B28">
      <w:start w:val="1"/>
      <w:numFmt w:val="decimal"/>
      <w:lvlText w:val="%7"/>
      <w:lvlJc w:val="left"/>
      <w:pPr>
        <w:ind w:left="2271" w:hanging="283"/>
      </w:pPr>
    </w:lvl>
    <w:lvl w:ilvl="7" w:tplc="29B0D1CC">
      <w:start w:val="1"/>
      <w:numFmt w:val="decimal"/>
      <w:lvlText w:val="%8"/>
      <w:lvlJc w:val="left"/>
      <w:pPr>
        <w:ind w:left="2555" w:hanging="283"/>
      </w:pPr>
    </w:lvl>
    <w:lvl w:ilvl="8" w:tplc="2DDCDB14">
      <w:start w:val="1"/>
      <w:numFmt w:val="decimal"/>
      <w:lvlText w:val="%9"/>
      <w:lvlJc w:val="left"/>
      <w:pPr>
        <w:ind w:left="2839" w:hanging="283"/>
      </w:pPr>
    </w:lvl>
  </w:abstractNum>
  <w:abstractNum w:abstractNumId="11" w15:restartNumberingAfterBreak="0">
    <w:nsid w:val="4A56098F"/>
    <w:multiLevelType w:val="hybridMultilevel"/>
    <w:tmpl w:val="69986F84"/>
    <w:lvl w:ilvl="0" w:tplc="BA60AEFC">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3C6DC3"/>
    <w:multiLevelType w:val="hybridMultilevel"/>
    <w:tmpl w:val="62A48C5E"/>
    <w:lvl w:ilvl="0" w:tplc="831EA7E4">
      <w:start w:val="1"/>
      <w:numFmt w:val="decimal"/>
      <w:lvlText w:val="%1."/>
      <w:lvlJc w:val="left"/>
      <w:pPr>
        <w:tabs>
          <w:tab w:val="num" w:pos="534"/>
        </w:tabs>
        <w:ind w:left="534" w:hanging="390"/>
      </w:pPr>
      <w:rPr>
        <w:rFonts w:hint="default"/>
      </w:rPr>
    </w:lvl>
    <w:lvl w:ilvl="1" w:tplc="6C462270">
      <w:start w:val="1"/>
      <w:numFmt w:val="lowerLetter"/>
      <w:lvlText w:val="%2."/>
      <w:lvlJc w:val="left"/>
      <w:pPr>
        <w:tabs>
          <w:tab w:val="num" w:pos="1224"/>
        </w:tabs>
        <w:ind w:left="1224" w:hanging="360"/>
      </w:pPr>
    </w:lvl>
    <w:lvl w:ilvl="2" w:tplc="A4FE48B2">
      <w:start w:val="1"/>
      <w:numFmt w:val="lowerRoman"/>
      <w:lvlText w:val="%3."/>
      <w:lvlJc w:val="right"/>
      <w:pPr>
        <w:tabs>
          <w:tab w:val="num" w:pos="1944"/>
        </w:tabs>
        <w:ind w:left="1944" w:hanging="180"/>
      </w:pPr>
    </w:lvl>
    <w:lvl w:ilvl="3" w:tplc="593A8482">
      <w:start w:val="1"/>
      <w:numFmt w:val="decimal"/>
      <w:lvlText w:val="%4."/>
      <w:lvlJc w:val="left"/>
      <w:pPr>
        <w:tabs>
          <w:tab w:val="num" w:pos="2664"/>
        </w:tabs>
        <w:ind w:left="2664" w:hanging="360"/>
      </w:pPr>
    </w:lvl>
    <w:lvl w:ilvl="4" w:tplc="E3D065F0">
      <w:start w:val="1"/>
      <w:numFmt w:val="lowerLetter"/>
      <w:lvlText w:val="%5."/>
      <w:lvlJc w:val="left"/>
      <w:pPr>
        <w:tabs>
          <w:tab w:val="num" w:pos="3384"/>
        </w:tabs>
        <w:ind w:left="3384" w:hanging="360"/>
      </w:pPr>
    </w:lvl>
    <w:lvl w:ilvl="5" w:tplc="12048B7C">
      <w:start w:val="1"/>
      <w:numFmt w:val="lowerRoman"/>
      <w:lvlText w:val="%6."/>
      <w:lvlJc w:val="right"/>
      <w:pPr>
        <w:tabs>
          <w:tab w:val="num" w:pos="4104"/>
        </w:tabs>
        <w:ind w:left="4104" w:hanging="180"/>
      </w:pPr>
    </w:lvl>
    <w:lvl w:ilvl="6" w:tplc="A442F12C">
      <w:start w:val="1"/>
      <w:numFmt w:val="decimal"/>
      <w:lvlText w:val="%7."/>
      <w:lvlJc w:val="left"/>
      <w:pPr>
        <w:tabs>
          <w:tab w:val="num" w:pos="4824"/>
        </w:tabs>
        <w:ind w:left="4824" w:hanging="360"/>
      </w:pPr>
    </w:lvl>
    <w:lvl w:ilvl="7" w:tplc="DF4C1C82">
      <w:start w:val="1"/>
      <w:numFmt w:val="lowerLetter"/>
      <w:lvlText w:val="%8."/>
      <w:lvlJc w:val="left"/>
      <w:pPr>
        <w:tabs>
          <w:tab w:val="num" w:pos="5544"/>
        </w:tabs>
        <w:ind w:left="5544" w:hanging="360"/>
      </w:pPr>
    </w:lvl>
    <w:lvl w:ilvl="8" w:tplc="1486DE90">
      <w:start w:val="1"/>
      <w:numFmt w:val="lowerRoman"/>
      <w:lvlText w:val="%9."/>
      <w:lvlJc w:val="right"/>
      <w:pPr>
        <w:tabs>
          <w:tab w:val="num" w:pos="6264"/>
        </w:tabs>
        <w:ind w:left="6264" w:hanging="180"/>
      </w:pPr>
    </w:lvl>
  </w:abstractNum>
  <w:abstractNum w:abstractNumId="13" w15:restartNumberingAfterBreak="0">
    <w:nsid w:val="501D23F7"/>
    <w:multiLevelType w:val="hybridMultilevel"/>
    <w:tmpl w:val="18A02468"/>
    <w:lvl w:ilvl="0" w:tplc="A620B14A">
      <w:start w:val="2"/>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007789"/>
    <w:multiLevelType w:val="singleLevel"/>
    <w:tmpl w:val="9488CE46"/>
    <w:lvl w:ilvl="0">
      <w:start w:val="1"/>
      <w:numFmt w:val="decimal"/>
      <w:lvlText w:val="%1."/>
      <w:lvlJc w:val="left"/>
      <w:pPr>
        <w:tabs>
          <w:tab w:val="num" w:pos="360"/>
        </w:tabs>
        <w:ind w:left="360" w:hanging="360"/>
      </w:pPr>
      <w:rPr>
        <w:b w:val="0"/>
        <w:sz w:val="22"/>
        <w:szCs w:val="22"/>
      </w:rPr>
    </w:lvl>
  </w:abstractNum>
  <w:abstractNum w:abstractNumId="15" w15:restartNumberingAfterBreak="0">
    <w:nsid w:val="5ED71DC2"/>
    <w:multiLevelType w:val="multilevel"/>
    <w:tmpl w:val="C890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D08CB1"/>
    <w:multiLevelType w:val="multilevel"/>
    <w:tmpl w:val="9CC0EABE"/>
    <w:lvl w:ilvl="0">
      <w:start w:val="1"/>
      <w:numFmt w:val="decimal"/>
      <w:lvlText w:val="%1)"/>
      <w:lvlJc w:val="left"/>
      <w:pPr>
        <w:ind w:left="567"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3557440">
    <w:abstractNumId w:val="16"/>
  </w:num>
  <w:num w:numId="2" w16cid:durableId="54553050">
    <w:abstractNumId w:val="8"/>
  </w:num>
  <w:num w:numId="3" w16cid:durableId="42608580">
    <w:abstractNumId w:val="9"/>
  </w:num>
  <w:num w:numId="4" w16cid:durableId="1392583905">
    <w:abstractNumId w:val="10"/>
  </w:num>
  <w:num w:numId="5" w16cid:durableId="286858108">
    <w:abstractNumId w:val="7"/>
  </w:num>
  <w:num w:numId="6" w16cid:durableId="316108554">
    <w:abstractNumId w:val="3"/>
  </w:num>
  <w:num w:numId="7" w16cid:durableId="1057583484">
    <w:abstractNumId w:val="6"/>
  </w:num>
  <w:num w:numId="8" w16cid:durableId="2016348259">
    <w:abstractNumId w:val="5"/>
  </w:num>
  <w:num w:numId="9" w16cid:durableId="821387875">
    <w:abstractNumId w:val="1"/>
  </w:num>
  <w:num w:numId="10" w16cid:durableId="70742866">
    <w:abstractNumId w:val="2"/>
  </w:num>
  <w:num w:numId="11" w16cid:durableId="738095343">
    <w:abstractNumId w:val="14"/>
  </w:num>
  <w:num w:numId="12" w16cid:durableId="732049233">
    <w:abstractNumId w:val="4"/>
  </w:num>
  <w:num w:numId="13" w16cid:durableId="1732583200">
    <w:abstractNumId w:val="12"/>
  </w:num>
  <w:num w:numId="14" w16cid:durableId="553663030">
    <w:abstractNumId w:val="0"/>
  </w:num>
  <w:num w:numId="15" w16cid:durableId="35161490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80284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323094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1247464">
    <w:abstractNumId w:val="15"/>
  </w:num>
  <w:num w:numId="19" w16cid:durableId="514346714">
    <w:abstractNumId w:val="13"/>
  </w:num>
  <w:num w:numId="20" w16cid:durableId="27479306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hdrShapeDefaults>
    <o:shapedefaults v:ext="edit" spidmax="2050"/>
  </w:hdrShapeDefaults>
  <w:footnotePr>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3"/>
    <w:rsid w:val="0000572E"/>
    <w:rsid w:val="00010673"/>
    <w:rsid w:val="00010BB2"/>
    <w:rsid w:val="00013367"/>
    <w:rsid w:val="00013FC5"/>
    <w:rsid w:val="00020FB5"/>
    <w:rsid w:val="000254F5"/>
    <w:rsid w:val="00025E90"/>
    <w:rsid w:val="00026098"/>
    <w:rsid w:val="00030747"/>
    <w:rsid w:val="0003093A"/>
    <w:rsid w:val="0003213F"/>
    <w:rsid w:val="00032C7B"/>
    <w:rsid w:val="00035318"/>
    <w:rsid w:val="00035876"/>
    <w:rsid w:val="0004075A"/>
    <w:rsid w:val="00040B14"/>
    <w:rsid w:val="00041CE1"/>
    <w:rsid w:val="000427AC"/>
    <w:rsid w:val="00051962"/>
    <w:rsid w:val="0005242F"/>
    <w:rsid w:val="00052787"/>
    <w:rsid w:val="0005741C"/>
    <w:rsid w:val="00057AE7"/>
    <w:rsid w:val="000604F1"/>
    <w:rsid w:val="00064B11"/>
    <w:rsid w:val="00064BC6"/>
    <w:rsid w:val="00064E4D"/>
    <w:rsid w:val="0006534B"/>
    <w:rsid w:val="000718FD"/>
    <w:rsid w:val="00072624"/>
    <w:rsid w:val="00073487"/>
    <w:rsid w:val="00073FBD"/>
    <w:rsid w:val="0007648A"/>
    <w:rsid w:val="000776EC"/>
    <w:rsid w:val="000819FD"/>
    <w:rsid w:val="0008231C"/>
    <w:rsid w:val="00082711"/>
    <w:rsid w:val="00085AE7"/>
    <w:rsid w:val="0008657C"/>
    <w:rsid w:val="00086B95"/>
    <w:rsid w:val="00086E92"/>
    <w:rsid w:val="00096D8B"/>
    <w:rsid w:val="00097307"/>
    <w:rsid w:val="000A3FDE"/>
    <w:rsid w:val="000A6B54"/>
    <w:rsid w:val="000A7242"/>
    <w:rsid w:val="000B0DB0"/>
    <w:rsid w:val="000B322C"/>
    <w:rsid w:val="000B5E05"/>
    <w:rsid w:val="000C69A6"/>
    <w:rsid w:val="000C7195"/>
    <w:rsid w:val="000C7631"/>
    <w:rsid w:val="000D1324"/>
    <w:rsid w:val="000D30FB"/>
    <w:rsid w:val="000D4C54"/>
    <w:rsid w:val="000E03C0"/>
    <w:rsid w:val="000E5462"/>
    <w:rsid w:val="000F2983"/>
    <w:rsid w:val="000F300B"/>
    <w:rsid w:val="000F7F3D"/>
    <w:rsid w:val="00101928"/>
    <w:rsid w:val="00104310"/>
    <w:rsid w:val="0010557A"/>
    <w:rsid w:val="00106B63"/>
    <w:rsid w:val="001119FE"/>
    <w:rsid w:val="0011412C"/>
    <w:rsid w:val="00115D46"/>
    <w:rsid w:val="00115EAD"/>
    <w:rsid w:val="00121931"/>
    <w:rsid w:val="001223AA"/>
    <w:rsid w:val="00122516"/>
    <w:rsid w:val="00123AFD"/>
    <w:rsid w:val="00125BB6"/>
    <w:rsid w:val="00126AB8"/>
    <w:rsid w:val="00127046"/>
    <w:rsid w:val="00127F0E"/>
    <w:rsid w:val="00130070"/>
    <w:rsid w:val="0013244C"/>
    <w:rsid w:val="001331C1"/>
    <w:rsid w:val="00134B1C"/>
    <w:rsid w:val="00136811"/>
    <w:rsid w:val="00137260"/>
    <w:rsid w:val="001401DE"/>
    <w:rsid w:val="001420A0"/>
    <w:rsid w:val="001502EA"/>
    <w:rsid w:val="001558F8"/>
    <w:rsid w:val="00155D2D"/>
    <w:rsid w:val="001629C7"/>
    <w:rsid w:val="00162C6F"/>
    <w:rsid w:val="001649D7"/>
    <w:rsid w:val="001650F5"/>
    <w:rsid w:val="00173126"/>
    <w:rsid w:val="001738C1"/>
    <w:rsid w:val="00174110"/>
    <w:rsid w:val="001763D5"/>
    <w:rsid w:val="00183071"/>
    <w:rsid w:val="00192DAE"/>
    <w:rsid w:val="001952A3"/>
    <w:rsid w:val="00195AD8"/>
    <w:rsid w:val="00195C73"/>
    <w:rsid w:val="00196841"/>
    <w:rsid w:val="00197216"/>
    <w:rsid w:val="001A0E9D"/>
    <w:rsid w:val="001A160D"/>
    <w:rsid w:val="001A4E75"/>
    <w:rsid w:val="001B2A6E"/>
    <w:rsid w:val="001B7B5A"/>
    <w:rsid w:val="001C0713"/>
    <w:rsid w:val="001C138A"/>
    <w:rsid w:val="001C287C"/>
    <w:rsid w:val="001C3184"/>
    <w:rsid w:val="001C3C6F"/>
    <w:rsid w:val="001D077C"/>
    <w:rsid w:val="001D2777"/>
    <w:rsid w:val="001D3047"/>
    <w:rsid w:val="001E072D"/>
    <w:rsid w:val="001E6402"/>
    <w:rsid w:val="001E698E"/>
    <w:rsid w:val="001E760D"/>
    <w:rsid w:val="00200942"/>
    <w:rsid w:val="00203497"/>
    <w:rsid w:val="0021029F"/>
    <w:rsid w:val="00210FCA"/>
    <w:rsid w:val="0021191D"/>
    <w:rsid w:val="00211CC0"/>
    <w:rsid w:val="00211FE6"/>
    <w:rsid w:val="00212E69"/>
    <w:rsid w:val="00215CC9"/>
    <w:rsid w:val="002167D3"/>
    <w:rsid w:val="00217A87"/>
    <w:rsid w:val="00224710"/>
    <w:rsid w:val="00224B44"/>
    <w:rsid w:val="00226FBE"/>
    <w:rsid w:val="00227927"/>
    <w:rsid w:val="00227DD9"/>
    <w:rsid w:val="00230CD4"/>
    <w:rsid w:val="0023231A"/>
    <w:rsid w:val="00233643"/>
    <w:rsid w:val="00235B49"/>
    <w:rsid w:val="0024088C"/>
    <w:rsid w:val="00240FE6"/>
    <w:rsid w:val="002437D0"/>
    <w:rsid w:val="00246112"/>
    <w:rsid w:val="0025139A"/>
    <w:rsid w:val="00253966"/>
    <w:rsid w:val="00255815"/>
    <w:rsid w:val="00261D36"/>
    <w:rsid w:val="00262855"/>
    <w:rsid w:val="00263882"/>
    <w:rsid w:val="00264235"/>
    <w:rsid w:val="00267D74"/>
    <w:rsid w:val="0028120B"/>
    <w:rsid w:val="0029202D"/>
    <w:rsid w:val="002935C3"/>
    <w:rsid w:val="00295077"/>
    <w:rsid w:val="002952BB"/>
    <w:rsid w:val="00296B32"/>
    <w:rsid w:val="00297353"/>
    <w:rsid w:val="002A039A"/>
    <w:rsid w:val="002A19DD"/>
    <w:rsid w:val="002A43D0"/>
    <w:rsid w:val="002A4C5B"/>
    <w:rsid w:val="002A564B"/>
    <w:rsid w:val="002B4CCA"/>
    <w:rsid w:val="002C27D0"/>
    <w:rsid w:val="002C5769"/>
    <w:rsid w:val="002C7951"/>
    <w:rsid w:val="002D0513"/>
    <w:rsid w:val="002D154C"/>
    <w:rsid w:val="002D2698"/>
    <w:rsid w:val="002D47AC"/>
    <w:rsid w:val="002D55AC"/>
    <w:rsid w:val="002E1E1A"/>
    <w:rsid w:val="002E2340"/>
    <w:rsid w:val="002E2BB0"/>
    <w:rsid w:val="002E568A"/>
    <w:rsid w:val="002F04DD"/>
    <w:rsid w:val="002F48F2"/>
    <w:rsid w:val="002F7069"/>
    <w:rsid w:val="00302ED1"/>
    <w:rsid w:val="00304EC2"/>
    <w:rsid w:val="00306369"/>
    <w:rsid w:val="00310689"/>
    <w:rsid w:val="003129B3"/>
    <w:rsid w:val="00313F95"/>
    <w:rsid w:val="003200E0"/>
    <w:rsid w:val="00320A40"/>
    <w:rsid w:val="00321852"/>
    <w:rsid w:val="00323556"/>
    <w:rsid w:val="0032389F"/>
    <w:rsid w:val="003250D0"/>
    <w:rsid w:val="00325A5B"/>
    <w:rsid w:val="003264B7"/>
    <w:rsid w:val="00327D98"/>
    <w:rsid w:val="0033133B"/>
    <w:rsid w:val="00332653"/>
    <w:rsid w:val="0033548B"/>
    <w:rsid w:val="0033552D"/>
    <w:rsid w:val="00336430"/>
    <w:rsid w:val="00336C03"/>
    <w:rsid w:val="00354B84"/>
    <w:rsid w:val="003566C9"/>
    <w:rsid w:val="00357226"/>
    <w:rsid w:val="00363727"/>
    <w:rsid w:val="003650C3"/>
    <w:rsid w:val="00365159"/>
    <w:rsid w:val="00365827"/>
    <w:rsid w:val="00367357"/>
    <w:rsid w:val="00367C3E"/>
    <w:rsid w:val="00370777"/>
    <w:rsid w:val="003719EA"/>
    <w:rsid w:val="00371ED4"/>
    <w:rsid w:val="00373F02"/>
    <w:rsid w:val="0037439A"/>
    <w:rsid w:val="00376EFB"/>
    <w:rsid w:val="00380365"/>
    <w:rsid w:val="0038143E"/>
    <w:rsid w:val="0038661E"/>
    <w:rsid w:val="00386733"/>
    <w:rsid w:val="00387099"/>
    <w:rsid w:val="003940DE"/>
    <w:rsid w:val="003948CA"/>
    <w:rsid w:val="0039732F"/>
    <w:rsid w:val="003A1343"/>
    <w:rsid w:val="003A5141"/>
    <w:rsid w:val="003B13A2"/>
    <w:rsid w:val="003B31B5"/>
    <w:rsid w:val="003C22FE"/>
    <w:rsid w:val="003C2E37"/>
    <w:rsid w:val="003C4C0D"/>
    <w:rsid w:val="003C5DFA"/>
    <w:rsid w:val="003C73C5"/>
    <w:rsid w:val="003E0769"/>
    <w:rsid w:val="003E5AD5"/>
    <w:rsid w:val="003F02A7"/>
    <w:rsid w:val="003F088F"/>
    <w:rsid w:val="003F1A54"/>
    <w:rsid w:val="003F54DD"/>
    <w:rsid w:val="00400EFF"/>
    <w:rsid w:val="0040183B"/>
    <w:rsid w:val="004044B3"/>
    <w:rsid w:val="00404D59"/>
    <w:rsid w:val="00407498"/>
    <w:rsid w:val="0041091F"/>
    <w:rsid w:val="00412B82"/>
    <w:rsid w:val="00413636"/>
    <w:rsid w:val="0042324C"/>
    <w:rsid w:val="0042399E"/>
    <w:rsid w:val="0042546D"/>
    <w:rsid w:val="00431162"/>
    <w:rsid w:val="004315E5"/>
    <w:rsid w:val="00433776"/>
    <w:rsid w:val="004361B7"/>
    <w:rsid w:val="00437C1A"/>
    <w:rsid w:val="00440763"/>
    <w:rsid w:val="0044091E"/>
    <w:rsid w:val="00441640"/>
    <w:rsid w:val="004429E4"/>
    <w:rsid w:val="0044330D"/>
    <w:rsid w:val="0044347E"/>
    <w:rsid w:val="00444376"/>
    <w:rsid w:val="0044494B"/>
    <w:rsid w:val="004461BF"/>
    <w:rsid w:val="0045043D"/>
    <w:rsid w:val="00450A6B"/>
    <w:rsid w:val="0045319A"/>
    <w:rsid w:val="004550D4"/>
    <w:rsid w:val="00455C5A"/>
    <w:rsid w:val="00456AAA"/>
    <w:rsid w:val="0045714F"/>
    <w:rsid w:val="00462472"/>
    <w:rsid w:val="00463795"/>
    <w:rsid w:val="00465AA6"/>
    <w:rsid w:val="004673C8"/>
    <w:rsid w:val="004714FB"/>
    <w:rsid w:val="00474781"/>
    <w:rsid w:val="00481244"/>
    <w:rsid w:val="004814E3"/>
    <w:rsid w:val="00483BAC"/>
    <w:rsid w:val="00485DB6"/>
    <w:rsid w:val="00491DF5"/>
    <w:rsid w:val="00494FE4"/>
    <w:rsid w:val="004A626F"/>
    <w:rsid w:val="004A6A7B"/>
    <w:rsid w:val="004A6B60"/>
    <w:rsid w:val="004A7C98"/>
    <w:rsid w:val="004B22FF"/>
    <w:rsid w:val="004B5258"/>
    <w:rsid w:val="004B65A2"/>
    <w:rsid w:val="004B7222"/>
    <w:rsid w:val="004B74A5"/>
    <w:rsid w:val="004B7FF7"/>
    <w:rsid w:val="004C0006"/>
    <w:rsid w:val="004C0221"/>
    <w:rsid w:val="004C0A94"/>
    <w:rsid w:val="004C49E0"/>
    <w:rsid w:val="004C79B4"/>
    <w:rsid w:val="004C7C17"/>
    <w:rsid w:val="004C7F72"/>
    <w:rsid w:val="004D4663"/>
    <w:rsid w:val="004D4FB7"/>
    <w:rsid w:val="004F2B0C"/>
    <w:rsid w:val="004F3111"/>
    <w:rsid w:val="004F444E"/>
    <w:rsid w:val="004F5FD1"/>
    <w:rsid w:val="00500358"/>
    <w:rsid w:val="005036F0"/>
    <w:rsid w:val="005044F4"/>
    <w:rsid w:val="005064E7"/>
    <w:rsid w:val="005107F0"/>
    <w:rsid w:val="005110C1"/>
    <w:rsid w:val="0051225B"/>
    <w:rsid w:val="00513BAC"/>
    <w:rsid w:val="005160D9"/>
    <w:rsid w:val="00520168"/>
    <w:rsid w:val="0052313F"/>
    <w:rsid w:val="00523C52"/>
    <w:rsid w:val="00532005"/>
    <w:rsid w:val="00533D38"/>
    <w:rsid w:val="005344DB"/>
    <w:rsid w:val="00535C1A"/>
    <w:rsid w:val="005376BB"/>
    <w:rsid w:val="00540816"/>
    <w:rsid w:val="00540E75"/>
    <w:rsid w:val="00542641"/>
    <w:rsid w:val="00542857"/>
    <w:rsid w:val="00542A5A"/>
    <w:rsid w:val="005434BE"/>
    <w:rsid w:val="00544450"/>
    <w:rsid w:val="0054702D"/>
    <w:rsid w:val="00555FD1"/>
    <w:rsid w:val="00556B19"/>
    <w:rsid w:val="00560B00"/>
    <w:rsid w:val="00561447"/>
    <w:rsid w:val="00567938"/>
    <w:rsid w:val="00570813"/>
    <w:rsid w:val="00570CA3"/>
    <w:rsid w:val="00571086"/>
    <w:rsid w:val="0057157D"/>
    <w:rsid w:val="00571C34"/>
    <w:rsid w:val="00572CE4"/>
    <w:rsid w:val="00576A13"/>
    <w:rsid w:val="00582533"/>
    <w:rsid w:val="00591105"/>
    <w:rsid w:val="00592337"/>
    <w:rsid w:val="00592DE9"/>
    <w:rsid w:val="00593514"/>
    <w:rsid w:val="0059478A"/>
    <w:rsid w:val="005A08D2"/>
    <w:rsid w:val="005A0ED7"/>
    <w:rsid w:val="005A26CF"/>
    <w:rsid w:val="005A468C"/>
    <w:rsid w:val="005B2F03"/>
    <w:rsid w:val="005B3879"/>
    <w:rsid w:val="005B4FB8"/>
    <w:rsid w:val="005B551F"/>
    <w:rsid w:val="005B6D87"/>
    <w:rsid w:val="005C123C"/>
    <w:rsid w:val="005C55EA"/>
    <w:rsid w:val="005D0C88"/>
    <w:rsid w:val="005D172E"/>
    <w:rsid w:val="005D26A4"/>
    <w:rsid w:val="005D340B"/>
    <w:rsid w:val="005D5BEC"/>
    <w:rsid w:val="005D5CD0"/>
    <w:rsid w:val="005E0DA7"/>
    <w:rsid w:val="005E25C4"/>
    <w:rsid w:val="005E2F41"/>
    <w:rsid w:val="005E34CA"/>
    <w:rsid w:val="005F0373"/>
    <w:rsid w:val="005F2312"/>
    <w:rsid w:val="005F2FD7"/>
    <w:rsid w:val="005F532B"/>
    <w:rsid w:val="005F55F5"/>
    <w:rsid w:val="005F7098"/>
    <w:rsid w:val="00602244"/>
    <w:rsid w:val="00602EB4"/>
    <w:rsid w:val="00602EF4"/>
    <w:rsid w:val="00604B2F"/>
    <w:rsid w:val="00612071"/>
    <w:rsid w:val="0061457A"/>
    <w:rsid w:val="00614D6C"/>
    <w:rsid w:val="00617C1D"/>
    <w:rsid w:val="00620DAA"/>
    <w:rsid w:val="00625CF2"/>
    <w:rsid w:val="0062719B"/>
    <w:rsid w:val="006274B8"/>
    <w:rsid w:val="006308B5"/>
    <w:rsid w:val="006331DF"/>
    <w:rsid w:val="006404AF"/>
    <w:rsid w:val="006477A9"/>
    <w:rsid w:val="00654147"/>
    <w:rsid w:val="00655533"/>
    <w:rsid w:val="006617F4"/>
    <w:rsid w:val="00664225"/>
    <w:rsid w:val="0066557B"/>
    <w:rsid w:val="00666EA1"/>
    <w:rsid w:val="00673692"/>
    <w:rsid w:val="006806BF"/>
    <w:rsid w:val="00680819"/>
    <w:rsid w:val="006811B0"/>
    <w:rsid w:val="0068298D"/>
    <w:rsid w:val="00686276"/>
    <w:rsid w:val="00686DBA"/>
    <w:rsid w:val="00686FB6"/>
    <w:rsid w:val="00695A11"/>
    <w:rsid w:val="00695F99"/>
    <w:rsid w:val="006A0661"/>
    <w:rsid w:val="006A1C9B"/>
    <w:rsid w:val="006A24A5"/>
    <w:rsid w:val="006A3291"/>
    <w:rsid w:val="006A61B5"/>
    <w:rsid w:val="006A7DE0"/>
    <w:rsid w:val="006B15DA"/>
    <w:rsid w:val="006B383D"/>
    <w:rsid w:val="006B587E"/>
    <w:rsid w:val="006C0121"/>
    <w:rsid w:val="006C1A47"/>
    <w:rsid w:val="006C3284"/>
    <w:rsid w:val="006C4366"/>
    <w:rsid w:val="006C58E4"/>
    <w:rsid w:val="006C68B7"/>
    <w:rsid w:val="006D671B"/>
    <w:rsid w:val="006E1C89"/>
    <w:rsid w:val="006E4754"/>
    <w:rsid w:val="006F0B9E"/>
    <w:rsid w:val="006F39CE"/>
    <w:rsid w:val="006F550A"/>
    <w:rsid w:val="006F5C79"/>
    <w:rsid w:val="006F6D5D"/>
    <w:rsid w:val="006F7049"/>
    <w:rsid w:val="007131A1"/>
    <w:rsid w:val="007145D1"/>
    <w:rsid w:val="00715DA0"/>
    <w:rsid w:val="007171DB"/>
    <w:rsid w:val="00722463"/>
    <w:rsid w:val="00733AED"/>
    <w:rsid w:val="00737FA9"/>
    <w:rsid w:val="007424B2"/>
    <w:rsid w:val="0074256D"/>
    <w:rsid w:val="0074323C"/>
    <w:rsid w:val="00745719"/>
    <w:rsid w:val="0074607A"/>
    <w:rsid w:val="00750488"/>
    <w:rsid w:val="007542FA"/>
    <w:rsid w:val="00754F0F"/>
    <w:rsid w:val="00755DFE"/>
    <w:rsid w:val="00757E04"/>
    <w:rsid w:val="00762873"/>
    <w:rsid w:val="007629D8"/>
    <w:rsid w:val="00762D48"/>
    <w:rsid w:val="007633A8"/>
    <w:rsid w:val="00764368"/>
    <w:rsid w:val="00770FEE"/>
    <w:rsid w:val="00772051"/>
    <w:rsid w:val="00772D7F"/>
    <w:rsid w:val="00775A4F"/>
    <w:rsid w:val="00781DC9"/>
    <w:rsid w:val="00784AFA"/>
    <w:rsid w:val="00786037"/>
    <w:rsid w:val="00791D82"/>
    <w:rsid w:val="00793088"/>
    <w:rsid w:val="00793C90"/>
    <w:rsid w:val="007974A8"/>
    <w:rsid w:val="007A194F"/>
    <w:rsid w:val="007A23E8"/>
    <w:rsid w:val="007A2BF6"/>
    <w:rsid w:val="007A2E6C"/>
    <w:rsid w:val="007A435C"/>
    <w:rsid w:val="007A4EC5"/>
    <w:rsid w:val="007A5FDA"/>
    <w:rsid w:val="007A6BDC"/>
    <w:rsid w:val="007B0F9C"/>
    <w:rsid w:val="007B382F"/>
    <w:rsid w:val="007B4D49"/>
    <w:rsid w:val="007B67B8"/>
    <w:rsid w:val="007C4B50"/>
    <w:rsid w:val="007C4D7D"/>
    <w:rsid w:val="007C5064"/>
    <w:rsid w:val="007D2BF5"/>
    <w:rsid w:val="007D4581"/>
    <w:rsid w:val="007D4FA5"/>
    <w:rsid w:val="007D7332"/>
    <w:rsid w:val="007E2C43"/>
    <w:rsid w:val="007E4B93"/>
    <w:rsid w:val="007E505F"/>
    <w:rsid w:val="007F637A"/>
    <w:rsid w:val="007F63FC"/>
    <w:rsid w:val="00801EDB"/>
    <w:rsid w:val="0080385B"/>
    <w:rsid w:val="00804052"/>
    <w:rsid w:val="0081130B"/>
    <w:rsid w:val="008142B2"/>
    <w:rsid w:val="00814AAF"/>
    <w:rsid w:val="008153BD"/>
    <w:rsid w:val="00816691"/>
    <w:rsid w:val="00817B6C"/>
    <w:rsid w:val="00822551"/>
    <w:rsid w:val="00823480"/>
    <w:rsid w:val="0083035E"/>
    <w:rsid w:val="008306B9"/>
    <w:rsid w:val="00830959"/>
    <w:rsid w:val="0083250E"/>
    <w:rsid w:val="0083278E"/>
    <w:rsid w:val="00833857"/>
    <w:rsid w:val="008365E2"/>
    <w:rsid w:val="00837BE9"/>
    <w:rsid w:val="008424FD"/>
    <w:rsid w:val="0084531A"/>
    <w:rsid w:val="00850710"/>
    <w:rsid w:val="00852833"/>
    <w:rsid w:val="00854A01"/>
    <w:rsid w:val="0085538B"/>
    <w:rsid w:val="00856B53"/>
    <w:rsid w:val="008667BC"/>
    <w:rsid w:val="00870F79"/>
    <w:rsid w:val="00872CF6"/>
    <w:rsid w:val="00877DA0"/>
    <w:rsid w:val="0088083B"/>
    <w:rsid w:val="0088269E"/>
    <w:rsid w:val="00883B0F"/>
    <w:rsid w:val="008850AA"/>
    <w:rsid w:val="00893577"/>
    <w:rsid w:val="00893BC2"/>
    <w:rsid w:val="00895E04"/>
    <w:rsid w:val="008962F6"/>
    <w:rsid w:val="008A1AA2"/>
    <w:rsid w:val="008A1EF0"/>
    <w:rsid w:val="008A3B23"/>
    <w:rsid w:val="008A5E15"/>
    <w:rsid w:val="008B06C2"/>
    <w:rsid w:val="008B40CB"/>
    <w:rsid w:val="008B4206"/>
    <w:rsid w:val="008B5D0A"/>
    <w:rsid w:val="008C1F8A"/>
    <w:rsid w:val="008C51D9"/>
    <w:rsid w:val="008C64FF"/>
    <w:rsid w:val="008C708D"/>
    <w:rsid w:val="008C7299"/>
    <w:rsid w:val="008D2A45"/>
    <w:rsid w:val="008D4C89"/>
    <w:rsid w:val="008D5C01"/>
    <w:rsid w:val="008D71D9"/>
    <w:rsid w:val="008D7C26"/>
    <w:rsid w:val="008E6613"/>
    <w:rsid w:val="008F1339"/>
    <w:rsid w:val="008F6140"/>
    <w:rsid w:val="0090148E"/>
    <w:rsid w:val="00902608"/>
    <w:rsid w:val="00903CBF"/>
    <w:rsid w:val="00904231"/>
    <w:rsid w:val="00906F79"/>
    <w:rsid w:val="009119DA"/>
    <w:rsid w:val="00911DD8"/>
    <w:rsid w:val="00915D8E"/>
    <w:rsid w:val="00922068"/>
    <w:rsid w:val="00922E0C"/>
    <w:rsid w:val="00924E6F"/>
    <w:rsid w:val="0092660C"/>
    <w:rsid w:val="00930DB9"/>
    <w:rsid w:val="00935651"/>
    <w:rsid w:val="00937177"/>
    <w:rsid w:val="009407A2"/>
    <w:rsid w:val="0094797D"/>
    <w:rsid w:val="009546AB"/>
    <w:rsid w:val="00956470"/>
    <w:rsid w:val="00956B45"/>
    <w:rsid w:val="009639CC"/>
    <w:rsid w:val="00965652"/>
    <w:rsid w:val="00966229"/>
    <w:rsid w:val="00967082"/>
    <w:rsid w:val="009765B4"/>
    <w:rsid w:val="0098458A"/>
    <w:rsid w:val="00990869"/>
    <w:rsid w:val="0099510D"/>
    <w:rsid w:val="00997935"/>
    <w:rsid w:val="009A10B9"/>
    <w:rsid w:val="009A682E"/>
    <w:rsid w:val="009B7A82"/>
    <w:rsid w:val="009C1E26"/>
    <w:rsid w:val="009C5D40"/>
    <w:rsid w:val="009C66CE"/>
    <w:rsid w:val="009D1C76"/>
    <w:rsid w:val="009D1DF8"/>
    <w:rsid w:val="009D2F4A"/>
    <w:rsid w:val="009D3CF9"/>
    <w:rsid w:val="009D4250"/>
    <w:rsid w:val="009D794B"/>
    <w:rsid w:val="009E3088"/>
    <w:rsid w:val="009E3228"/>
    <w:rsid w:val="009F595B"/>
    <w:rsid w:val="00A000DD"/>
    <w:rsid w:val="00A0078A"/>
    <w:rsid w:val="00A01A64"/>
    <w:rsid w:val="00A030A6"/>
    <w:rsid w:val="00A03E68"/>
    <w:rsid w:val="00A06838"/>
    <w:rsid w:val="00A079A0"/>
    <w:rsid w:val="00A139A6"/>
    <w:rsid w:val="00A20540"/>
    <w:rsid w:val="00A237DB"/>
    <w:rsid w:val="00A25444"/>
    <w:rsid w:val="00A339EE"/>
    <w:rsid w:val="00A3435B"/>
    <w:rsid w:val="00A34A0D"/>
    <w:rsid w:val="00A35CCE"/>
    <w:rsid w:val="00A36816"/>
    <w:rsid w:val="00A40B26"/>
    <w:rsid w:val="00A45152"/>
    <w:rsid w:val="00A458F5"/>
    <w:rsid w:val="00A5103D"/>
    <w:rsid w:val="00A630AA"/>
    <w:rsid w:val="00A63718"/>
    <w:rsid w:val="00A66A49"/>
    <w:rsid w:val="00A66BEB"/>
    <w:rsid w:val="00A77008"/>
    <w:rsid w:val="00A77F58"/>
    <w:rsid w:val="00A82D37"/>
    <w:rsid w:val="00A85025"/>
    <w:rsid w:val="00A86BD8"/>
    <w:rsid w:val="00A86F8F"/>
    <w:rsid w:val="00A940B2"/>
    <w:rsid w:val="00AA1DF4"/>
    <w:rsid w:val="00AA6188"/>
    <w:rsid w:val="00AB4761"/>
    <w:rsid w:val="00AC02B8"/>
    <w:rsid w:val="00AC034C"/>
    <w:rsid w:val="00AC66EC"/>
    <w:rsid w:val="00AD1391"/>
    <w:rsid w:val="00AD78BC"/>
    <w:rsid w:val="00AE758F"/>
    <w:rsid w:val="00AF0522"/>
    <w:rsid w:val="00AF3D11"/>
    <w:rsid w:val="00B00D5B"/>
    <w:rsid w:val="00B02F41"/>
    <w:rsid w:val="00B0784C"/>
    <w:rsid w:val="00B1226B"/>
    <w:rsid w:val="00B13B86"/>
    <w:rsid w:val="00B14608"/>
    <w:rsid w:val="00B1573E"/>
    <w:rsid w:val="00B20D28"/>
    <w:rsid w:val="00B221B5"/>
    <w:rsid w:val="00B22880"/>
    <w:rsid w:val="00B23093"/>
    <w:rsid w:val="00B24D82"/>
    <w:rsid w:val="00B25634"/>
    <w:rsid w:val="00B306E3"/>
    <w:rsid w:val="00B30C90"/>
    <w:rsid w:val="00B32D70"/>
    <w:rsid w:val="00B45EF6"/>
    <w:rsid w:val="00B50413"/>
    <w:rsid w:val="00B510AB"/>
    <w:rsid w:val="00B525B3"/>
    <w:rsid w:val="00B53BAF"/>
    <w:rsid w:val="00B557AF"/>
    <w:rsid w:val="00B57FC6"/>
    <w:rsid w:val="00B62837"/>
    <w:rsid w:val="00B630E2"/>
    <w:rsid w:val="00B644C8"/>
    <w:rsid w:val="00B66E54"/>
    <w:rsid w:val="00B71BFC"/>
    <w:rsid w:val="00B75378"/>
    <w:rsid w:val="00B76441"/>
    <w:rsid w:val="00B824FD"/>
    <w:rsid w:val="00B82C4D"/>
    <w:rsid w:val="00B9206E"/>
    <w:rsid w:val="00B9302D"/>
    <w:rsid w:val="00B955C4"/>
    <w:rsid w:val="00B975F9"/>
    <w:rsid w:val="00B97A52"/>
    <w:rsid w:val="00BA0D57"/>
    <w:rsid w:val="00BA74DF"/>
    <w:rsid w:val="00BB011C"/>
    <w:rsid w:val="00BB0448"/>
    <w:rsid w:val="00BB36D0"/>
    <w:rsid w:val="00BB408B"/>
    <w:rsid w:val="00BB43E9"/>
    <w:rsid w:val="00BC564F"/>
    <w:rsid w:val="00BD024A"/>
    <w:rsid w:val="00BD187B"/>
    <w:rsid w:val="00BD4AA5"/>
    <w:rsid w:val="00BD4E0A"/>
    <w:rsid w:val="00BD651C"/>
    <w:rsid w:val="00BD75F9"/>
    <w:rsid w:val="00BE03D5"/>
    <w:rsid w:val="00BE737A"/>
    <w:rsid w:val="00BF01FE"/>
    <w:rsid w:val="00BF3718"/>
    <w:rsid w:val="00BF62A6"/>
    <w:rsid w:val="00BF68B6"/>
    <w:rsid w:val="00BF7A0B"/>
    <w:rsid w:val="00BF7BA9"/>
    <w:rsid w:val="00C0148E"/>
    <w:rsid w:val="00C040C7"/>
    <w:rsid w:val="00C04A9F"/>
    <w:rsid w:val="00C11E23"/>
    <w:rsid w:val="00C132C7"/>
    <w:rsid w:val="00C1571A"/>
    <w:rsid w:val="00C20902"/>
    <w:rsid w:val="00C24315"/>
    <w:rsid w:val="00C24B81"/>
    <w:rsid w:val="00C251AC"/>
    <w:rsid w:val="00C2648F"/>
    <w:rsid w:val="00C27844"/>
    <w:rsid w:val="00C313C0"/>
    <w:rsid w:val="00C33BB0"/>
    <w:rsid w:val="00C36139"/>
    <w:rsid w:val="00C43B5D"/>
    <w:rsid w:val="00C43D44"/>
    <w:rsid w:val="00C44C11"/>
    <w:rsid w:val="00C45A15"/>
    <w:rsid w:val="00C50EE1"/>
    <w:rsid w:val="00C510C5"/>
    <w:rsid w:val="00C559EB"/>
    <w:rsid w:val="00C56C94"/>
    <w:rsid w:val="00C578A4"/>
    <w:rsid w:val="00C61BEF"/>
    <w:rsid w:val="00C77C88"/>
    <w:rsid w:val="00C863AD"/>
    <w:rsid w:val="00C877A4"/>
    <w:rsid w:val="00C929BB"/>
    <w:rsid w:val="00C94007"/>
    <w:rsid w:val="00C9435E"/>
    <w:rsid w:val="00CA50A7"/>
    <w:rsid w:val="00CA635D"/>
    <w:rsid w:val="00CA7C32"/>
    <w:rsid w:val="00CB2709"/>
    <w:rsid w:val="00CB31F0"/>
    <w:rsid w:val="00CB41B8"/>
    <w:rsid w:val="00CB5905"/>
    <w:rsid w:val="00CB5E92"/>
    <w:rsid w:val="00CB62CE"/>
    <w:rsid w:val="00CC0497"/>
    <w:rsid w:val="00CC0BCE"/>
    <w:rsid w:val="00CC212A"/>
    <w:rsid w:val="00CC2D79"/>
    <w:rsid w:val="00CC34C1"/>
    <w:rsid w:val="00CC5FD9"/>
    <w:rsid w:val="00CD0B9D"/>
    <w:rsid w:val="00CD44E2"/>
    <w:rsid w:val="00CD4E83"/>
    <w:rsid w:val="00CD5432"/>
    <w:rsid w:val="00CD65D5"/>
    <w:rsid w:val="00CE0EE7"/>
    <w:rsid w:val="00CE1FC9"/>
    <w:rsid w:val="00CE3EA1"/>
    <w:rsid w:val="00CE3FAD"/>
    <w:rsid w:val="00CE49CD"/>
    <w:rsid w:val="00CE7508"/>
    <w:rsid w:val="00CF04B0"/>
    <w:rsid w:val="00CF198F"/>
    <w:rsid w:val="00CF26EF"/>
    <w:rsid w:val="00CF2D32"/>
    <w:rsid w:val="00D010D2"/>
    <w:rsid w:val="00D0322A"/>
    <w:rsid w:val="00D07C7A"/>
    <w:rsid w:val="00D07C92"/>
    <w:rsid w:val="00D1085A"/>
    <w:rsid w:val="00D133FD"/>
    <w:rsid w:val="00D1419B"/>
    <w:rsid w:val="00D14C23"/>
    <w:rsid w:val="00D15EC8"/>
    <w:rsid w:val="00D20D7E"/>
    <w:rsid w:val="00D22B16"/>
    <w:rsid w:val="00D24C2A"/>
    <w:rsid w:val="00D270A2"/>
    <w:rsid w:val="00D41B45"/>
    <w:rsid w:val="00D42D64"/>
    <w:rsid w:val="00D44566"/>
    <w:rsid w:val="00D44767"/>
    <w:rsid w:val="00D44BD0"/>
    <w:rsid w:val="00D46B50"/>
    <w:rsid w:val="00D507C5"/>
    <w:rsid w:val="00D51070"/>
    <w:rsid w:val="00D51F30"/>
    <w:rsid w:val="00D53FF1"/>
    <w:rsid w:val="00D57B89"/>
    <w:rsid w:val="00D62A47"/>
    <w:rsid w:val="00D65D67"/>
    <w:rsid w:val="00D665EA"/>
    <w:rsid w:val="00D747B7"/>
    <w:rsid w:val="00D75E8A"/>
    <w:rsid w:val="00D76124"/>
    <w:rsid w:val="00D77083"/>
    <w:rsid w:val="00D77314"/>
    <w:rsid w:val="00D80745"/>
    <w:rsid w:val="00D830E9"/>
    <w:rsid w:val="00D831A5"/>
    <w:rsid w:val="00D83E3D"/>
    <w:rsid w:val="00D8445B"/>
    <w:rsid w:val="00D905D3"/>
    <w:rsid w:val="00D9230B"/>
    <w:rsid w:val="00D93CC9"/>
    <w:rsid w:val="00D93D3C"/>
    <w:rsid w:val="00DA0280"/>
    <w:rsid w:val="00DA1499"/>
    <w:rsid w:val="00DA6B72"/>
    <w:rsid w:val="00DA7390"/>
    <w:rsid w:val="00DB0129"/>
    <w:rsid w:val="00DB2A55"/>
    <w:rsid w:val="00DB2CAD"/>
    <w:rsid w:val="00DB31D7"/>
    <w:rsid w:val="00DB5652"/>
    <w:rsid w:val="00DB6102"/>
    <w:rsid w:val="00DC40EE"/>
    <w:rsid w:val="00DC5B02"/>
    <w:rsid w:val="00DC6B0E"/>
    <w:rsid w:val="00DC7C2A"/>
    <w:rsid w:val="00DD04FD"/>
    <w:rsid w:val="00DD3505"/>
    <w:rsid w:val="00DF0D6A"/>
    <w:rsid w:val="00DF1A23"/>
    <w:rsid w:val="00DF3C38"/>
    <w:rsid w:val="00DF3C86"/>
    <w:rsid w:val="00E02BEF"/>
    <w:rsid w:val="00E03581"/>
    <w:rsid w:val="00E1482F"/>
    <w:rsid w:val="00E15632"/>
    <w:rsid w:val="00E1612E"/>
    <w:rsid w:val="00E2081C"/>
    <w:rsid w:val="00E214B9"/>
    <w:rsid w:val="00E21DBF"/>
    <w:rsid w:val="00E22B0E"/>
    <w:rsid w:val="00E22D03"/>
    <w:rsid w:val="00E24050"/>
    <w:rsid w:val="00E245B8"/>
    <w:rsid w:val="00E253FF"/>
    <w:rsid w:val="00E3191B"/>
    <w:rsid w:val="00E32483"/>
    <w:rsid w:val="00E342DA"/>
    <w:rsid w:val="00E40FA7"/>
    <w:rsid w:val="00E41744"/>
    <w:rsid w:val="00E505E2"/>
    <w:rsid w:val="00E506C9"/>
    <w:rsid w:val="00E5091B"/>
    <w:rsid w:val="00E52B20"/>
    <w:rsid w:val="00E53615"/>
    <w:rsid w:val="00E56382"/>
    <w:rsid w:val="00E600F7"/>
    <w:rsid w:val="00E602CB"/>
    <w:rsid w:val="00E62EC8"/>
    <w:rsid w:val="00E647FA"/>
    <w:rsid w:val="00E67A18"/>
    <w:rsid w:val="00E70A99"/>
    <w:rsid w:val="00E71DF0"/>
    <w:rsid w:val="00E7362B"/>
    <w:rsid w:val="00E7453A"/>
    <w:rsid w:val="00E749E1"/>
    <w:rsid w:val="00E75372"/>
    <w:rsid w:val="00E823AF"/>
    <w:rsid w:val="00E833DA"/>
    <w:rsid w:val="00E84973"/>
    <w:rsid w:val="00EA00A4"/>
    <w:rsid w:val="00EA0921"/>
    <w:rsid w:val="00EA0DFA"/>
    <w:rsid w:val="00EA1BD6"/>
    <w:rsid w:val="00EA2572"/>
    <w:rsid w:val="00EA3680"/>
    <w:rsid w:val="00EA7F3F"/>
    <w:rsid w:val="00EB43AE"/>
    <w:rsid w:val="00EB52D4"/>
    <w:rsid w:val="00EB7709"/>
    <w:rsid w:val="00EC00A4"/>
    <w:rsid w:val="00EC5980"/>
    <w:rsid w:val="00EC712F"/>
    <w:rsid w:val="00ED4819"/>
    <w:rsid w:val="00ED492D"/>
    <w:rsid w:val="00ED5B2E"/>
    <w:rsid w:val="00ED7A54"/>
    <w:rsid w:val="00EE13FE"/>
    <w:rsid w:val="00EE1482"/>
    <w:rsid w:val="00EE6750"/>
    <w:rsid w:val="00EE756C"/>
    <w:rsid w:val="00EE79AB"/>
    <w:rsid w:val="00EF2C66"/>
    <w:rsid w:val="00EF451B"/>
    <w:rsid w:val="00EF594D"/>
    <w:rsid w:val="00EF7832"/>
    <w:rsid w:val="00EF7C8F"/>
    <w:rsid w:val="00F05C65"/>
    <w:rsid w:val="00F068B7"/>
    <w:rsid w:val="00F1003C"/>
    <w:rsid w:val="00F10905"/>
    <w:rsid w:val="00F12092"/>
    <w:rsid w:val="00F123CC"/>
    <w:rsid w:val="00F151DD"/>
    <w:rsid w:val="00F167E2"/>
    <w:rsid w:val="00F176E3"/>
    <w:rsid w:val="00F20D98"/>
    <w:rsid w:val="00F21946"/>
    <w:rsid w:val="00F2676C"/>
    <w:rsid w:val="00F270CF"/>
    <w:rsid w:val="00F3154A"/>
    <w:rsid w:val="00F32652"/>
    <w:rsid w:val="00F3383C"/>
    <w:rsid w:val="00F3487F"/>
    <w:rsid w:val="00F45003"/>
    <w:rsid w:val="00F463CB"/>
    <w:rsid w:val="00F47663"/>
    <w:rsid w:val="00F5262B"/>
    <w:rsid w:val="00F5363F"/>
    <w:rsid w:val="00F60B53"/>
    <w:rsid w:val="00F6177F"/>
    <w:rsid w:val="00F6445F"/>
    <w:rsid w:val="00F660DE"/>
    <w:rsid w:val="00F7358C"/>
    <w:rsid w:val="00F73AF3"/>
    <w:rsid w:val="00F73D41"/>
    <w:rsid w:val="00F766B0"/>
    <w:rsid w:val="00F7781A"/>
    <w:rsid w:val="00F900F1"/>
    <w:rsid w:val="00F92DFD"/>
    <w:rsid w:val="00F93C9D"/>
    <w:rsid w:val="00F95F4C"/>
    <w:rsid w:val="00F97BB5"/>
    <w:rsid w:val="00FA4808"/>
    <w:rsid w:val="00FA68B3"/>
    <w:rsid w:val="00FA69D9"/>
    <w:rsid w:val="00FB29AA"/>
    <w:rsid w:val="00FB74FC"/>
    <w:rsid w:val="00FC05EF"/>
    <w:rsid w:val="00FC07E2"/>
    <w:rsid w:val="00FC27D5"/>
    <w:rsid w:val="00FC2C3B"/>
    <w:rsid w:val="00FC6C05"/>
    <w:rsid w:val="00FC6E27"/>
    <w:rsid w:val="00FC6E77"/>
    <w:rsid w:val="00FD4EF3"/>
    <w:rsid w:val="00FD538B"/>
    <w:rsid w:val="00FE266B"/>
    <w:rsid w:val="00FE30AC"/>
    <w:rsid w:val="00FE44A1"/>
    <w:rsid w:val="00FE5B78"/>
    <w:rsid w:val="00FE69EE"/>
    <w:rsid w:val="00FF1170"/>
    <w:rsid w:val="00FF12A0"/>
    <w:rsid w:val="00FF2639"/>
    <w:rsid w:val="00FF26CB"/>
    <w:rsid w:val="00FF7C56"/>
    <w:rsid w:val="01102373"/>
    <w:rsid w:val="01444FFE"/>
    <w:rsid w:val="01FD150B"/>
    <w:rsid w:val="02113D0D"/>
    <w:rsid w:val="02408F7E"/>
    <w:rsid w:val="0258E0F3"/>
    <w:rsid w:val="02ABF3D4"/>
    <w:rsid w:val="047B5A33"/>
    <w:rsid w:val="05622FCA"/>
    <w:rsid w:val="062F6031"/>
    <w:rsid w:val="074FFE4A"/>
    <w:rsid w:val="07E43B0D"/>
    <w:rsid w:val="086BE9F3"/>
    <w:rsid w:val="090F449B"/>
    <w:rsid w:val="091B3558"/>
    <w:rsid w:val="09C8156E"/>
    <w:rsid w:val="0B1369FD"/>
    <w:rsid w:val="0B59F2AD"/>
    <w:rsid w:val="0BD96DEC"/>
    <w:rsid w:val="0C09153F"/>
    <w:rsid w:val="0C95F695"/>
    <w:rsid w:val="0CF61C7D"/>
    <w:rsid w:val="0D09DAE3"/>
    <w:rsid w:val="0D2C8AC0"/>
    <w:rsid w:val="0D92733F"/>
    <w:rsid w:val="0DEA80D3"/>
    <w:rsid w:val="0FC4BD90"/>
    <w:rsid w:val="10816C3A"/>
    <w:rsid w:val="117DD635"/>
    <w:rsid w:val="11819FE0"/>
    <w:rsid w:val="118FE652"/>
    <w:rsid w:val="11DE58C2"/>
    <w:rsid w:val="1253226C"/>
    <w:rsid w:val="127C094E"/>
    <w:rsid w:val="12C88938"/>
    <w:rsid w:val="1356A4FA"/>
    <w:rsid w:val="1415F2A3"/>
    <w:rsid w:val="1507EA17"/>
    <w:rsid w:val="1508ED6F"/>
    <w:rsid w:val="166424ED"/>
    <w:rsid w:val="16F548D0"/>
    <w:rsid w:val="180FE386"/>
    <w:rsid w:val="1943886C"/>
    <w:rsid w:val="1A2E65D2"/>
    <w:rsid w:val="1BEC9FBC"/>
    <w:rsid w:val="1CACD98D"/>
    <w:rsid w:val="1D2CB01E"/>
    <w:rsid w:val="1E44372C"/>
    <w:rsid w:val="1F5EC751"/>
    <w:rsid w:val="1F8EE4C4"/>
    <w:rsid w:val="1FC36567"/>
    <w:rsid w:val="207B353C"/>
    <w:rsid w:val="208A0272"/>
    <w:rsid w:val="215ADFAA"/>
    <w:rsid w:val="21DFF6D9"/>
    <w:rsid w:val="22AA88BF"/>
    <w:rsid w:val="23F44324"/>
    <w:rsid w:val="23F9E498"/>
    <w:rsid w:val="24326D1C"/>
    <w:rsid w:val="25D3AE2A"/>
    <w:rsid w:val="268F61EE"/>
    <w:rsid w:val="26C583AD"/>
    <w:rsid w:val="27344C57"/>
    <w:rsid w:val="273A31E3"/>
    <w:rsid w:val="289D77AB"/>
    <w:rsid w:val="293C13A3"/>
    <w:rsid w:val="296B661A"/>
    <w:rsid w:val="2AB7D74F"/>
    <w:rsid w:val="2AB8EA19"/>
    <w:rsid w:val="2B53AD48"/>
    <w:rsid w:val="2BA4D0C7"/>
    <w:rsid w:val="2BE6079B"/>
    <w:rsid w:val="2CF8F207"/>
    <w:rsid w:val="2D0D1A09"/>
    <w:rsid w:val="2E2CCA71"/>
    <w:rsid w:val="2ED2CF8F"/>
    <w:rsid w:val="2F1F0E30"/>
    <w:rsid w:val="2F2C1B6B"/>
    <w:rsid w:val="3070BA61"/>
    <w:rsid w:val="313BBD41"/>
    <w:rsid w:val="323516ED"/>
    <w:rsid w:val="3314C7B0"/>
    <w:rsid w:val="35AF4A78"/>
    <w:rsid w:val="35EC0D2A"/>
    <w:rsid w:val="3685A4E5"/>
    <w:rsid w:val="36BEC735"/>
    <w:rsid w:val="388857FD"/>
    <w:rsid w:val="3A535853"/>
    <w:rsid w:val="3AE24786"/>
    <w:rsid w:val="3BC39685"/>
    <w:rsid w:val="3C39E1A8"/>
    <w:rsid w:val="3D104386"/>
    <w:rsid w:val="3D1E7660"/>
    <w:rsid w:val="3E00A946"/>
    <w:rsid w:val="3EE1106C"/>
    <w:rsid w:val="4058B53F"/>
    <w:rsid w:val="40ED3979"/>
    <w:rsid w:val="410C7AB0"/>
    <w:rsid w:val="4190B0D5"/>
    <w:rsid w:val="41D5D14B"/>
    <w:rsid w:val="424541DB"/>
    <w:rsid w:val="426F30E5"/>
    <w:rsid w:val="42DE4A03"/>
    <w:rsid w:val="438C350F"/>
    <w:rsid w:val="446165DD"/>
    <w:rsid w:val="449FEAB0"/>
    <w:rsid w:val="44F64046"/>
    <w:rsid w:val="45658D74"/>
    <w:rsid w:val="4670A590"/>
    <w:rsid w:val="46F9587E"/>
    <w:rsid w:val="48CC8638"/>
    <w:rsid w:val="4935F392"/>
    <w:rsid w:val="4B774724"/>
    <w:rsid w:val="4C81967B"/>
    <w:rsid w:val="4CFA6610"/>
    <w:rsid w:val="4D0E1DA7"/>
    <w:rsid w:val="4DBAF651"/>
    <w:rsid w:val="4E34C8D1"/>
    <w:rsid w:val="4F5E03C7"/>
    <w:rsid w:val="4F63D3AC"/>
    <w:rsid w:val="4FCF618B"/>
    <w:rsid w:val="51A7328B"/>
    <w:rsid w:val="51D61622"/>
    <w:rsid w:val="521FE615"/>
    <w:rsid w:val="527BD9B3"/>
    <w:rsid w:val="5337D998"/>
    <w:rsid w:val="545E614A"/>
    <w:rsid w:val="54E3825D"/>
    <w:rsid w:val="5534B472"/>
    <w:rsid w:val="5550C648"/>
    <w:rsid w:val="56172FC5"/>
    <w:rsid w:val="561921EE"/>
    <w:rsid w:val="5623770C"/>
    <w:rsid w:val="5803E524"/>
    <w:rsid w:val="599F0F9C"/>
    <w:rsid w:val="5AE3CF91"/>
    <w:rsid w:val="5B0A7FA3"/>
    <w:rsid w:val="5B7C9243"/>
    <w:rsid w:val="5B8AEAA5"/>
    <w:rsid w:val="5C4F09EB"/>
    <w:rsid w:val="5C54A599"/>
    <w:rsid w:val="5CCCD4B1"/>
    <w:rsid w:val="5CE07E9E"/>
    <w:rsid w:val="5EB53E84"/>
    <w:rsid w:val="5EB6FA02"/>
    <w:rsid w:val="5F809176"/>
    <w:rsid w:val="60047D37"/>
    <w:rsid w:val="60535ABF"/>
    <w:rsid w:val="61CD3FBA"/>
    <w:rsid w:val="6247263B"/>
    <w:rsid w:val="631BAC87"/>
    <w:rsid w:val="6361143C"/>
    <w:rsid w:val="6391FC15"/>
    <w:rsid w:val="63FC1EF9"/>
    <w:rsid w:val="654F527B"/>
    <w:rsid w:val="663AA8E3"/>
    <w:rsid w:val="66E14385"/>
    <w:rsid w:val="6722BBB9"/>
    <w:rsid w:val="684858C5"/>
    <w:rsid w:val="6BA76763"/>
    <w:rsid w:val="6BC98D70"/>
    <w:rsid w:val="6CAA3796"/>
    <w:rsid w:val="6D23B673"/>
    <w:rsid w:val="6D5608A9"/>
    <w:rsid w:val="6E650F7F"/>
    <w:rsid w:val="6F3CABD9"/>
    <w:rsid w:val="6F690B42"/>
    <w:rsid w:val="6F91131B"/>
    <w:rsid w:val="731EA39F"/>
    <w:rsid w:val="7554459B"/>
    <w:rsid w:val="757C37FB"/>
    <w:rsid w:val="75F1EDB4"/>
    <w:rsid w:val="76408B0A"/>
    <w:rsid w:val="76474067"/>
    <w:rsid w:val="76638112"/>
    <w:rsid w:val="76C84076"/>
    <w:rsid w:val="770BE770"/>
    <w:rsid w:val="777B3B8B"/>
    <w:rsid w:val="78114E9A"/>
    <w:rsid w:val="782C9465"/>
    <w:rsid w:val="7CA0FF51"/>
    <w:rsid w:val="7CA7216E"/>
    <w:rsid w:val="7CACCE86"/>
    <w:rsid w:val="7D7B159B"/>
    <w:rsid w:val="7DC9F01B"/>
    <w:rsid w:val="7DD325DB"/>
    <w:rsid w:val="7E26A0A5"/>
    <w:rsid w:val="7EFD08E7"/>
    <w:rsid w:val="7F6F6C75"/>
    <w:rsid w:val="7F96C5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FB437"/>
  <w15:docId w15:val="{C6D4D458-0683-4A55-BED2-4754937F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ssessment_Normal"/>
    <w:rsid w:val="00C27844"/>
    <w:pPr>
      <w:spacing w:after="120" w:line="240" w:lineRule="auto"/>
    </w:pPr>
    <w:rPr>
      <w:rFonts w:ascii="Calibri" w:eastAsia="Times New Roman" w:hAnsi="Calibri" w:cs="Times New Roman"/>
      <w:sz w:val="20"/>
      <w:szCs w:val="20"/>
    </w:rPr>
  </w:style>
  <w:style w:type="paragraph" w:styleId="Heading1">
    <w:name w:val="heading 1"/>
    <w:basedOn w:val="Normal"/>
    <w:next w:val="Normal"/>
    <w:link w:val="Heading1Char"/>
    <w:uiPriority w:val="9"/>
    <w:semiHidden/>
    <w:rsid w:val="007145D1"/>
    <w:pPr>
      <w:keepNext/>
      <w:keepLines/>
      <w:numPr>
        <w:numId w:val="3"/>
      </w:numPr>
      <w:spacing w:before="480" w:after="240" w:line="276" w:lineRule="auto"/>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rsid w:val="007145D1"/>
    <w:pPr>
      <w:keepNext/>
      <w:keepLines/>
      <w:numPr>
        <w:ilvl w:val="1"/>
        <w:numId w:val="3"/>
      </w:numPr>
      <w:spacing w:before="180" w:after="0" w:line="276" w:lineRule="auto"/>
      <w:outlineLvl w:val="1"/>
    </w:pPr>
    <w:rPr>
      <w:rFonts w:eastAsiaTheme="majorEastAsia" w:cstheme="majorBidi"/>
      <w:b/>
      <w:bCs/>
      <w:sz w:val="24"/>
      <w:szCs w:val="26"/>
    </w:rPr>
  </w:style>
  <w:style w:type="paragraph" w:styleId="Heading3">
    <w:name w:val="heading 3"/>
    <w:basedOn w:val="Normal"/>
    <w:next w:val="Normal"/>
    <w:link w:val="Heading3Char"/>
    <w:uiPriority w:val="9"/>
    <w:semiHidden/>
    <w:rsid w:val="007145D1"/>
    <w:pPr>
      <w:keepNext/>
      <w:keepLines/>
      <w:numPr>
        <w:ilvl w:val="2"/>
        <w:numId w:val="3"/>
      </w:numPr>
      <w:spacing w:before="200" w:after="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rsid w:val="007145D1"/>
    <w:pPr>
      <w:keepNext/>
      <w:keepLines/>
      <w:numPr>
        <w:ilvl w:val="3"/>
        <w:numId w:val="3"/>
      </w:numPr>
      <w:spacing w:before="200" w:after="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rsid w:val="007145D1"/>
    <w:pPr>
      <w:keepNext/>
      <w:keepLines/>
      <w:numPr>
        <w:ilvl w:val="4"/>
        <w:numId w:val="3"/>
      </w:numPr>
      <w:spacing w:before="200" w:after="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qFormat/>
    <w:rsid w:val="007145D1"/>
    <w:pPr>
      <w:keepNext/>
      <w:keepLines/>
      <w:numPr>
        <w:ilvl w:val="5"/>
        <w:numId w:val="3"/>
      </w:numPr>
      <w:spacing w:before="200" w:after="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qFormat/>
    <w:rsid w:val="007145D1"/>
    <w:pPr>
      <w:keepNext/>
      <w:keepLines/>
      <w:numPr>
        <w:ilvl w:val="6"/>
        <w:numId w:val="3"/>
      </w:numPr>
      <w:spacing w:before="200" w:after="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qFormat/>
    <w:rsid w:val="007145D1"/>
    <w:pPr>
      <w:keepNext/>
      <w:keepLines/>
      <w:numPr>
        <w:ilvl w:val="7"/>
        <w:numId w:val="3"/>
      </w:numPr>
      <w:spacing w:before="200" w:after="0" w:line="276" w:lineRule="auto"/>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7145D1"/>
    <w:pPr>
      <w:keepNext/>
      <w:keepLines/>
      <w:numPr>
        <w:ilvl w:val="8"/>
        <w:numId w:val="3"/>
      </w:numPr>
      <w:spacing w:before="200" w:after="0" w:line="276"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145D1"/>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145D1"/>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semiHidden/>
    <w:rsid w:val="007145D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145D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145D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145D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145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145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145D1"/>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semiHidden/>
    <w:unhideWhenUsed/>
    <w:rsid w:val="007145D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semiHidden/>
    <w:rsid w:val="007145D1"/>
    <w:rPr>
      <w:rFonts w:eastAsiaTheme="minorEastAsia"/>
      <w:lang w:val="en-US" w:eastAsia="ja-JP"/>
    </w:rPr>
  </w:style>
  <w:style w:type="paragraph" w:styleId="BalloonText">
    <w:name w:val="Balloon Text"/>
    <w:basedOn w:val="Normal"/>
    <w:link w:val="BalloonTextChar"/>
    <w:uiPriority w:val="99"/>
    <w:semiHidden/>
    <w:unhideWhenUsed/>
    <w:rsid w:val="007145D1"/>
    <w:pPr>
      <w:spacing w:before="180" w:after="0" w:line="276"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145D1"/>
    <w:rPr>
      <w:rFonts w:ascii="Tahoma" w:hAnsi="Tahoma" w:cs="Tahoma"/>
      <w:sz w:val="16"/>
      <w:szCs w:val="16"/>
    </w:rPr>
  </w:style>
  <w:style w:type="paragraph" w:styleId="Header">
    <w:name w:val="header"/>
    <w:basedOn w:val="Normal"/>
    <w:link w:val="HeaderChar"/>
    <w:uiPriority w:val="9"/>
    <w:unhideWhenUsed/>
    <w:rsid w:val="007145D1"/>
    <w:pPr>
      <w:tabs>
        <w:tab w:val="center" w:pos="4513"/>
        <w:tab w:val="right" w:pos="9026"/>
      </w:tabs>
      <w:spacing w:after="0"/>
    </w:pPr>
    <w:rPr>
      <w:rFonts w:eastAsiaTheme="minorHAnsi" w:cstheme="minorBidi"/>
      <w:color w:val="595959" w:themeColor="text1" w:themeTint="A6"/>
      <w:sz w:val="22"/>
      <w:szCs w:val="22"/>
    </w:rPr>
  </w:style>
  <w:style w:type="character" w:customStyle="1" w:styleId="HeaderChar">
    <w:name w:val="Header Char"/>
    <w:basedOn w:val="DefaultParagraphFont"/>
    <w:link w:val="Header"/>
    <w:uiPriority w:val="9"/>
    <w:rsid w:val="007145D1"/>
    <w:rPr>
      <w:rFonts w:ascii="Calibri" w:hAnsi="Calibri"/>
      <w:color w:val="595959" w:themeColor="text1" w:themeTint="A6"/>
    </w:rPr>
  </w:style>
  <w:style w:type="paragraph" w:styleId="Footer">
    <w:name w:val="footer"/>
    <w:basedOn w:val="Normal"/>
    <w:link w:val="FooterChar"/>
    <w:uiPriority w:val="99"/>
    <w:unhideWhenUsed/>
    <w:rsid w:val="007145D1"/>
    <w:pPr>
      <w:pBdr>
        <w:top w:val="single" w:sz="12" w:space="1" w:color="A6A6A6"/>
      </w:pBdr>
      <w:tabs>
        <w:tab w:val="center" w:pos="4513"/>
        <w:tab w:val="right" w:pos="9026"/>
      </w:tabs>
      <w:spacing w:after="0"/>
      <w:jc w:val="center"/>
    </w:pPr>
    <w:rPr>
      <w:rFonts w:eastAsiaTheme="minorHAnsi" w:cstheme="minorHAnsi"/>
      <w:color w:val="595959"/>
    </w:rPr>
  </w:style>
  <w:style w:type="character" w:customStyle="1" w:styleId="FooterChar">
    <w:name w:val="Footer Char"/>
    <w:basedOn w:val="DefaultParagraphFont"/>
    <w:link w:val="Footer"/>
    <w:uiPriority w:val="99"/>
    <w:rsid w:val="007145D1"/>
    <w:rPr>
      <w:rFonts w:ascii="Calibri" w:hAnsi="Calibri" w:cstheme="minorHAnsi"/>
      <w:color w:val="595959"/>
      <w:sz w:val="20"/>
      <w:szCs w:val="20"/>
    </w:rPr>
  </w:style>
  <w:style w:type="paragraph" w:customStyle="1" w:styleId="ReportClientDetails">
    <w:name w:val="Report Client Details"/>
    <w:basedOn w:val="NCLTableText"/>
    <w:uiPriority w:val="3"/>
    <w:rsid w:val="007145D1"/>
    <w:rPr>
      <w:color w:val="595959" w:themeColor="text1" w:themeTint="A6"/>
    </w:rPr>
  </w:style>
  <w:style w:type="table" w:styleId="TableGrid">
    <w:name w:val="Table Grid"/>
    <w:basedOn w:val="TableNormal"/>
    <w:uiPriority w:val="59"/>
    <w:rsid w:val="0071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145D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7145D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urfulGridAccent1">
    <w:name w:val="Colorful Grid Accent 1"/>
    <w:basedOn w:val="TableNormal"/>
    <w:uiPriority w:val="73"/>
    <w:rsid w:val="007145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OCHeading">
    <w:name w:val="TOC Heading"/>
    <w:basedOn w:val="Heading1"/>
    <w:next w:val="Normal"/>
    <w:uiPriority w:val="39"/>
    <w:semiHidden/>
    <w:unhideWhenUsed/>
    <w:qFormat/>
    <w:rsid w:val="007145D1"/>
    <w:pPr>
      <w:numPr>
        <w:numId w:val="0"/>
      </w:numPr>
      <w:outlineLvl w:val="9"/>
    </w:pPr>
    <w:rPr>
      <w:lang w:eastAsia="ja-JP"/>
    </w:rPr>
  </w:style>
  <w:style w:type="paragraph" w:styleId="TOC1">
    <w:name w:val="toc 1"/>
    <w:basedOn w:val="NCLBodyText"/>
    <w:next w:val="NCLBodyText"/>
    <w:uiPriority w:val="39"/>
    <w:rsid w:val="007145D1"/>
    <w:pPr>
      <w:spacing w:after="60"/>
    </w:pPr>
  </w:style>
  <w:style w:type="paragraph" w:styleId="TOC3">
    <w:name w:val="toc 3"/>
    <w:basedOn w:val="Normal"/>
    <w:next w:val="NCLBodyText"/>
    <w:uiPriority w:val="39"/>
    <w:rsid w:val="007145D1"/>
    <w:pPr>
      <w:spacing w:before="60" w:after="60"/>
      <w:ind w:left="442"/>
    </w:pPr>
    <w:rPr>
      <w:rFonts w:eastAsiaTheme="minorHAnsi" w:cstheme="minorBidi"/>
      <w:sz w:val="22"/>
      <w:szCs w:val="22"/>
    </w:rPr>
  </w:style>
  <w:style w:type="character" w:styleId="Hyperlink">
    <w:name w:val="Hyperlink"/>
    <w:basedOn w:val="DefaultParagraphFont"/>
    <w:uiPriority w:val="99"/>
    <w:unhideWhenUsed/>
    <w:rsid w:val="007145D1"/>
    <w:rPr>
      <w:color w:val="0000FF" w:themeColor="hyperlink"/>
      <w:u w:val="single"/>
    </w:rPr>
  </w:style>
  <w:style w:type="table" w:styleId="MediumList2-Accent1">
    <w:name w:val="Medium List 2 Accent 1"/>
    <w:basedOn w:val="TableNormal"/>
    <w:uiPriority w:val="66"/>
    <w:rsid w:val="007145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ommentText">
    <w:name w:val="annotation text"/>
    <w:basedOn w:val="Normal"/>
    <w:link w:val="CommentTextChar"/>
    <w:uiPriority w:val="99"/>
    <w:unhideWhenUsed/>
    <w:rsid w:val="007145D1"/>
    <w:pPr>
      <w:spacing w:before="180" w:after="0" w:line="276" w:lineRule="auto"/>
    </w:pPr>
    <w:rPr>
      <w:rFonts w:eastAsiaTheme="minorHAnsi" w:cstheme="minorBidi"/>
    </w:rPr>
  </w:style>
  <w:style w:type="character" w:customStyle="1" w:styleId="CommentTextChar">
    <w:name w:val="Comment Text Char"/>
    <w:basedOn w:val="DefaultParagraphFont"/>
    <w:link w:val="CommentText"/>
    <w:uiPriority w:val="99"/>
    <w:rsid w:val="007145D1"/>
    <w:rPr>
      <w:rFonts w:ascii="Calibri" w:hAnsi="Calibri"/>
      <w:sz w:val="20"/>
      <w:szCs w:val="20"/>
    </w:rPr>
  </w:style>
  <w:style w:type="table" w:styleId="LightShading-Accent1">
    <w:name w:val="Light Shading Accent 1"/>
    <w:basedOn w:val="TableNormal"/>
    <w:uiPriority w:val="60"/>
    <w:rsid w:val="007145D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2">
    <w:name w:val="toc 2"/>
    <w:basedOn w:val="Normal"/>
    <w:next w:val="NCLBodyText"/>
    <w:uiPriority w:val="39"/>
    <w:rsid w:val="007145D1"/>
    <w:pPr>
      <w:spacing w:before="60" w:after="60"/>
      <w:ind w:left="221"/>
    </w:pPr>
    <w:rPr>
      <w:rFonts w:eastAsiaTheme="minorHAnsi" w:cstheme="minorBidi"/>
      <w:sz w:val="22"/>
      <w:szCs w:val="22"/>
    </w:rPr>
  </w:style>
  <w:style w:type="character" w:styleId="CommentReference">
    <w:name w:val="annotation reference"/>
    <w:basedOn w:val="DefaultParagraphFont"/>
    <w:uiPriority w:val="99"/>
    <w:semiHidden/>
    <w:unhideWhenUsed/>
    <w:rsid w:val="007145D1"/>
    <w:rPr>
      <w:sz w:val="16"/>
      <w:szCs w:val="16"/>
    </w:rPr>
  </w:style>
  <w:style w:type="paragraph" w:styleId="Caption">
    <w:name w:val="caption"/>
    <w:basedOn w:val="Normal"/>
    <w:next w:val="NCLBodyText"/>
    <w:uiPriority w:val="8"/>
    <w:unhideWhenUsed/>
    <w:rsid w:val="007145D1"/>
    <w:pPr>
      <w:keepNext/>
      <w:spacing w:before="180" w:after="0" w:line="276" w:lineRule="auto"/>
    </w:pPr>
    <w:rPr>
      <w:rFonts w:eastAsiaTheme="minorHAnsi" w:cstheme="minorBidi"/>
      <w:b/>
      <w:bCs/>
      <w:color w:val="000000" w:themeColor="text1"/>
      <w:szCs w:val="18"/>
    </w:rPr>
  </w:style>
  <w:style w:type="paragraph" w:styleId="TOC4">
    <w:name w:val="toc 4"/>
    <w:basedOn w:val="Normal"/>
    <w:next w:val="NCLBodyText"/>
    <w:uiPriority w:val="39"/>
    <w:semiHidden/>
    <w:rsid w:val="007145D1"/>
    <w:pPr>
      <w:spacing w:before="180" w:after="100" w:line="276" w:lineRule="auto"/>
      <w:ind w:left="660"/>
    </w:pPr>
    <w:rPr>
      <w:rFonts w:eastAsiaTheme="minorEastAsia" w:cstheme="minorBidi"/>
      <w:sz w:val="22"/>
      <w:szCs w:val="22"/>
      <w:lang w:eastAsia="en-GB"/>
    </w:rPr>
  </w:style>
  <w:style w:type="paragraph" w:styleId="TOC5">
    <w:name w:val="toc 5"/>
    <w:basedOn w:val="Normal"/>
    <w:next w:val="NCLBodyText"/>
    <w:uiPriority w:val="39"/>
    <w:semiHidden/>
    <w:rsid w:val="007145D1"/>
    <w:pPr>
      <w:spacing w:before="180" w:after="100" w:line="276" w:lineRule="auto"/>
      <w:ind w:left="880"/>
    </w:pPr>
    <w:rPr>
      <w:rFonts w:eastAsiaTheme="minorEastAsia" w:cstheme="minorBidi"/>
      <w:sz w:val="22"/>
      <w:szCs w:val="22"/>
      <w:lang w:eastAsia="en-GB"/>
    </w:rPr>
  </w:style>
  <w:style w:type="paragraph" w:styleId="TOC6">
    <w:name w:val="toc 6"/>
    <w:basedOn w:val="Normal"/>
    <w:next w:val="Normal"/>
    <w:autoRedefine/>
    <w:uiPriority w:val="39"/>
    <w:semiHidden/>
    <w:rsid w:val="007145D1"/>
    <w:pPr>
      <w:spacing w:before="180" w:after="100" w:line="276" w:lineRule="auto"/>
      <w:ind w:left="1100"/>
    </w:pPr>
    <w:rPr>
      <w:rFonts w:eastAsiaTheme="minorEastAsia" w:cstheme="minorBidi"/>
      <w:sz w:val="22"/>
      <w:szCs w:val="22"/>
      <w:lang w:eastAsia="en-GB"/>
    </w:rPr>
  </w:style>
  <w:style w:type="paragraph" w:styleId="TOC7">
    <w:name w:val="toc 7"/>
    <w:basedOn w:val="Normal"/>
    <w:next w:val="Normal"/>
    <w:autoRedefine/>
    <w:uiPriority w:val="39"/>
    <w:semiHidden/>
    <w:rsid w:val="007145D1"/>
    <w:pPr>
      <w:spacing w:before="180" w:after="100" w:line="276" w:lineRule="auto"/>
      <w:ind w:left="1320"/>
    </w:pPr>
    <w:rPr>
      <w:rFonts w:eastAsiaTheme="minorEastAsia" w:cstheme="minorBidi"/>
      <w:sz w:val="22"/>
      <w:szCs w:val="22"/>
      <w:lang w:eastAsia="en-GB"/>
    </w:rPr>
  </w:style>
  <w:style w:type="paragraph" w:styleId="TOC8">
    <w:name w:val="toc 8"/>
    <w:basedOn w:val="Normal"/>
    <w:next w:val="Normal"/>
    <w:autoRedefine/>
    <w:uiPriority w:val="39"/>
    <w:semiHidden/>
    <w:rsid w:val="007145D1"/>
    <w:pPr>
      <w:spacing w:before="180" w:after="100" w:line="276" w:lineRule="auto"/>
      <w:ind w:left="1540"/>
    </w:pPr>
    <w:rPr>
      <w:rFonts w:eastAsiaTheme="minorEastAsia" w:cstheme="minorBidi"/>
      <w:sz w:val="22"/>
      <w:szCs w:val="22"/>
      <w:lang w:eastAsia="en-GB"/>
    </w:rPr>
  </w:style>
  <w:style w:type="paragraph" w:styleId="TOC9">
    <w:name w:val="toc 9"/>
    <w:basedOn w:val="Normal"/>
    <w:next w:val="Normal"/>
    <w:autoRedefine/>
    <w:uiPriority w:val="39"/>
    <w:semiHidden/>
    <w:rsid w:val="007145D1"/>
    <w:pPr>
      <w:spacing w:before="180" w:after="100" w:line="276" w:lineRule="auto"/>
      <w:ind w:left="1760"/>
    </w:pPr>
    <w:rPr>
      <w:rFonts w:eastAsiaTheme="minorEastAsia" w:cstheme="minorBidi"/>
      <w:sz w:val="22"/>
      <w:szCs w:val="22"/>
      <w:lang w:eastAsia="en-GB"/>
    </w:rPr>
  </w:style>
  <w:style w:type="paragraph" w:styleId="CommentSubject">
    <w:name w:val="annotation subject"/>
    <w:basedOn w:val="CommentText"/>
    <w:next w:val="CommentText"/>
    <w:link w:val="CommentSubjectChar"/>
    <w:uiPriority w:val="99"/>
    <w:semiHidden/>
    <w:unhideWhenUsed/>
    <w:rsid w:val="007145D1"/>
    <w:rPr>
      <w:b/>
      <w:bCs/>
    </w:rPr>
  </w:style>
  <w:style w:type="character" w:customStyle="1" w:styleId="CommentSubjectChar">
    <w:name w:val="Comment Subject Char"/>
    <w:basedOn w:val="CommentTextChar"/>
    <w:link w:val="CommentSubject"/>
    <w:uiPriority w:val="99"/>
    <w:semiHidden/>
    <w:rsid w:val="007145D1"/>
    <w:rPr>
      <w:rFonts w:ascii="Calibri" w:hAnsi="Calibri"/>
      <w:b/>
      <w:bCs/>
      <w:sz w:val="20"/>
      <w:szCs w:val="20"/>
    </w:rPr>
  </w:style>
  <w:style w:type="table" w:styleId="MediumShading1-Accent1">
    <w:name w:val="Medium Shading 1 Accent 1"/>
    <w:basedOn w:val="TableNormal"/>
    <w:uiPriority w:val="63"/>
    <w:rsid w:val="007145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ableofFigures">
    <w:name w:val="table of figures"/>
    <w:basedOn w:val="Normal"/>
    <w:next w:val="NCLBodyText"/>
    <w:uiPriority w:val="99"/>
    <w:unhideWhenUsed/>
    <w:rsid w:val="007145D1"/>
    <w:pPr>
      <w:spacing w:before="60" w:after="60"/>
    </w:pPr>
    <w:rPr>
      <w:rFonts w:eastAsiaTheme="minorHAnsi" w:cstheme="minorBidi"/>
      <w:sz w:val="22"/>
      <w:szCs w:val="22"/>
    </w:rPr>
  </w:style>
  <w:style w:type="paragraph" w:styleId="ListBullet">
    <w:name w:val="List Bullet"/>
    <w:basedOn w:val="NCLBodyText"/>
    <w:uiPriority w:val="1"/>
    <w:unhideWhenUsed/>
    <w:qFormat/>
    <w:rsid w:val="007145D1"/>
    <w:pPr>
      <w:numPr>
        <w:numId w:val="4"/>
      </w:numPr>
      <w:spacing w:before="0"/>
      <w:contextualSpacing/>
    </w:pPr>
  </w:style>
  <w:style w:type="paragraph" w:styleId="ListBullet2">
    <w:name w:val="List Bullet 2"/>
    <w:basedOn w:val="ListBullet"/>
    <w:uiPriority w:val="1"/>
    <w:unhideWhenUsed/>
    <w:rsid w:val="007145D1"/>
    <w:pPr>
      <w:numPr>
        <w:ilvl w:val="1"/>
      </w:numPr>
    </w:pPr>
  </w:style>
  <w:style w:type="paragraph" w:styleId="ListBullet3">
    <w:name w:val="List Bullet 3"/>
    <w:basedOn w:val="ListBullet"/>
    <w:uiPriority w:val="1"/>
    <w:unhideWhenUsed/>
    <w:rsid w:val="007145D1"/>
    <w:pPr>
      <w:numPr>
        <w:ilvl w:val="2"/>
      </w:numPr>
    </w:pPr>
  </w:style>
  <w:style w:type="paragraph" w:styleId="ListBullet4">
    <w:name w:val="List Bullet 4"/>
    <w:basedOn w:val="ListBullet"/>
    <w:uiPriority w:val="1"/>
    <w:unhideWhenUsed/>
    <w:rsid w:val="007145D1"/>
    <w:pPr>
      <w:numPr>
        <w:ilvl w:val="3"/>
      </w:numPr>
    </w:pPr>
  </w:style>
  <w:style w:type="paragraph" w:styleId="ListBullet5">
    <w:name w:val="List Bullet 5"/>
    <w:basedOn w:val="ListBullet"/>
    <w:uiPriority w:val="1"/>
    <w:unhideWhenUsed/>
    <w:rsid w:val="007145D1"/>
    <w:pPr>
      <w:numPr>
        <w:ilvl w:val="4"/>
      </w:numPr>
    </w:pPr>
  </w:style>
  <w:style w:type="paragraph" w:styleId="ListNumber">
    <w:name w:val="List Number"/>
    <w:basedOn w:val="Normal"/>
    <w:uiPriority w:val="1"/>
    <w:unhideWhenUsed/>
    <w:qFormat/>
    <w:rsid w:val="007145D1"/>
    <w:pPr>
      <w:numPr>
        <w:numId w:val="5"/>
      </w:numPr>
      <w:spacing w:after="0" w:line="276" w:lineRule="auto"/>
      <w:contextualSpacing/>
    </w:pPr>
    <w:rPr>
      <w:rFonts w:eastAsiaTheme="minorHAnsi" w:cstheme="minorBidi"/>
      <w:sz w:val="22"/>
      <w:szCs w:val="22"/>
    </w:rPr>
  </w:style>
  <w:style w:type="paragraph" w:styleId="ListNumber2">
    <w:name w:val="List Number 2"/>
    <w:basedOn w:val="Normal"/>
    <w:uiPriority w:val="1"/>
    <w:unhideWhenUsed/>
    <w:rsid w:val="007145D1"/>
    <w:pPr>
      <w:numPr>
        <w:ilvl w:val="1"/>
        <w:numId w:val="5"/>
      </w:numPr>
      <w:spacing w:after="0" w:line="276" w:lineRule="auto"/>
      <w:contextualSpacing/>
    </w:pPr>
    <w:rPr>
      <w:rFonts w:eastAsiaTheme="minorHAnsi" w:cstheme="minorBidi"/>
      <w:sz w:val="22"/>
      <w:szCs w:val="22"/>
    </w:rPr>
  </w:style>
  <w:style w:type="paragraph" w:styleId="ListNumber3">
    <w:name w:val="List Number 3"/>
    <w:basedOn w:val="Normal"/>
    <w:uiPriority w:val="1"/>
    <w:unhideWhenUsed/>
    <w:rsid w:val="007145D1"/>
    <w:pPr>
      <w:numPr>
        <w:ilvl w:val="2"/>
        <w:numId w:val="5"/>
      </w:numPr>
      <w:spacing w:after="0" w:line="276" w:lineRule="auto"/>
      <w:contextualSpacing/>
    </w:pPr>
    <w:rPr>
      <w:rFonts w:eastAsiaTheme="minorHAnsi" w:cstheme="minorBidi"/>
      <w:sz w:val="22"/>
      <w:szCs w:val="22"/>
    </w:rPr>
  </w:style>
  <w:style w:type="paragraph" w:customStyle="1" w:styleId="NCLBodyText">
    <w:name w:val="NCL Body Text"/>
    <w:basedOn w:val="Normal"/>
    <w:link w:val="NCLBodyTextChar"/>
    <w:qFormat/>
    <w:rsid w:val="00F6177F"/>
    <w:pPr>
      <w:spacing w:before="60" w:after="0"/>
      <w:jc w:val="both"/>
    </w:pPr>
    <w:rPr>
      <w:rFonts w:eastAsiaTheme="minorHAnsi" w:cs="Calibri"/>
      <w:sz w:val="22"/>
      <w:szCs w:val="22"/>
    </w:rPr>
  </w:style>
  <w:style w:type="character" w:customStyle="1" w:styleId="NCLBodyTextChar">
    <w:name w:val="NCL Body Text Char"/>
    <w:basedOn w:val="DefaultParagraphFont"/>
    <w:link w:val="NCLBodyText"/>
    <w:rsid w:val="00F6177F"/>
    <w:rPr>
      <w:rFonts w:ascii="Calibri" w:hAnsi="Calibri" w:cs="Calibri"/>
    </w:rPr>
  </w:style>
  <w:style w:type="paragraph" w:customStyle="1" w:styleId="NCLHeading1">
    <w:name w:val="NCL Heading 1"/>
    <w:basedOn w:val="Heading1"/>
    <w:next w:val="NCLBodyText"/>
    <w:link w:val="NCLHeading1Char"/>
    <w:qFormat/>
    <w:rsid w:val="00D46B50"/>
    <w:pPr>
      <w:numPr>
        <w:numId w:val="6"/>
      </w:numPr>
      <w:shd w:val="clear" w:color="auto" w:fill="548DD4" w:themeFill="text2" w:themeFillTint="99"/>
      <w:spacing w:before="240" w:after="120" w:line="240" w:lineRule="auto"/>
      <w:ind w:left="567" w:hanging="567"/>
    </w:pPr>
    <w:rPr>
      <w:color w:val="FFFFFF" w:themeColor="background1"/>
    </w:rPr>
  </w:style>
  <w:style w:type="character" w:customStyle="1" w:styleId="NCLHeading1Char">
    <w:name w:val="NCL Heading 1 Char"/>
    <w:basedOn w:val="Heading1Char"/>
    <w:link w:val="NCLHeading1"/>
    <w:rsid w:val="00D46B50"/>
    <w:rPr>
      <w:rFonts w:ascii="Calibri" w:eastAsiaTheme="majorEastAsia" w:hAnsi="Calibri" w:cstheme="majorBidi"/>
      <w:b/>
      <w:bCs/>
      <w:color w:val="FFFFFF" w:themeColor="background1"/>
      <w:sz w:val="28"/>
      <w:szCs w:val="28"/>
      <w:shd w:val="clear" w:color="auto" w:fill="548DD4" w:themeFill="text2" w:themeFillTint="99"/>
    </w:rPr>
  </w:style>
  <w:style w:type="paragraph" w:customStyle="1" w:styleId="NCLHeading2">
    <w:name w:val="NCL Heading 2"/>
    <w:basedOn w:val="Heading2"/>
    <w:next w:val="NCLBodyText"/>
    <w:link w:val="NCLHeading2Char"/>
    <w:qFormat/>
    <w:rsid w:val="007C4B50"/>
    <w:pPr>
      <w:numPr>
        <w:numId w:val="6"/>
      </w:numPr>
      <w:spacing w:before="120" w:after="60"/>
      <w:ind w:left="0" w:firstLine="0"/>
      <w:jc w:val="both"/>
    </w:pPr>
    <w:rPr>
      <w:color w:val="000000" w:themeColor="text1"/>
    </w:rPr>
  </w:style>
  <w:style w:type="character" w:customStyle="1" w:styleId="NCLHeading2Char">
    <w:name w:val="NCL Heading 2 Char"/>
    <w:basedOn w:val="Heading2Char"/>
    <w:link w:val="NCLHeading2"/>
    <w:rsid w:val="007C4B50"/>
    <w:rPr>
      <w:rFonts w:ascii="Calibri" w:eastAsiaTheme="majorEastAsia" w:hAnsi="Calibri" w:cstheme="majorBidi"/>
      <w:b/>
      <w:bCs/>
      <w:color w:val="000000" w:themeColor="text1"/>
      <w:sz w:val="24"/>
      <w:szCs w:val="26"/>
    </w:rPr>
  </w:style>
  <w:style w:type="paragraph" w:customStyle="1" w:styleId="NCLHeading3">
    <w:name w:val="NCL Heading 3"/>
    <w:basedOn w:val="Heading3"/>
    <w:next w:val="NCLBodyText"/>
    <w:link w:val="NCLHeading3Char"/>
    <w:qFormat/>
    <w:rsid w:val="007C4B50"/>
    <w:pPr>
      <w:numPr>
        <w:numId w:val="6"/>
      </w:numPr>
      <w:spacing w:before="120" w:after="60"/>
    </w:pPr>
    <w:rPr>
      <w:rFonts w:ascii="Calibri" w:hAnsi="Calibri"/>
      <w:b w:val="0"/>
      <w:color w:val="000000" w:themeColor="text1"/>
    </w:rPr>
  </w:style>
  <w:style w:type="character" w:customStyle="1" w:styleId="NCLHeading3Char">
    <w:name w:val="NCL Heading 3 Char"/>
    <w:basedOn w:val="Heading3Char"/>
    <w:link w:val="NCLHeading3"/>
    <w:rsid w:val="007C4B50"/>
    <w:rPr>
      <w:rFonts w:ascii="Calibri" w:eastAsiaTheme="majorEastAsia" w:hAnsi="Calibri" w:cstheme="majorBidi"/>
      <w:b w:val="0"/>
      <w:bCs/>
      <w:color w:val="000000" w:themeColor="text1"/>
    </w:rPr>
  </w:style>
  <w:style w:type="paragraph" w:customStyle="1" w:styleId="NCLSubsection">
    <w:name w:val="NCL Subsection"/>
    <w:basedOn w:val="Heading4"/>
    <w:next w:val="NCLBodyText"/>
    <w:link w:val="NCLSubsectionChar"/>
    <w:qFormat/>
    <w:rsid w:val="007C4B50"/>
    <w:pPr>
      <w:numPr>
        <w:ilvl w:val="0"/>
        <w:numId w:val="0"/>
      </w:numPr>
      <w:spacing w:before="120" w:after="60"/>
    </w:pPr>
    <w:rPr>
      <w:rFonts w:ascii="Calibri" w:hAnsi="Calibri"/>
      <w:b w:val="0"/>
      <w:color w:val="000000" w:themeColor="text1"/>
      <w:u w:val="single"/>
    </w:rPr>
  </w:style>
  <w:style w:type="character" w:customStyle="1" w:styleId="NCLSubsectionChar">
    <w:name w:val="NCL Subsection Char"/>
    <w:basedOn w:val="Heading4Char"/>
    <w:link w:val="NCLSubsection"/>
    <w:rsid w:val="007C4B50"/>
    <w:rPr>
      <w:rFonts w:ascii="Calibri" w:eastAsiaTheme="majorEastAsia" w:hAnsi="Calibri" w:cstheme="majorBidi"/>
      <w:b w:val="0"/>
      <w:bCs/>
      <w:i/>
      <w:iCs/>
      <w:color w:val="000000" w:themeColor="text1"/>
      <w:u w:val="single"/>
    </w:rPr>
  </w:style>
  <w:style w:type="paragraph" w:customStyle="1" w:styleId="NCLTableheading">
    <w:name w:val="NCL Table heading"/>
    <w:basedOn w:val="Heading5"/>
    <w:next w:val="NCLBodyText"/>
    <w:link w:val="NCLTableheadingChar"/>
    <w:qFormat/>
    <w:rsid w:val="007145D1"/>
    <w:pPr>
      <w:numPr>
        <w:numId w:val="6"/>
      </w:numPr>
      <w:spacing w:before="240" w:after="180"/>
    </w:pPr>
    <w:rPr>
      <w:rFonts w:ascii="Calibri" w:hAnsi="Calibri"/>
      <w:b/>
      <w:color w:val="000000"/>
    </w:rPr>
  </w:style>
  <w:style w:type="character" w:customStyle="1" w:styleId="NCLTableheadingChar">
    <w:name w:val="NCL Table heading Char"/>
    <w:basedOn w:val="Heading5Char"/>
    <w:link w:val="NCLTableheading"/>
    <w:rsid w:val="007145D1"/>
    <w:rPr>
      <w:rFonts w:ascii="Calibri" w:eastAsiaTheme="majorEastAsia" w:hAnsi="Calibri" w:cstheme="majorBidi"/>
      <w:b/>
      <w:color w:val="000000"/>
    </w:rPr>
  </w:style>
  <w:style w:type="numbering" w:customStyle="1" w:styleId="ReportHeadings">
    <w:name w:val="Report Headings"/>
    <w:uiPriority w:val="99"/>
    <w:rsid w:val="007145D1"/>
    <w:pPr>
      <w:numPr>
        <w:numId w:val="6"/>
      </w:numPr>
    </w:pPr>
  </w:style>
  <w:style w:type="paragraph" w:customStyle="1" w:styleId="ReportNonTOCHeading">
    <w:name w:val="Report NonTOC Heading"/>
    <w:basedOn w:val="NCLBodyText"/>
    <w:next w:val="NCLBodyText"/>
    <w:link w:val="ReportNonTOCHeadingChar"/>
    <w:rsid w:val="007145D1"/>
    <w:pPr>
      <w:keepNext/>
    </w:pPr>
    <w:rPr>
      <w:b/>
      <w:color w:val="17365D" w:themeColor="text2" w:themeShade="BF"/>
      <w:sz w:val="28"/>
    </w:rPr>
  </w:style>
  <w:style w:type="character" w:customStyle="1" w:styleId="ReportNonTOCHeadingChar">
    <w:name w:val="Report NonTOC Heading Char"/>
    <w:basedOn w:val="DefaultParagraphFont"/>
    <w:link w:val="ReportNonTOCHeading"/>
    <w:rsid w:val="007145D1"/>
    <w:rPr>
      <w:rFonts w:ascii="Calibri" w:hAnsi="Calibri" w:cs="Calibri"/>
      <w:b/>
      <w:color w:val="17365D" w:themeColor="text2" w:themeShade="BF"/>
      <w:sz w:val="28"/>
    </w:rPr>
  </w:style>
  <w:style w:type="paragraph" w:styleId="FootnoteText">
    <w:name w:val="footnote text"/>
    <w:basedOn w:val="Normal"/>
    <w:link w:val="FootnoteTextChar"/>
    <w:uiPriority w:val="99"/>
    <w:rsid w:val="007145D1"/>
    <w:pPr>
      <w:spacing w:before="180" w:after="0" w:line="276" w:lineRule="auto"/>
    </w:pPr>
    <w:rPr>
      <w:rFonts w:eastAsiaTheme="minorHAnsi" w:cstheme="minorBidi"/>
    </w:rPr>
  </w:style>
  <w:style w:type="character" w:customStyle="1" w:styleId="FootnoteTextChar">
    <w:name w:val="Footnote Text Char"/>
    <w:basedOn w:val="DefaultParagraphFont"/>
    <w:link w:val="FootnoteText"/>
    <w:uiPriority w:val="99"/>
    <w:rsid w:val="007145D1"/>
    <w:rPr>
      <w:rFonts w:ascii="Calibri" w:hAnsi="Calibri"/>
      <w:sz w:val="20"/>
      <w:szCs w:val="20"/>
    </w:rPr>
  </w:style>
  <w:style w:type="character" w:styleId="FootnoteReference">
    <w:name w:val="footnote reference"/>
    <w:basedOn w:val="DefaultParagraphFont"/>
    <w:uiPriority w:val="99"/>
    <w:rsid w:val="007145D1"/>
    <w:rPr>
      <w:vertAlign w:val="superscript"/>
    </w:rPr>
  </w:style>
  <w:style w:type="paragraph" w:styleId="BodyText">
    <w:name w:val="Body Text"/>
    <w:basedOn w:val="Normal"/>
    <w:link w:val="BodyTextChar"/>
    <w:uiPriority w:val="99"/>
    <w:unhideWhenUsed/>
    <w:rsid w:val="007145D1"/>
    <w:pPr>
      <w:spacing w:before="180" w:after="0" w:line="276" w:lineRule="auto"/>
    </w:pPr>
    <w:rPr>
      <w:rFonts w:eastAsiaTheme="minorHAnsi" w:cstheme="minorBidi"/>
      <w:sz w:val="22"/>
      <w:szCs w:val="22"/>
    </w:rPr>
  </w:style>
  <w:style w:type="character" w:customStyle="1" w:styleId="BodyTextChar">
    <w:name w:val="Body Text Char"/>
    <w:basedOn w:val="DefaultParagraphFont"/>
    <w:link w:val="BodyText"/>
    <w:uiPriority w:val="99"/>
    <w:rsid w:val="007145D1"/>
    <w:rPr>
      <w:rFonts w:ascii="Calibri" w:hAnsi="Calibri"/>
    </w:rPr>
  </w:style>
  <w:style w:type="table" w:customStyle="1" w:styleId="ReportSummaryBox">
    <w:name w:val="Report_Summary_Box"/>
    <w:basedOn w:val="TableNormal"/>
    <w:uiPriority w:val="99"/>
    <w:rsid w:val="007145D1"/>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BFBFBF" w:themeFill="background1" w:themeFillShade="BF"/>
    </w:tcPr>
  </w:style>
  <w:style w:type="paragraph" w:customStyle="1" w:styleId="NCLTableFootnote">
    <w:name w:val="NCL Table Footnote"/>
    <w:basedOn w:val="NCLBodyText"/>
    <w:next w:val="NCLBodyText"/>
    <w:link w:val="NCLTableFootnoteChar"/>
    <w:uiPriority w:val="3"/>
    <w:qFormat/>
    <w:rsid w:val="007145D1"/>
    <w:pPr>
      <w:spacing w:before="0" w:after="480"/>
      <w:contextualSpacing/>
    </w:pPr>
    <w:rPr>
      <w:sz w:val="18"/>
    </w:rPr>
  </w:style>
  <w:style w:type="character" w:customStyle="1" w:styleId="NCLTableFootnoteChar">
    <w:name w:val="NCL Table Footnote Char"/>
    <w:basedOn w:val="NCLBodyTextChar"/>
    <w:link w:val="NCLTableFootnote"/>
    <w:uiPriority w:val="3"/>
    <w:rsid w:val="007145D1"/>
    <w:rPr>
      <w:rFonts w:ascii="Calibri" w:hAnsi="Calibri" w:cs="Calibri"/>
      <w:sz w:val="18"/>
    </w:rPr>
  </w:style>
  <w:style w:type="paragraph" w:customStyle="1" w:styleId="ReportHeading6">
    <w:name w:val="Report Heading 6"/>
    <w:basedOn w:val="Heading6"/>
    <w:next w:val="NCLBodyText"/>
    <w:rsid w:val="007145D1"/>
    <w:pPr>
      <w:numPr>
        <w:numId w:val="6"/>
      </w:numPr>
      <w:spacing w:before="240" w:after="180"/>
    </w:pPr>
    <w:rPr>
      <w:rFonts w:ascii="Calibri" w:hAnsi="Calibri"/>
      <w:color w:val="1F497D" w:themeColor="text2"/>
    </w:rPr>
  </w:style>
  <w:style w:type="paragraph" w:styleId="Revision">
    <w:name w:val="Revision"/>
    <w:hidden/>
    <w:uiPriority w:val="99"/>
    <w:semiHidden/>
    <w:rsid w:val="00EE6750"/>
    <w:pPr>
      <w:spacing w:after="0" w:line="240" w:lineRule="auto"/>
    </w:pPr>
    <w:rPr>
      <w:rFonts w:ascii="Calibri" w:hAnsi="Calibri"/>
    </w:rPr>
  </w:style>
  <w:style w:type="paragraph" w:customStyle="1" w:styleId="ReportTag">
    <w:name w:val="Report Tag"/>
    <w:basedOn w:val="NCLBodyText"/>
    <w:uiPriority w:val="3"/>
    <w:rsid w:val="007145D1"/>
    <w:pPr>
      <w:spacing w:before="0"/>
      <w:jc w:val="right"/>
    </w:pPr>
    <w:rPr>
      <w:color w:val="595959" w:themeColor="text1" w:themeTint="A6"/>
      <w:sz w:val="72"/>
      <w:szCs w:val="72"/>
    </w:rPr>
  </w:style>
  <w:style w:type="paragraph" w:customStyle="1" w:styleId="ReportTitle">
    <w:name w:val="Report Title"/>
    <w:basedOn w:val="NCLBodyText"/>
    <w:uiPriority w:val="3"/>
    <w:rsid w:val="00A0078A"/>
    <w:pPr>
      <w:spacing w:before="0"/>
    </w:pPr>
    <w:rPr>
      <w:color w:val="17365D" w:themeColor="text2" w:themeShade="BF"/>
      <w:sz w:val="48"/>
      <w:szCs w:val="48"/>
    </w:rPr>
  </w:style>
  <w:style w:type="paragraph" w:customStyle="1" w:styleId="NCLTableText">
    <w:name w:val="NCL Table Text"/>
    <w:basedOn w:val="NCLBodyText"/>
    <w:uiPriority w:val="3"/>
    <w:qFormat/>
    <w:rsid w:val="007145D1"/>
    <w:pPr>
      <w:spacing w:after="60"/>
    </w:pPr>
    <w:rPr>
      <w:sz w:val="20"/>
    </w:rPr>
  </w:style>
  <w:style w:type="paragraph" w:customStyle="1" w:styleId="ReportFrontPageTitle">
    <w:name w:val="Report Front Page Title"/>
    <w:basedOn w:val="NCLBodyText"/>
    <w:uiPriority w:val="3"/>
    <w:rsid w:val="007145D1"/>
    <w:pPr>
      <w:spacing w:before="0"/>
    </w:pPr>
    <w:rPr>
      <w:color w:val="17365D" w:themeColor="text2" w:themeShade="BF"/>
      <w:sz w:val="48"/>
      <w:szCs w:val="48"/>
    </w:rPr>
  </w:style>
  <w:style w:type="paragraph" w:customStyle="1" w:styleId="ReportSummaryBoxHeading">
    <w:name w:val="Report Summary Box Heading"/>
    <w:basedOn w:val="NCLBodyText"/>
    <w:uiPriority w:val="3"/>
    <w:rsid w:val="007145D1"/>
    <w:pPr>
      <w:spacing w:after="120"/>
    </w:pPr>
    <w:rPr>
      <w:b/>
      <w:i/>
    </w:rPr>
  </w:style>
  <w:style w:type="character" w:styleId="FollowedHyperlink">
    <w:name w:val="FollowedHyperlink"/>
    <w:basedOn w:val="DefaultParagraphFont"/>
    <w:uiPriority w:val="99"/>
    <w:semiHidden/>
    <w:unhideWhenUsed/>
    <w:rsid w:val="007145D1"/>
    <w:rPr>
      <w:color w:val="800080" w:themeColor="followedHyperlink"/>
      <w:u w:val="single"/>
    </w:rPr>
  </w:style>
  <w:style w:type="numbering" w:customStyle="1" w:styleId="ListBullets">
    <w:name w:val="List Bullets"/>
    <w:uiPriority w:val="99"/>
    <w:rsid w:val="007145D1"/>
    <w:pPr>
      <w:numPr>
        <w:numId w:val="4"/>
      </w:numPr>
    </w:pPr>
  </w:style>
  <w:style w:type="numbering" w:customStyle="1" w:styleId="ListNumbers">
    <w:name w:val="List Numbers"/>
    <w:uiPriority w:val="99"/>
    <w:rsid w:val="007145D1"/>
    <w:pPr>
      <w:numPr>
        <w:numId w:val="5"/>
      </w:numPr>
    </w:pPr>
  </w:style>
  <w:style w:type="table" w:customStyle="1" w:styleId="ReportTable">
    <w:name w:val="Report_Table"/>
    <w:basedOn w:val="TableNormal"/>
    <w:uiPriority w:val="99"/>
    <w:rsid w:val="00544450"/>
    <w:pPr>
      <w:spacing w:before="60" w:after="60" w:line="240" w:lineRule="auto"/>
      <w:jc w:val="center"/>
    </w:pPr>
    <w:rPr>
      <w:rFonts w:ascii="Calibri" w:hAnsi="Calibri"/>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Theme="minorHAnsi" w:hAnsiTheme="minorHAnsi"/>
        <w:b/>
        <w:sz w:val="20"/>
      </w:rPr>
      <w:tblPr/>
      <w:trPr>
        <w:cantSplit/>
      </w:trPr>
      <w:tcPr>
        <w:shd w:val="clear" w:color="auto" w:fill="BFBFBF" w:themeFill="background1" w:themeFillShade="BF"/>
      </w:tcPr>
    </w:tblStylePr>
    <w:tblStylePr w:type="firstCol">
      <w:pPr>
        <w:jc w:val="left"/>
      </w:pPr>
      <w:rPr>
        <w:rFonts w:asciiTheme="minorHAnsi" w:hAnsiTheme="minorHAnsi"/>
        <w:sz w:val="20"/>
      </w:rPr>
    </w:tblStylePr>
  </w:style>
  <w:style w:type="character" w:styleId="PlaceholderText">
    <w:name w:val="Placeholder Text"/>
    <w:basedOn w:val="DefaultParagraphFont"/>
    <w:uiPriority w:val="99"/>
    <w:semiHidden/>
    <w:rsid w:val="00325A5B"/>
    <w:rPr>
      <w:color w:val="808080"/>
    </w:rPr>
  </w:style>
  <w:style w:type="paragraph" w:customStyle="1" w:styleId="NCLAppendix">
    <w:name w:val="NCL Appendix"/>
    <w:basedOn w:val="NCLHeading1"/>
    <w:link w:val="NCLAppendixChar"/>
    <w:qFormat/>
    <w:rsid w:val="004C79B4"/>
    <w:pPr>
      <w:numPr>
        <w:numId w:val="0"/>
      </w:numPr>
      <w:ind w:left="567" w:hanging="567"/>
    </w:pPr>
  </w:style>
  <w:style w:type="character" w:customStyle="1" w:styleId="NCLAppendixChar">
    <w:name w:val="NCL Appendix Char"/>
    <w:basedOn w:val="NCLHeading1Char"/>
    <w:link w:val="NCLAppendix"/>
    <w:rsid w:val="004C79B4"/>
    <w:rPr>
      <w:rFonts w:ascii="Calibri" w:eastAsiaTheme="majorEastAsia" w:hAnsi="Calibri" w:cstheme="majorBidi"/>
      <w:b/>
      <w:bCs/>
      <w:color w:val="365F91" w:themeColor="accent1" w:themeShade="BF"/>
      <w:sz w:val="28"/>
      <w:szCs w:val="28"/>
      <w:shd w:val="clear" w:color="auto" w:fill="548DD4" w:themeFill="text2" w:themeFillTint="99"/>
    </w:rPr>
  </w:style>
  <w:style w:type="paragraph" w:customStyle="1" w:styleId="ReportHeading1">
    <w:name w:val="Report Heading 1"/>
    <w:basedOn w:val="Heading1"/>
    <w:next w:val="Normal"/>
    <w:link w:val="ReportHeading1Char"/>
    <w:rsid w:val="008962F6"/>
    <w:pPr>
      <w:numPr>
        <w:numId w:val="0"/>
      </w:numPr>
      <w:ind w:left="851" w:hanging="851"/>
    </w:pPr>
    <w:rPr>
      <w:color w:val="17365D" w:themeColor="text2" w:themeShade="BF"/>
      <w:sz w:val="32"/>
    </w:rPr>
  </w:style>
  <w:style w:type="character" w:customStyle="1" w:styleId="ReportHeading1Char">
    <w:name w:val="Report Heading 1 Char"/>
    <w:basedOn w:val="Heading1Char"/>
    <w:link w:val="ReportHeading1"/>
    <w:rsid w:val="008962F6"/>
    <w:rPr>
      <w:rFonts w:ascii="Calibri" w:eastAsiaTheme="majorEastAsia" w:hAnsi="Calibri" w:cstheme="majorBidi"/>
      <w:b/>
      <w:bCs/>
      <w:color w:val="17365D" w:themeColor="text2" w:themeShade="BF"/>
      <w:sz w:val="32"/>
      <w:szCs w:val="28"/>
    </w:rPr>
  </w:style>
  <w:style w:type="paragraph" w:customStyle="1" w:styleId="ReportHeading2">
    <w:name w:val="Report Heading 2"/>
    <w:basedOn w:val="Heading2"/>
    <w:next w:val="Normal"/>
    <w:link w:val="ReportHeading2Char"/>
    <w:rsid w:val="008962F6"/>
    <w:pPr>
      <w:numPr>
        <w:ilvl w:val="0"/>
        <w:numId w:val="0"/>
      </w:numPr>
      <w:spacing w:before="240" w:after="180"/>
      <w:ind w:left="851" w:hanging="851"/>
      <w:jc w:val="both"/>
    </w:pPr>
    <w:rPr>
      <w:color w:val="000000" w:themeColor="text1"/>
      <w:sz w:val="28"/>
    </w:rPr>
  </w:style>
  <w:style w:type="character" w:customStyle="1" w:styleId="ReportHeading2Char">
    <w:name w:val="Report Heading 2 Char"/>
    <w:basedOn w:val="Heading2Char"/>
    <w:link w:val="ReportHeading2"/>
    <w:rsid w:val="008962F6"/>
    <w:rPr>
      <w:rFonts w:ascii="Calibri" w:eastAsiaTheme="majorEastAsia" w:hAnsi="Calibri" w:cstheme="majorBidi"/>
      <w:b/>
      <w:bCs/>
      <w:color w:val="000000" w:themeColor="text1"/>
      <w:sz w:val="28"/>
      <w:szCs w:val="26"/>
    </w:rPr>
  </w:style>
  <w:style w:type="paragraph" w:customStyle="1" w:styleId="ReportHeading4">
    <w:name w:val="Report Heading 4"/>
    <w:basedOn w:val="Heading4"/>
    <w:next w:val="Normal"/>
    <w:link w:val="ReportHeading4Char"/>
    <w:rsid w:val="008962F6"/>
    <w:pPr>
      <w:numPr>
        <w:ilvl w:val="0"/>
        <w:numId w:val="0"/>
      </w:numPr>
      <w:tabs>
        <w:tab w:val="num" w:pos="851"/>
      </w:tabs>
      <w:spacing w:before="240" w:after="180"/>
      <w:ind w:left="851" w:hanging="851"/>
    </w:pPr>
    <w:rPr>
      <w:rFonts w:ascii="Calibri" w:hAnsi="Calibri"/>
      <w:color w:val="000000" w:themeColor="text1"/>
    </w:rPr>
  </w:style>
  <w:style w:type="character" w:customStyle="1" w:styleId="ReportHeading4Char">
    <w:name w:val="Report Heading 4 Char"/>
    <w:basedOn w:val="Heading4Char"/>
    <w:link w:val="ReportHeading4"/>
    <w:rsid w:val="008962F6"/>
    <w:rPr>
      <w:rFonts w:ascii="Calibri" w:eastAsiaTheme="majorEastAsia" w:hAnsi="Calibri" w:cstheme="majorBidi"/>
      <w:b/>
      <w:bCs/>
      <w:i/>
      <w:iCs/>
      <w:color w:val="000000" w:themeColor="text1"/>
    </w:rPr>
  </w:style>
  <w:style w:type="paragraph" w:customStyle="1" w:styleId="ReportHeading5">
    <w:name w:val="Report Heading 5"/>
    <w:basedOn w:val="Heading5"/>
    <w:next w:val="Normal"/>
    <w:rsid w:val="008962F6"/>
    <w:pPr>
      <w:numPr>
        <w:ilvl w:val="0"/>
        <w:numId w:val="0"/>
      </w:numPr>
      <w:spacing w:before="240" w:after="180"/>
    </w:pPr>
    <w:rPr>
      <w:rFonts w:ascii="Calibri" w:hAnsi="Calibri"/>
      <w:b/>
      <w:color w:val="000000"/>
    </w:rPr>
  </w:style>
  <w:style w:type="paragraph" w:styleId="NormalWeb">
    <w:name w:val="Normal (Web)"/>
    <w:basedOn w:val="Normal"/>
    <w:uiPriority w:val="99"/>
    <w:semiHidden/>
    <w:unhideWhenUsed/>
    <w:rsid w:val="006274B8"/>
    <w:pPr>
      <w:spacing w:before="100" w:beforeAutospacing="1" w:after="100" w:afterAutospacing="1"/>
    </w:pPr>
    <w:rPr>
      <w:rFonts w:ascii="Times New Roman" w:eastAsiaTheme="minorEastAsia" w:hAnsi="Times New Roman"/>
      <w:sz w:val="24"/>
      <w:szCs w:val="24"/>
      <w:lang w:eastAsia="en-GB"/>
    </w:rPr>
  </w:style>
  <w:style w:type="paragraph" w:styleId="Title">
    <w:name w:val="Title"/>
    <w:basedOn w:val="Normal"/>
    <w:link w:val="TitleChar"/>
    <w:rsid w:val="00D46B50"/>
    <w:pPr>
      <w:spacing w:after="0"/>
      <w:jc w:val="center"/>
    </w:pPr>
    <w:rPr>
      <w:rFonts w:ascii="Times New Roman" w:hAnsi="Times New Roman"/>
      <w:b/>
      <w:sz w:val="24"/>
      <w:u w:val="single"/>
      <w:lang w:eastAsia="en-GB"/>
    </w:rPr>
  </w:style>
  <w:style w:type="character" w:customStyle="1" w:styleId="TitleChar">
    <w:name w:val="Title Char"/>
    <w:basedOn w:val="DefaultParagraphFont"/>
    <w:link w:val="Title"/>
    <w:rsid w:val="00D46B50"/>
    <w:rPr>
      <w:rFonts w:ascii="Times New Roman" w:eastAsia="Times New Roman" w:hAnsi="Times New Roman" w:cs="Times New Roman"/>
      <w:b/>
      <w:sz w:val="24"/>
      <w:szCs w:val="20"/>
      <w:u w:val="single"/>
      <w:lang w:eastAsia="en-GB"/>
    </w:rPr>
  </w:style>
  <w:style w:type="paragraph" w:customStyle="1" w:styleId="NormalSCG">
    <w:name w:val="Normal_SCG"/>
    <w:basedOn w:val="Normal"/>
    <w:link w:val="NormalSCGChar"/>
    <w:qFormat/>
    <w:rsid w:val="00D46B50"/>
    <w:pPr>
      <w:tabs>
        <w:tab w:val="left" w:pos="-180"/>
      </w:tabs>
      <w:spacing w:after="0"/>
      <w:ind w:left="-426" w:right="-514"/>
      <w:jc w:val="both"/>
    </w:pPr>
    <w:rPr>
      <w:rFonts w:asciiTheme="minorHAnsi" w:hAnsiTheme="minorHAnsi"/>
      <w:sz w:val="22"/>
      <w:szCs w:val="22"/>
    </w:rPr>
  </w:style>
  <w:style w:type="character" w:customStyle="1" w:styleId="NormalSCGChar">
    <w:name w:val="Normal_SCG Char"/>
    <w:basedOn w:val="DefaultParagraphFont"/>
    <w:link w:val="NormalSCG"/>
    <w:rsid w:val="00D46B50"/>
    <w:rPr>
      <w:rFonts w:eastAsia="Times New Roman" w:cs="Times New Roman"/>
    </w:rPr>
  </w:style>
  <w:style w:type="paragraph" w:customStyle="1" w:styleId="Default">
    <w:name w:val="Default"/>
    <w:rsid w:val="00226FBE"/>
    <w:pPr>
      <w:widowControl w:val="0"/>
      <w:autoSpaceDE w:val="0"/>
      <w:autoSpaceDN w:val="0"/>
      <w:adjustRightInd w:val="0"/>
      <w:spacing w:after="0" w:line="240" w:lineRule="auto"/>
    </w:pPr>
    <w:rPr>
      <w:rFonts w:ascii="Helvetica" w:eastAsiaTheme="minorEastAsia" w:hAnsi="Helvetica" w:cs="Helvetica"/>
      <w:color w:val="000000"/>
      <w:sz w:val="24"/>
      <w:szCs w:val="24"/>
      <w:lang w:eastAsia="en-GB"/>
    </w:rPr>
  </w:style>
  <w:style w:type="paragraph" w:customStyle="1" w:styleId="CM13">
    <w:name w:val="CM13"/>
    <w:basedOn w:val="Default"/>
    <w:next w:val="Default"/>
    <w:uiPriority w:val="99"/>
    <w:rsid w:val="00226FBE"/>
    <w:pPr>
      <w:spacing w:after="113"/>
    </w:pPr>
    <w:rPr>
      <w:rFonts w:cstheme="minorBidi"/>
      <w:color w:val="auto"/>
    </w:rPr>
  </w:style>
  <w:style w:type="character" w:styleId="UnresolvedMention">
    <w:name w:val="Unresolved Mention"/>
    <w:basedOn w:val="DefaultParagraphFont"/>
    <w:uiPriority w:val="99"/>
    <w:semiHidden/>
    <w:unhideWhenUsed/>
    <w:rsid w:val="00261D36"/>
    <w:rPr>
      <w:color w:val="605E5C"/>
      <w:shd w:val="clear" w:color="auto" w:fill="E1DFDD"/>
    </w:rPr>
  </w:style>
  <w:style w:type="character" w:customStyle="1" w:styleId="normaltextrun">
    <w:name w:val="normaltextrun"/>
    <w:basedOn w:val="DefaultParagraphFont"/>
    <w:rsid w:val="00130070"/>
  </w:style>
  <w:style w:type="character" w:customStyle="1" w:styleId="eop">
    <w:name w:val="eop"/>
    <w:basedOn w:val="DefaultParagraphFont"/>
    <w:rsid w:val="00130070"/>
  </w:style>
  <w:style w:type="paragraph" w:customStyle="1" w:styleId="paragraph">
    <w:name w:val="paragraph"/>
    <w:basedOn w:val="Normal"/>
    <w:rsid w:val="00E02BEF"/>
    <w:pPr>
      <w:spacing w:before="100" w:beforeAutospacing="1" w:after="100" w:afterAutospacing="1"/>
    </w:pPr>
    <w:rPr>
      <w:rFonts w:ascii="Times New Roman" w:hAnsi="Times New Roman"/>
      <w:sz w:val="24"/>
      <w:szCs w:val="24"/>
      <w:lang w:eastAsia="en-GB"/>
    </w:rPr>
  </w:style>
  <w:style w:type="character" w:customStyle="1" w:styleId="cf01">
    <w:name w:val="cf01"/>
    <w:basedOn w:val="DefaultParagraphFont"/>
    <w:rsid w:val="009D3C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57386">
      <w:bodyDiv w:val="1"/>
      <w:marLeft w:val="0"/>
      <w:marRight w:val="0"/>
      <w:marTop w:val="0"/>
      <w:marBottom w:val="0"/>
      <w:divBdr>
        <w:top w:val="none" w:sz="0" w:space="0" w:color="auto"/>
        <w:left w:val="none" w:sz="0" w:space="0" w:color="auto"/>
        <w:bottom w:val="none" w:sz="0" w:space="0" w:color="auto"/>
        <w:right w:val="none" w:sz="0" w:space="0" w:color="auto"/>
      </w:divBdr>
    </w:div>
    <w:div w:id="504781967">
      <w:bodyDiv w:val="1"/>
      <w:marLeft w:val="0"/>
      <w:marRight w:val="0"/>
      <w:marTop w:val="0"/>
      <w:marBottom w:val="0"/>
      <w:divBdr>
        <w:top w:val="none" w:sz="0" w:space="0" w:color="auto"/>
        <w:left w:val="none" w:sz="0" w:space="0" w:color="auto"/>
        <w:bottom w:val="none" w:sz="0" w:space="0" w:color="auto"/>
        <w:right w:val="none" w:sz="0" w:space="0" w:color="auto"/>
      </w:divBdr>
    </w:div>
    <w:div w:id="517237362">
      <w:bodyDiv w:val="1"/>
      <w:marLeft w:val="0"/>
      <w:marRight w:val="0"/>
      <w:marTop w:val="0"/>
      <w:marBottom w:val="0"/>
      <w:divBdr>
        <w:top w:val="none" w:sz="0" w:space="0" w:color="auto"/>
        <w:left w:val="none" w:sz="0" w:space="0" w:color="auto"/>
        <w:bottom w:val="none" w:sz="0" w:space="0" w:color="auto"/>
        <w:right w:val="none" w:sz="0" w:space="0" w:color="auto"/>
      </w:divBdr>
    </w:div>
    <w:div w:id="823472431">
      <w:bodyDiv w:val="1"/>
      <w:marLeft w:val="0"/>
      <w:marRight w:val="0"/>
      <w:marTop w:val="0"/>
      <w:marBottom w:val="0"/>
      <w:divBdr>
        <w:top w:val="none" w:sz="0" w:space="0" w:color="auto"/>
        <w:left w:val="none" w:sz="0" w:space="0" w:color="auto"/>
        <w:bottom w:val="none" w:sz="0" w:space="0" w:color="auto"/>
        <w:right w:val="none" w:sz="0" w:space="0" w:color="auto"/>
      </w:divBdr>
    </w:div>
    <w:div w:id="848566913">
      <w:bodyDiv w:val="1"/>
      <w:marLeft w:val="0"/>
      <w:marRight w:val="0"/>
      <w:marTop w:val="0"/>
      <w:marBottom w:val="0"/>
      <w:divBdr>
        <w:top w:val="none" w:sz="0" w:space="0" w:color="auto"/>
        <w:left w:val="none" w:sz="0" w:space="0" w:color="auto"/>
        <w:bottom w:val="none" w:sz="0" w:space="0" w:color="auto"/>
        <w:right w:val="none" w:sz="0" w:space="0" w:color="auto"/>
      </w:divBdr>
    </w:div>
    <w:div w:id="894050586">
      <w:bodyDiv w:val="1"/>
      <w:marLeft w:val="0"/>
      <w:marRight w:val="0"/>
      <w:marTop w:val="0"/>
      <w:marBottom w:val="0"/>
      <w:divBdr>
        <w:top w:val="none" w:sz="0" w:space="0" w:color="auto"/>
        <w:left w:val="none" w:sz="0" w:space="0" w:color="auto"/>
        <w:bottom w:val="none" w:sz="0" w:space="0" w:color="auto"/>
        <w:right w:val="none" w:sz="0" w:space="0" w:color="auto"/>
      </w:divBdr>
    </w:div>
    <w:div w:id="944656103">
      <w:bodyDiv w:val="1"/>
      <w:marLeft w:val="0"/>
      <w:marRight w:val="0"/>
      <w:marTop w:val="0"/>
      <w:marBottom w:val="0"/>
      <w:divBdr>
        <w:top w:val="none" w:sz="0" w:space="0" w:color="auto"/>
        <w:left w:val="none" w:sz="0" w:space="0" w:color="auto"/>
        <w:bottom w:val="none" w:sz="0" w:space="0" w:color="auto"/>
        <w:right w:val="none" w:sz="0" w:space="0" w:color="auto"/>
      </w:divBdr>
    </w:div>
    <w:div w:id="953095197">
      <w:bodyDiv w:val="1"/>
      <w:marLeft w:val="0"/>
      <w:marRight w:val="0"/>
      <w:marTop w:val="0"/>
      <w:marBottom w:val="0"/>
      <w:divBdr>
        <w:top w:val="none" w:sz="0" w:space="0" w:color="auto"/>
        <w:left w:val="none" w:sz="0" w:space="0" w:color="auto"/>
        <w:bottom w:val="none" w:sz="0" w:space="0" w:color="auto"/>
        <w:right w:val="none" w:sz="0" w:space="0" w:color="auto"/>
      </w:divBdr>
    </w:div>
    <w:div w:id="1059086281">
      <w:bodyDiv w:val="1"/>
      <w:marLeft w:val="0"/>
      <w:marRight w:val="0"/>
      <w:marTop w:val="0"/>
      <w:marBottom w:val="0"/>
      <w:divBdr>
        <w:top w:val="none" w:sz="0" w:space="0" w:color="auto"/>
        <w:left w:val="none" w:sz="0" w:space="0" w:color="auto"/>
        <w:bottom w:val="none" w:sz="0" w:space="0" w:color="auto"/>
        <w:right w:val="none" w:sz="0" w:space="0" w:color="auto"/>
      </w:divBdr>
    </w:div>
    <w:div w:id="1101611634">
      <w:bodyDiv w:val="1"/>
      <w:marLeft w:val="0"/>
      <w:marRight w:val="0"/>
      <w:marTop w:val="0"/>
      <w:marBottom w:val="0"/>
      <w:divBdr>
        <w:top w:val="none" w:sz="0" w:space="0" w:color="auto"/>
        <w:left w:val="none" w:sz="0" w:space="0" w:color="auto"/>
        <w:bottom w:val="none" w:sz="0" w:space="0" w:color="auto"/>
        <w:right w:val="none" w:sz="0" w:space="0" w:color="auto"/>
      </w:divBdr>
    </w:div>
    <w:div w:id="1150748999">
      <w:bodyDiv w:val="1"/>
      <w:marLeft w:val="0"/>
      <w:marRight w:val="0"/>
      <w:marTop w:val="0"/>
      <w:marBottom w:val="0"/>
      <w:divBdr>
        <w:top w:val="none" w:sz="0" w:space="0" w:color="auto"/>
        <w:left w:val="none" w:sz="0" w:space="0" w:color="auto"/>
        <w:bottom w:val="none" w:sz="0" w:space="0" w:color="auto"/>
        <w:right w:val="none" w:sz="0" w:space="0" w:color="auto"/>
      </w:divBdr>
    </w:div>
    <w:div w:id="1384794497">
      <w:bodyDiv w:val="1"/>
      <w:marLeft w:val="0"/>
      <w:marRight w:val="0"/>
      <w:marTop w:val="0"/>
      <w:marBottom w:val="0"/>
      <w:divBdr>
        <w:top w:val="none" w:sz="0" w:space="0" w:color="auto"/>
        <w:left w:val="none" w:sz="0" w:space="0" w:color="auto"/>
        <w:bottom w:val="none" w:sz="0" w:space="0" w:color="auto"/>
        <w:right w:val="none" w:sz="0" w:space="0" w:color="auto"/>
      </w:divBdr>
      <w:divsChild>
        <w:div w:id="513226782">
          <w:marLeft w:val="0"/>
          <w:marRight w:val="0"/>
          <w:marTop w:val="0"/>
          <w:marBottom w:val="0"/>
          <w:divBdr>
            <w:top w:val="none" w:sz="0" w:space="0" w:color="auto"/>
            <w:left w:val="none" w:sz="0" w:space="0" w:color="auto"/>
            <w:bottom w:val="none" w:sz="0" w:space="0" w:color="auto"/>
            <w:right w:val="none" w:sz="0" w:space="0" w:color="auto"/>
          </w:divBdr>
        </w:div>
        <w:div w:id="2091805195">
          <w:marLeft w:val="0"/>
          <w:marRight w:val="0"/>
          <w:marTop w:val="0"/>
          <w:marBottom w:val="0"/>
          <w:divBdr>
            <w:top w:val="none" w:sz="0" w:space="0" w:color="auto"/>
            <w:left w:val="none" w:sz="0" w:space="0" w:color="auto"/>
            <w:bottom w:val="none" w:sz="0" w:space="0" w:color="auto"/>
            <w:right w:val="none" w:sz="0" w:space="0" w:color="auto"/>
          </w:divBdr>
        </w:div>
      </w:divsChild>
    </w:div>
    <w:div w:id="1420444671">
      <w:bodyDiv w:val="1"/>
      <w:marLeft w:val="0"/>
      <w:marRight w:val="0"/>
      <w:marTop w:val="0"/>
      <w:marBottom w:val="0"/>
      <w:divBdr>
        <w:top w:val="none" w:sz="0" w:space="0" w:color="auto"/>
        <w:left w:val="none" w:sz="0" w:space="0" w:color="auto"/>
        <w:bottom w:val="none" w:sz="0" w:space="0" w:color="auto"/>
        <w:right w:val="none" w:sz="0" w:space="0" w:color="auto"/>
      </w:divBdr>
    </w:div>
    <w:div w:id="1508012618">
      <w:bodyDiv w:val="1"/>
      <w:marLeft w:val="0"/>
      <w:marRight w:val="0"/>
      <w:marTop w:val="0"/>
      <w:marBottom w:val="0"/>
      <w:divBdr>
        <w:top w:val="none" w:sz="0" w:space="0" w:color="auto"/>
        <w:left w:val="none" w:sz="0" w:space="0" w:color="auto"/>
        <w:bottom w:val="none" w:sz="0" w:space="0" w:color="auto"/>
        <w:right w:val="none" w:sz="0" w:space="0" w:color="auto"/>
      </w:divBdr>
    </w:div>
    <w:div w:id="1664046497">
      <w:bodyDiv w:val="1"/>
      <w:marLeft w:val="0"/>
      <w:marRight w:val="0"/>
      <w:marTop w:val="0"/>
      <w:marBottom w:val="0"/>
      <w:divBdr>
        <w:top w:val="none" w:sz="0" w:space="0" w:color="auto"/>
        <w:left w:val="none" w:sz="0" w:space="0" w:color="auto"/>
        <w:bottom w:val="none" w:sz="0" w:space="0" w:color="auto"/>
        <w:right w:val="none" w:sz="0" w:space="0" w:color="auto"/>
      </w:divBdr>
    </w:div>
    <w:div w:id="1735278165">
      <w:bodyDiv w:val="1"/>
      <w:marLeft w:val="0"/>
      <w:marRight w:val="0"/>
      <w:marTop w:val="0"/>
      <w:marBottom w:val="0"/>
      <w:divBdr>
        <w:top w:val="none" w:sz="0" w:space="0" w:color="auto"/>
        <w:left w:val="none" w:sz="0" w:space="0" w:color="auto"/>
        <w:bottom w:val="none" w:sz="0" w:space="0" w:color="auto"/>
        <w:right w:val="none" w:sz="0" w:space="0" w:color="auto"/>
      </w:divBdr>
    </w:div>
    <w:div w:id="1750689251">
      <w:bodyDiv w:val="1"/>
      <w:marLeft w:val="0"/>
      <w:marRight w:val="0"/>
      <w:marTop w:val="0"/>
      <w:marBottom w:val="0"/>
      <w:divBdr>
        <w:top w:val="none" w:sz="0" w:space="0" w:color="auto"/>
        <w:left w:val="none" w:sz="0" w:space="0" w:color="auto"/>
        <w:bottom w:val="none" w:sz="0" w:space="0" w:color="auto"/>
        <w:right w:val="none" w:sz="0" w:space="0" w:color="auto"/>
      </w:divBdr>
    </w:div>
    <w:div w:id="1823812549">
      <w:bodyDiv w:val="1"/>
      <w:marLeft w:val="0"/>
      <w:marRight w:val="0"/>
      <w:marTop w:val="0"/>
      <w:marBottom w:val="0"/>
      <w:divBdr>
        <w:top w:val="none" w:sz="0" w:space="0" w:color="auto"/>
        <w:left w:val="none" w:sz="0" w:space="0" w:color="auto"/>
        <w:bottom w:val="none" w:sz="0" w:space="0" w:color="auto"/>
        <w:right w:val="none" w:sz="0" w:space="0" w:color="auto"/>
      </w:divBdr>
    </w:div>
    <w:div w:id="1839533830">
      <w:bodyDiv w:val="1"/>
      <w:marLeft w:val="0"/>
      <w:marRight w:val="0"/>
      <w:marTop w:val="0"/>
      <w:marBottom w:val="0"/>
      <w:divBdr>
        <w:top w:val="none" w:sz="0" w:space="0" w:color="auto"/>
        <w:left w:val="none" w:sz="0" w:space="0" w:color="auto"/>
        <w:bottom w:val="none" w:sz="0" w:space="0" w:color="auto"/>
        <w:right w:val="none" w:sz="0" w:space="0" w:color="auto"/>
      </w:divBdr>
    </w:div>
    <w:div w:id="194487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icines.org.uk/emc/product/11483/smpc" TargetMode="External"/><Relationship Id="rId18" Type="http://schemas.openxmlformats.org/officeDocument/2006/relationships/hyperlink" Target="https://bnf.nice.org.uk/drugs/cinacalcet/" TargetMode="External"/><Relationship Id="rId26" Type="http://schemas.openxmlformats.org/officeDocument/2006/relationships/hyperlink" Target="mailto:nmu-tr.medicinesinformation@nhs.net" TargetMode="External"/><Relationship Id="rId3" Type="http://schemas.openxmlformats.org/officeDocument/2006/relationships/customXml" Target="../customXml/item3.xml"/><Relationship Id="rId21" Type="http://schemas.openxmlformats.org/officeDocument/2006/relationships/hyperlink" Target="https://bnf.nice.org.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nf.nice.org.uk/drugs/cinacalcet/" TargetMode="External"/><Relationship Id="rId17" Type="http://schemas.openxmlformats.org/officeDocument/2006/relationships/hyperlink" Target="https://www.medicines.org.uk/emc/product/11483/smpc" TargetMode="External"/><Relationship Id="rId25" Type="http://schemas.openxmlformats.org/officeDocument/2006/relationships/hyperlink" Target="mailto:northmid.endocrine@nhs.ne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nf.nice.org.uk/drugs/cinacalcet/" TargetMode="External"/><Relationship Id="rId20" Type="http://schemas.openxmlformats.org/officeDocument/2006/relationships/hyperlink" Target="https://www.england.nhs.uk/wp-content/uploads/2017/06/ccp-cinacalcet-complex-primary-hyperparathyroidism-adults.pdf" TargetMode="External"/><Relationship Id="rId29" Type="http://schemas.openxmlformats.org/officeDocument/2006/relationships/hyperlink" Target="mailto:Rf.medicinesadvice@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nice.org.uk/guidance/ng132"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medicines.org.uk/emc/product/11483/smpc" TargetMode="External"/><Relationship Id="rId23" Type="http://schemas.openxmlformats.org/officeDocument/2006/relationships/hyperlink" Target="https://parathyroiduk.org/wp-content/uploads/2018/10/Hyperparathyroidism-Leaflet-DL-2-31_10.pdf" TargetMode="External"/><Relationship Id="rId28" Type="http://schemas.openxmlformats.org/officeDocument/2006/relationships/hyperlink" Target="mailto:Rf.diabendocrineadmin@nhs.net" TargetMode="External"/><Relationship Id="rId10" Type="http://schemas.openxmlformats.org/officeDocument/2006/relationships/endnotes" Target="endnotes.xml"/><Relationship Id="rId19" Type="http://schemas.openxmlformats.org/officeDocument/2006/relationships/hyperlink" Target="https://www.medicines.org.uk/emc/product/11483/smpc"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nf.nice.org.uk/drugs/cinacalcet/" TargetMode="External"/><Relationship Id="rId22" Type="http://schemas.openxmlformats.org/officeDocument/2006/relationships/hyperlink" Target="https://www.medicines.org.uk/emc/product/5599/smpc" TargetMode="External"/><Relationship Id="rId27" Type="http://schemas.openxmlformats.org/officeDocument/2006/relationships/hyperlink" Target="mailto:rf-tr.barnetendodiabadmin@nhs.net" TargetMode="External"/><Relationship Id="rId30" Type="http://schemas.openxmlformats.org/officeDocument/2006/relationships/hyperlink" Target="http://www.nclhealthandcare.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rps\Desktop\NHS\(ClinS)%20Pharmacy%20Department%20-%20MEP%20and%20JFC%20-%20MEP\JFC\Templates\NCL%20JFC%20Shared%20Care%20Guideline%20Template_v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0904F1CA799A4EB2B8E1B37AAB5F88" ma:contentTypeVersion="15" ma:contentTypeDescription="Create a new document." ma:contentTypeScope="" ma:versionID="68b24d3637d6a5c659dc80ae5480cbd5">
  <xsd:schema xmlns:xsd="http://www.w3.org/2001/XMLSchema" xmlns:xs="http://www.w3.org/2001/XMLSchema" xmlns:p="http://schemas.microsoft.com/office/2006/metadata/properties" xmlns:ns1="http://schemas.microsoft.com/sharepoint/v3" xmlns:ns2="de37781b-99aa-4df2-92c5-14938be939e3" xmlns:ns3="c3ed8bc8-98dc-4f3f-bb05-b9d1322e6f3e" targetNamespace="http://schemas.microsoft.com/office/2006/metadata/properties" ma:root="true" ma:fieldsID="5e76c79c60318825641f1c9026d75667" ns1:_="" ns2:_="" ns3:_="">
    <xsd:import namespace="http://schemas.microsoft.com/sharepoint/v3"/>
    <xsd:import namespace="de37781b-99aa-4df2-92c5-14938be939e3"/>
    <xsd:import namespace="c3ed8bc8-98dc-4f3f-bb05-b9d1322e6f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37781b-99aa-4df2-92c5-14938be9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ed8bc8-98dc-4f3f-bb05-b9d1322e6f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LengthInSeconds xmlns="de37781b-99aa-4df2-92c5-14938be939e3" xsi:nil="true"/>
    <lcf76f155ced4ddcb4097134ff3c332f xmlns="de37781b-99aa-4df2-92c5-14938be939e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1C59E9-FC23-47AE-8702-0C0B0FB81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37781b-99aa-4df2-92c5-14938be939e3"/>
    <ds:schemaRef ds:uri="c3ed8bc8-98dc-4f3f-bb05-b9d1322e6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66A7F-9802-4292-8511-A855721FCF69}">
  <ds:schemaRefs>
    <ds:schemaRef ds:uri="http://schemas.microsoft.com/office/2006/metadata/properties"/>
    <ds:schemaRef ds:uri="http://schemas.microsoft.com/office/infopath/2007/PartnerControls"/>
    <ds:schemaRef ds:uri="http://schemas.microsoft.com/sharepoint/v3"/>
    <ds:schemaRef ds:uri="de37781b-99aa-4df2-92c5-14938be939e3"/>
  </ds:schemaRefs>
</ds:datastoreItem>
</file>

<file path=customXml/itemProps3.xml><?xml version="1.0" encoding="utf-8"?>
<ds:datastoreItem xmlns:ds="http://schemas.openxmlformats.org/officeDocument/2006/customXml" ds:itemID="{BF4EC081-B7DC-4877-9A63-B50D699DA27C}">
  <ds:schemaRefs>
    <ds:schemaRef ds:uri="http://schemas.openxmlformats.org/officeDocument/2006/bibliography"/>
  </ds:schemaRefs>
</ds:datastoreItem>
</file>

<file path=customXml/itemProps4.xml><?xml version="1.0" encoding="utf-8"?>
<ds:datastoreItem xmlns:ds="http://schemas.openxmlformats.org/officeDocument/2006/customXml" ds:itemID="{D15B1435-A961-454F-B70B-43F3DE329929}">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NCL JFC Shared Care Guideline Template_v4.1.dotx</Template>
  <TotalTime>2</TotalTime>
  <Pages>6</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&lt;&lt;Add Title. Not more than 4 lines. Drop font size as necessary to fit in box&gt;&gt;</vt:lpstr>
    </vt:vector>
  </TitlesOfParts>
  <Company>Abacus International</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&lt;&lt;Add Title. Not more than 4 lines. Drop font size as necessary to fit in box&gt;&gt;</dc:title>
  <dc:subject>….</dc:subject>
  <dc:creator>Gurps</dc:creator>
  <cp:keywords/>
  <cp:lastModifiedBy>NCL-MON, Admin (UNIVERSITY COLLEGE LONDON HOSPITALS NHS FOUNDATION TRUST)</cp:lastModifiedBy>
  <cp:revision>4</cp:revision>
  <cp:lastPrinted>2024-10-16T14:29:00Z</cp:lastPrinted>
  <dcterms:created xsi:type="dcterms:W3CDTF">2024-09-30T13:52:00Z</dcterms:created>
  <dcterms:modified xsi:type="dcterms:W3CDTF">2024-10-16T14:29:00Z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0x0101002D0904F1CA799A4EB2B8E1B37AAB5F88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