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91238" w14:textId="77777777" w:rsidR="0033552D" w:rsidRPr="00E70CFD" w:rsidRDefault="00A66BEB" w:rsidP="00AD78BC">
      <w:pPr>
        <w:pStyle w:val="NCLBodyText"/>
        <w:spacing w:before="0"/>
        <w:jc w:val="right"/>
      </w:pPr>
      <w:r w:rsidRPr="00E70CFD">
        <w:rPr>
          <w:noProof/>
          <w:lang w:eastAsia="en-GB"/>
        </w:rPr>
        <w:drawing>
          <wp:inline distT="0" distB="0" distL="0" distR="0" wp14:anchorId="63564FBB" wp14:editId="23E4DA7B">
            <wp:extent cx="889200" cy="36000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200" cy="360000"/>
                    </a:xfrm>
                    <a:prstGeom prst="rect">
                      <a:avLst/>
                    </a:prstGeom>
                  </pic:spPr>
                </pic:pic>
              </a:graphicData>
            </a:graphic>
          </wp:inline>
        </w:drawing>
      </w:r>
    </w:p>
    <w:p w14:paraId="426CAD95" w14:textId="77777777" w:rsidR="00FB29AA" w:rsidRPr="00E70CFD" w:rsidRDefault="00FB29AA" w:rsidP="00AD78BC">
      <w:pPr>
        <w:pStyle w:val="NCLBodyText"/>
        <w:spacing w:before="0"/>
        <w:jc w:val="right"/>
      </w:pPr>
    </w:p>
    <w:p w14:paraId="5E4C12A8" w14:textId="77777777" w:rsidR="0074256D" w:rsidRPr="00E70CFD" w:rsidRDefault="0074256D" w:rsidP="00AD78BC">
      <w:pPr>
        <w:pStyle w:val="NCLBodyText"/>
        <w:spacing w:before="0"/>
        <w:jc w:val="right"/>
      </w:pPr>
    </w:p>
    <w:p w14:paraId="2774AC98" w14:textId="77777777" w:rsidR="008A5E15" w:rsidRPr="00E70CFD" w:rsidRDefault="00A3435B" w:rsidP="00AD78BC">
      <w:pPr>
        <w:pStyle w:val="NCLBodyText"/>
        <w:spacing w:before="0"/>
        <w:jc w:val="right"/>
        <w:rPr>
          <w:rFonts w:ascii="Arial" w:hAnsi="Arial" w:cs="Arial"/>
          <w:b/>
          <w:color w:val="0072C6"/>
          <w:sz w:val="24"/>
        </w:rPr>
      </w:pPr>
      <w:r w:rsidRPr="00E70CFD">
        <w:rPr>
          <w:rFonts w:ascii="Arial" w:hAnsi="Arial" w:cs="Arial"/>
          <w:b/>
          <w:color w:val="0072C6"/>
          <w:sz w:val="24"/>
        </w:rPr>
        <w:t>N</w:t>
      </w:r>
      <w:r w:rsidR="00CF04B0" w:rsidRPr="00E70CFD">
        <w:rPr>
          <w:rFonts w:ascii="Arial" w:hAnsi="Arial" w:cs="Arial"/>
          <w:b/>
          <w:color w:val="0072C6"/>
          <w:sz w:val="24"/>
        </w:rPr>
        <w:t>orth Central London</w:t>
      </w:r>
    </w:p>
    <w:p w14:paraId="420E1CD5" w14:textId="77777777" w:rsidR="008A5E15" w:rsidRPr="00E70CFD" w:rsidRDefault="00CF04B0" w:rsidP="00AD78BC">
      <w:pPr>
        <w:pStyle w:val="NCLBodyText"/>
        <w:spacing w:before="0"/>
        <w:jc w:val="right"/>
        <w:rPr>
          <w:rFonts w:ascii="Arial" w:hAnsi="Arial" w:cs="Arial"/>
          <w:b/>
          <w:color w:val="0072C6"/>
          <w:sz w:val="24"/>
        </w:rPr>
      </w:pPr>
      <w:r w:rsidRPr="00E70CFD">
        <w:rPr>
          <w:rFonts w:ascii="Arial" w:hAnsi="Arial" w:cs="Arial"/>
          <w:b/>
          <w:color w:val="0072C6"/>
          <w:sz w:val="24"/>
        </w:rPr>
        <w:t>Joint Formulary Committee</w:t>
      </w:r>
    </w:p>
    <w:p w14:paraId="3274FA83" w14:textId="77777777" w:rsidR="00D46B50" w:rsidRPr="00E70CFD" w:rsidRDefault="00D46B50" w:rsidP="00AD78BC">
      <w:pPr>
        <w:pStyle w:val="NCLBodyText"/>
        <w:spacing w:before="0"/>
        <w:jc w:val="right"/>
        <w:rPr>
          <w:rFonts w:ascii="Arial" w:hAnsi="Arial" w:cs="Arial"/>
          <w:b/>
          <w:color w:val="0072C6"/>
          <w:sz w:val="24"/>
        </w:rPr>
      </w:pPr>
    </w:p>
    <w:p w14:paraId="4CBB32FB" w14:textId="77777777" w:rsidR="008A5E15" w:rsidRPr="00E70CFD" w:rsidRDefault="008A5E15" w:rsidP="008A5E15">
      <w:pPr>
        <w:pStyle w:val="Header"/>
      </w:pPr>
    </w:p>
    <w:tbl>
      <w:tblPr>
        <w:tblpPr w:leftFromText="180" w:rightFromText="180" w:vertAnchor="text" w:horzAnchor="margin" w:tblpYSpec="top"/>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548DD4" w:themeFill="text2" w:themeFillTint="99"/>
        <w:tblLook w:val="0000" w:firstRow="0" w:lastRow="0" w:firstColumn="0" w:lastColumn="0" w:noHBand="0" w:noVBand="0"/>
      </w:tblPr>
      <w:tblGrid>
        <w:gridCol w:w="9302"/>
      </w:tblGrid>
      <w:tr w:rsidR="004C79B4" w:rsidRPr="00E70CFD" w14:paraId="325CCE40" w14:textId="77777777" w:rsidTr="00D46B50">
        <w:tc>
          <w:tcPr>
            <w:tcW w:w="9446" w:type="dxa"/>
            <w:tcBorders>
              <w:top w:val="single" w:sz="12" w:space="0" w:color="C0C0C0"/>
              <w:left w:val="single" w:sz="12" w:space="0" w:color="C0C0C0"/>
              <w:bottom w:val="single" w:sz="12" w:space="0" w:color="C0C0C0"/>
              <w:right w:val="single" w:sz="12" w:space="0" w:color="C0C0C0"/>
            </w:tcBorders>
            <w:shd w:val="clear" w:color="auto" w:fill="548DD4" w:themeFill="text2" w:themeFillTint="99"/>
            <w:tcMar>
              <w:top w:w="57" w:type="dxa"/>
              <w:left w:w="57" w:type="dxa"/>
              <w:bottom w:w="57" w:type="dxa"/>
              <w:right w:w="57" w:type="dxa"/>
            </w:tcMar>
            <w:vAlign w:val="center"/>
          </w:tcPr>
          <w:p w14:paraId="449F9449" w14:textId="77777777" w:rsidR="00D46B50" w:rsidRPr="00E70CFD" w:rsidRDefault="00D46B50" w:rsidP="00D46B50">
            <w:pPr>
              <w:spacing w:after="0"/>
              <w:jc w:val="center"/>
              <w:rPr>
                <w:rFonts w:cs="Arial"/>
                <w:b/>
                <w:color w:val="FFFFFF" w:themeColor="background1"/>
                <w:spacing w:val="30"/>
                <w:sz w:val="36"/>
                <w:szCs w:val="22"/>
              </w:rPr>
            </w:pPr>
            <w:r w:rsidRPr="00E70CFD">
              <w:rPr>
                <w:rFonts w:cs="Arial"/>
                <w:b/>
                <w:color w:val="FFFFFF" w:themeColor="background1"/>
                <w:spacing w:val="30"/>
                <w:sz w:val="36"/>
                <w:szCs w:val="22"/>
              </w:rPr>
              <w:t>Shared Care Guideline</w:t>
            </w:r>
          </w:p>
          <w:p w14:paraId="39088AD6" w14:textId="43AF4D69" w:rsidR="00D46B50" w:rsidRPr="00E70CFD" w:rsidRDefault="00D46B50" w:rsidP="00F43B9B">
            <w:pPr>
              <w:spacing w:after="0"/>
              <w:rPr>
                <w:rFonts w:cs="Arial"/>
                <w:b/>
                <w:color w:val="FFFFFF" w:themeColor="background1"/>
                <w:spacing w:val="30"/>
                <w:sz w:val="36"/>
                <w:szCs w:val="22"/>
              </w:rPr>
            </w:pPr>
          </w:p>
          <w:p w14:paraId="17C3172D" w14:textId="6BA1EE34" w:rsidR="004C79B4" w:rsidRPr="00E70CFD" w:rsidRDefault="00D46B50" w:rsidP="00D46B50">
            <w:pPr>
              <w:spacing w:after="0"/>
              <w:jc w:val="center"/>
              <w:rPr>
                <w:rFonts w:cs="Arial"/>
                <w:b/>
                <w:color w:val="333333"/>
                <w:spacing w:val="30"/>
                <w:sz w:val="36"/>
                <w:szCs w:val="22"/>
              </w:rPr>
            </w:pPr>
            <w:r w:rsidRPr="00E70CFD">
              <w:rPr>
                <w:rFonts w:cs="Arial"/>
                <w:b/>
                <w:color w:val="FFFFFF" w:themeColor="background1"/>
                <w:spacing w:val="30"/>
                <w:sz w:val="36"/>
                <w:szCs w:val="22"/>
              </w:rPr>
              <w:t xml:space="preserve">Treatment of </w:t>
            </w:r>
            <w:r w:rsidR="00890124" w:rsidRPr="00E70CFD">
              <w:rPr>
                <w:rFonts w:cs="Arial"/>
                <w:b/>
                <w:color w:val="FFFFFF" w:themeColor="background1"/>
                <w:spacing w:val="30"/>
                <w:sz w:val="36"/>
                <w:szCs w:val="22"/>
              </w:rPr>
              <w:t>focal seizures with c</w:t>
            </w:r>
            <w:r w:rsidR="00627CFA" w:rsidRPr="00E70CFD">
              <w:rPr>
                <w:rFonts w:cs="Arial"/>
                <w:b/>
                <w:color w:val="FFFFFF" w:themeColor="background1"/>
                <w:spacing w:val="30"/>
                <w:sz w:val="36"/>
                <w:szCs w:val="22"/>
              </w:rPr>
              <w:t>enobamate</w:t>
            </w:r>
          </w:p>
        </w:tc>
      </w:tr>
    </w:tbl>
    <w:p w14:paraId="2D6129DE" w14:textId="77777777" w:rsidR="00367357" w:rsidRPr="00E70CFD" w:rsidRDefault="00367357" w:rsidP="00F6177F">
      <w:pPr>
        <w:pStyle w:val="NCLBodyText"/>
      </w:pPr>
    </w:p>
    <w:p w14:paraId="03900178" w14:textId="77777777" w:rsidR="00D46B50" w:rsidRPr="00E70CFD" w:rsidRDefault="00D46B50" w:rsidP="00D46B50">
      <w:pPr>
        <w:pStyle w:val="NCLBodyText"/>
      </w:pPr>
      <w:r w:rsidRPr="00E70CFD">
        <w:t>Dear GP</w:t>
      </w:r>
    </w:p>
    <w:p w14:paraId="46950793" w14:textId="185B9693" w:rsidR="00D46B50" w:rsidRPr="00E70CFD" w:rsidRDefault="00D46B50" w:rsidP="00D46B50">
      <w:pPr>
        <w:pStyle w:val="NCLBodyText"/>
      </w:pPr>
      <w:r w:rsidRPr="00E70CFD">
        <w:t>The information in the shared care guideline has been developed in consultation with Primary Care</w:t>
      </w:r>
      <w:r w:rsidR="005E3554" w:rsidRPr="00E70CFD">
        <w:t>,</w:t>
      </w:r>
      <w:r w:rsidRPr="00E70CFD">
        <w:t xml:space="preserve"> and it has been agreed that it is suitable for shared care. </w:t>
      </w:r>
    </w:p>
    <w:p w14:paraId="5E5067F8" w14:textId="5924BB12" w:rsidR="00367357" w:rsidRPr="00E70CFD" w:rsidRDefault="00D46B50" w:rsidP="00D46B50">
      <w:pPr>
        <w:pStyle w:val="NCLBodyText"/>
      </w:pPr>
      <w:r w:rsidRPr="00E70CFD">
        <w:t>Sharing of care assumes communication between the specialist, GP and patient. The intention to share care should be explained to the patient by the Consultant when treatment is initiated. It is important that patients are consulted about treatment and are in agreement with it.</w:t>
      </w:r>
    </w:p>
    <w:p w14:paraId="4DB17F91" w14:textId="77777777" w:rsidR="00D46B50" w:rsidRPr="00E70CFD" w:rsidRDefault="00D46B50" w:rsidP="009D2F4A">
      <w:pPr>
        <w:pStyle w:val="NCLBodyText"/>
        <w:spacing w:before="240" w:after="120"/>
        <w:rPr>
          <w:b/>
          <w:sz w:val="28"/>
        </w:rPr>
      </w:pPr>
    </w:p>
    <w:sdt>
      <w:sdtPr>
        <w:rPr>
          <w:rFonts w:eastAsia="Times New Roman" w:cs="Times New Roman"/>
          <w:b w:val="0"/>
          <w:bCs w:val="0"/>
          <w:color w:val="auto"/>
          <w:sz w:val="20"/>
          <w:szCs w:val="20"/>
          <w:lang w:eastAsia="en-US"/>
        </w:rPr>
        <w:id w:val="-735251879"/>
        <w:docPartObj>
          <w:docPartGallery w:val="Table of Contents"/>
          <w:docPartUnique/>
        </w:docPartObj>
      </w:sdtPr>
      <w:sdtEndPr>
        <w:rPr>
          <w:noProof/>
        </w:rPr>
      </w:sdtEndPr>
      <w:sdtContent>
        <w:p w14:paraId="4D2E0F37" w14:textId="7BF11097" w:rsidR="00753AD8" w:rsidRDefault="00753AD8">
          <w:pPr>
            <w:pStyle w:val="TOCHeading"/>
          </w:pPr>
          <w:r>
            <w:t>Contents</w:t>
          </w:r>
        </w:p>
        <w:p w14:paraId="46380D6C" w14:textId="57983A7A" w:rsidR="00753AD8" w:rsidRDefault="00753AD8">
          <w:pPr>
            <w:pStyle w:val="TOC1"/>
            <w:tabs>
              <w:tab w:val="left" w:pos="442"/>
              <w:tab w:val="right" w:leader="dot" w:pos="9322"/>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112319326" w:history="1">
            <w:r w:rsidRPr="00740E92">
              <w:rPr>
                <w:rStyle w:val="Hyperlink"/>
                <w:noProof/>
              </w:rPr>
              <w:t>1.</w:t>
            </w:r>
            <w:r>
              <w:rPr>
                <w:rFonts w:asciiTheme="minorHAnsi" w:eastAsiaTheme="minorEastAsia" w:hAnsiTheme="minorHAnsi" w:cstheme="minorBidi"/>
                <w:noProof/>
                <w:lang w:eastAsia="en-GB"/>
              </w:rPr>
              <w:tab/>
            </w:r>
            <w:r w:rsidRPr="00740E92">
              <w:rPr>
                <w:rStyle w:val="Hyperlink"/>
                <w:noProof/>
              </w:rPr>
              <w:t>Introduction</w:t>
            </w:r>
            <w:r>
              <w:rPr>
                <w:noProof/>
                <w:webHidden/>
              </w:rPr>
              <w:tab/>
            </w:r>
            <w:r>
              <w:rPr>
                <w:noProof/>
                <w:webHidden/>
              </w:rPr>
              <w:fldChar w:fldCharType="begin"/>
            </w:r>
            <w:r>
              <w:rPr>
                <w:noProof/>
                <w:webHidden/>
              </w:rPr>
              <w:instrText xml:space="preserve"> PAGEREF _Toc112319326 \h </w:instrText>
            </w:r>
            <w:r>
              <w:rPr>
                <w:noProof/>
                <w:webHidden/>
              </w:rPr>
            </w:r>
            <w:r>
              <w:rPr>
                <w:noProof/>
                <w:webHidden/>
              </w:rPr>
              <w:fldChar w:fldCharType="separate"/>
            </w:r>
            <w:r w:rsidR="003C0738">
              <w:rPr>
                <w:noProof/>
                <w:webHidden/>
              </w:rPr>
              <w:t>2</w:t>
            </w:r>
            <w:r>
              <w:rPr>
                <w:noProof/>
                <w:webHidden/>
              </w:rPr>
              <w:fldChar w:fldCharType="end"/>
            </w:r>
          </w:hyperlink>
        </w:p>
        <w:p w14:paraId="6F67D1CE" w14:textId="0535CA04" w:rsidR="00753AD8" w:rsidRDefault="003C0738">
          <w:pPr>
            <w:pStyle w:val="TOC1"/>
            <w:tabs>
              <w:tab w:val="left" w:pos="442"/>
              <w:tab w:val="right" w:leader="dot" w:pos="9322"/>
            </w:tabs>
            <w:rPr>
              <w:rFonts w:asciiTheme="minorHAnsi" w:eastAsiaTheme="minorEastAsia" w:hAnsiTheme="minorHAnsi" w:cstheme="minorBidi"/>
              <w:noProof/>
              <w:lang w:eastAsia="en-GB"/>
            </w:rPr>
          </w:pPr>
          <w:hyperlink w:anchor="_Toc112319327" w:history="1">
            <w:r w:rsidR="00753AD8" w:rsidRPr="00740E92">
              <w:rPr>
                <w:rStyle w:val="Hyperlink"/>
                <w:noProof/>
              </w:rPr>
              <w:t>2.</w:t>
            </w:r>
            <w:r w:rsidR="00753AD8">
              <w:rPr>
                <w:rFonts w:asciiTheme="minorHAnsi" w:eastAsiaTheme="minorEastAsia" w:hAnsiTheme="minorHAnsi" w:cstheme="minorBidi"/>
                <w:noProof/>
                <w:lang w:eastAsia="en-GB"/>
              </w:rPr>
              <w:tab/>
            </w:r>
            <w:r w:rsidR="00753AD8" w:rsidRPr="00740E92">
              <w:rPr>
                <w:rStyle w:val="Hyperlink"/>
                <w:noProof/>
              </w:rPr>
              <w:t>Shared Care criteria</w:t>
            </w:r>
            <w:r w:rsidR="00753AD8">
              <w:rPr>
                <w:noProof/>
                <w:webHidden/>
              </w:rPr>
              <w:tab/>
            </w:r>
            <w:r w:rsidR="00753AD8">
              <w:rPr>
                <w:noProof/>
                <w:webHidden/>
              </w:rPr>
              <w:fldChar w:fldCharType="begin"/>
            </w:r>
            <w:r w:rsidR="00753AD8">
              <w:rPr>
                <w:noProof/>
                <w:webHidden/>
              </w:rPr>
              <w:instrText xml:space="preserve"> PAGEREF _Toc112319327 \h </w:instrText>
            </w:r>
            <w:r w:rsidR="00753AD8">
              <w:rPr>
                <w:noProof/>
                <w:webHidden/>
              </w:rPr>
            </w:r>
            <w:r w:rsidR="00753AD8">
              <w:rPr>
                <w:noProof/>
                <w:webHidden/>
              </w:rPr>
              <w:fldChar w:fldCharType="separate"/>
            </w:r>
            <w:r>
              <w:rPr>
                <w:noProof/>
                <w:webHidden/>
              </w:rPr>
              <w:t>2</w:t>
            </w:r>
            <w:r w:rsidR="00753AD8">
              <w:rPr>
                <w:noProof/>
                <w:webHidden/>
              </w:rPr>
              <w:fldChar w:fldCharType="end"/>
            </w:r>
          </w:hyperlink>
        </w:p>
        <w:p w14:paraId="7CE8C96A" w14:textId="6D09625A" w:rsidR="00753AD8" w:rsidRDefault="003C0738">
          <w:pPr>
            <w:pStyle w:val="TOC1"/>
            <w:tabs>
              <w:tab w:val="left" w:pos="442"/>
              <w:tab w:val="right" w:leader="dot" w:pos="9322"/>
            </w:tabs>
            <w:rPr>
              <w:rFonts w:asciiTheme="minorHAnsi" w:eastAsiaTheme="minorEastAsia" w:hAnsiTheme="minorHAnsi" w:cstheme="minorBidi"/>
              <w:noProof/>
              <w:lang w:eastAsia="en-GB"/>
            </w:rPr>
          </w:pPr>
          <w:hyperlink w:anchor="_Toc112319328" w:history="1">
            <w:r w:rsidR="00753AD8" w:rsidRPr="00740E92">
              <w:rPr>
                <w:rStyle w:val="Hyperlink"/>
                <w:noProof/>
              </w:rPr>
              <w:t>3.</w:t>
            </w:r>
            <w:r w:rsidR="00753AD8">
              <w:rPr>
                <w:rFonts w:asciiTheme="minorHAnsi" w:eastAsiaTheme="minorEastAsia" w:hAnsiTheme="minorHAnsi" w:cstheme="minorBidi"/>
                <w:noProof/>
                <w:lang w:eastAsia="en-GB"/>
              </w:rPr>
              <w:tab/>
            </w:r>
            <w:r w:rsidR="00753AD8" w:rsidRPr="00740E92">
              <w:rPr>
                <w:rStyle w:val="Hyperlink"/>
                <w:noProof/>
              </w:rPr>
              <w:t>Shared care responsibilities</w:t>
            </w:r>
            <w:r w:rsidR="00753AD8">
              <w:rPr>
                <w:noProof/>
                <w:webHidden/>
              </w:rPr>
              <w:tab/>
            </w:r>
            <w:r w:rsidR="00753AD8">
              <w:rPr>
                <w:noProof/>
                <w:webHidden/>
              </w:rPr>
              <w:fldChar w:fldCharType="begin"/>
            </w:r>
            <w:r w:rsidR="00753AD8">
              <w:rPr>
                <w:noProof/>
                <w:webHidden/>
              </w:rPr>
              <w:instrText xml:space="preserve"> PAGEREF _Toc112319328 \h </w:instrText>
            </w:r>
            <w:r w:rsidR="00753AD8">
              <w:rPr>
                <w:noProof/>
                <w:webHidden/>
              </w:rPr>
            </w:r>
            <w:r w:rsidR="00753AD8">
              <w:rPr>
                <w:noProof/>
                <w:webHidden/>
              </w:rPr>
              <w:fldChar w:fldCharType="separate"/>
            </w:r>
            <w:r>
              <w:rPr>
                <w:noProof/>
                <w:webHidden/>
              </w:rPr>
              <w:t>2</w:t>
            </w:r>
            <w:r w:rsidR="00753AD8">
              <w:rPr>
                <w:noProof/>
                <w:webHidden/>
              </w:rPr>
              <w:fldChar w:fldCharType="end"/>
            </w:r>
          </w:hyperlink>
        </w:p>
        <w:p w14:paraId="0983D1D6" w14:textId="0941CF11" w:rsidR="00753AD8" w:rsidRDefault="003C0738">
          <w:pPr>
            <w:pStyle w:val="TOC2"/>
            <w:tabs>
              <w:tab w:val="left" w:pos="880"/>
              <w:tab w:val="right" w:leader="dot" w:pos="9322"/>
            </w:tabs>
            <w:rPr>
              <w:rFonts w:asciiTheme="minorHAnsi" w:eastAsiaTheme="minorEastAsia" w:hAnsiTheme="minorHAnsi"/>
              <w:noProof/>
              <w:lang w:eastAsia="en-GB"/>
            </w:rPr>
          </w:pPr>
          <w:hyperlink w:anchor="_Toc112319329" w:history="1">
            <w:r w:rsidR="00753AD8" w:rsidRPr="00740E92">
              <w:rPr>
                <w:rStyle w:val="Hyperlink"/>
                <w:noProof/>
              </w:rPr>
              <w:t>3.1.</w:t>
            </w:r>
            <w:r w:rsidR="00753AD8">
              <w:rPr>
                <w:rFonts w:asciiTheme="minorHAnsi" w:eastAsiaTheme="minorEastAsia" w:hAnsiTheme="minorHAnsi"/>
                <w:noProof/>
                <w:lang w:eastAsia="en-GB"/>
              </w:rPr>
              <w:tab/>
            </w:r>
            <w:r w:rsidR="00753AD8" w:rsidRPr="00740E92">
              <w:rPr>
                <w:rStyle w:val="Hyperlink"/>
                <w:noProof/>
              </w:rPr>
              <w:t>Consultant and /or Specialist Nurse</w:t>
            </w:r>
            <w:r w:rsidR="00753AD8">
              <w:rPr>
                <w:noProof/>
                <w:webHidden/>
              </w:rPr>
              <w:tab/>
            </w:r>
            <w:r w:rsidR="00753AD8">
              <w:rPr>
                <w:noProof/>
                <w:webHidden/>
              </w:rPr>
              <w:fldChar w:fldCharType="begin"/>
            </w:r>
            <w:r w:rsidR="00753AD8">
              <w:rPr>
                <w:noProof/>
                <w:webHidden/>
              </w:rPr>
              <w:instrText xml:space="preserve"> PAGEREF _Toc112319329 \h </w:instrText>
            </w:r>
            <w:r w:rsidR="00753AD8">
              <w:rPr>
                <w:noProof/>
                <w:webHidden/>
              </w:rPr>
            </w:r>
            <w:r w:rsidR="00753AD8">
              <w:rPr>
                <w:noProof/>
                <w:webHidden/>
              </w:rPr>
              <w:fldChar w:fldCharType="separate"/>
            </w:r>
            <w:r>
              <w:rPr>
                <w:noProof/>
                <w:webHidden/>
              </w:rPr>
              <w:t>2</w:t>
            </w:r>
            <w:r w:rsidR="00753AD8">
              <w:rPr>
                <w:noProof/>
                <w:webHidden/>
              </w:rPr>
              <w:fldChar w:fldCharType="end"/>
            </w:r>
          </w:hyperlink>
        </w:p>
        <w:p w14:paraId="2115A8A1" w14:textId="7C51FBD0" w:rsidR="00753AD8" w:rsidRDefault="003C0738">
          <w:pPr>
            <w:pStyle w:val="TOC2"/>
            <w:tabs>
              <w:tab w:val="left" w:pos="880"/>
              <w:tab w:val="right" w:leader="dot" w:pos="9322"/>
            </w:tabs>
            <w:rPr>
              <w:rFonts w:asciiTheme="minorHAnsi" w:eastAsiaTheme="minorEastAsia" w:hAnsiTheme="minorHAnsi"/>
              <w:noProof/>
              <w:lang w:eastAsia="en-GB"/>
            </w:rPr>
          </w:pPr>
          <w:hyperlink w:anchor="_Toc112319330" w:history="1">
            <w:r w:rsidR="00753AD8" w:rsidRPr="00740E92">
              <w:rPr>
                <w:rStyle w:val="Hyperlink"/>
                <w:noProof/>
              </w:rPr>
              <w:t>3.2.</w:t>
            </w:r>
            <w:r w:rsidR="00753AD8">
              <w:rPr>
                <w:rFonts w:asciiTheme="minorHAnsi" w:eastAsiaTheme="minorEastAsia" w:hAnsiTheme="minorHAnsi"/>
                <w:noProof/>
                <w:lang w:eastAsia="en-GB"/>
              </w:rPr>
              <w:tab/>
            </w:r>
            <w:r w:rsidR="00753AD8" w:rsidRPr="00740E92">
              <w:rPr>
                <w:rStyle w:val="Hyperlink"/>
                <w:noProof/>
              </w:rPr>
              <w:t>General Practitioner</w:t>
            </w:r>
            <w:r w:rsidR="00753AD8">
              <w:rPr>
                <w:noProof/>
                <w:webHidden/>
              </w:rPr>
              <w:tab/>
            </w:r>
            <w:r w:rsidR="00753AD8">
              <w:rPr>
                <w:noProof/>
                <w:webHidden/>
              </w:rPr>
              <w:fldChar w:fldCharType="begin"/>
            </w:r>
            <w:r w:rsidR="00753AD8">
              <w:rPr>
                <w:noProof/>
                <w:webHidden/>
              </w:rPr>
              <w:instrText xml:space="preserve"> PAGEREF _Toc112319330 \h </w:instrText>
            </w:r>
            <w:r w:rsidR="00753AD8">
              <w:rPr>
                <w:noProof/>
                <w:webHidden/>
              </w:rPr>
            </w:r>
            <w:r w:rsidR="00753AD8">
              <w:rPr>
                <w:noProof/>
                <w:webHidden/>
              </w:rPr>
              <w:fldChar w:fldCharType="separate"/>
            </w:r>
            <w:r>
              <w:rPr>
                <w:noProof/>
                <w:webHidden/>
              </w:rPr>
              <w:t>3</w:t>
            </w:r>
            <w:r w:rsidR="00753AD8">
              <w:rPr>
                <w:noProof/>
                <w:webHidden/>
              </w:rPr>
              <w:fldChar w:fldCharType="end"/>
            </w:r>
          </w:hyperlink>
        </w:p>
        <w:p w14:paraId="56F2F091" w14:textId="712238EA" w:rsidR="00753AD8" w:rsidRDefault="003C0738">
          <w:pPr>
            <w:pStyle w:val="TOC2"/>
            <w:tabs>
              <w:tab w:val="left" w:pos="880"/>
              <w:tab w:val="right" w:leader="dot" w:pos="9322"/>
            </w:tabs>
            <w:rPr>
              <w:rFonts w:asciiTheme="minorHAnsi" w:eastAsiaTheme="minorEastAsia" w:hAnsiTheme="minorHAnsi"/>
              <w:noProof/>
              <w:lang w:eastAsia="en-GB"/>
            </w:rPr>
          </w:pPr>
          <w:hyperlink w:anchor="_Toc112319331" w:history="1">
            <w:r w:rsidR="00753AD8" w:rsidRPr="00740E92">
              <w:rPr>
                <w:rStyle w:val="Hyperlink"/>
                <w:noProof/>
              </w:rPr>
              <w:t>3.3.</w:t>
            </w:r>
            <w:r w:rsidR="00753AD8">
              <w:rPr>
                <w:rFonts w:asciiTheme="minorHAnsi" w:eastAsiaTheme="minorEastAsia" w:hAnsiTheme="minorHAnsi"/>
                <w:noProof/>
                <w:lang w:eastAsia="en-GB"/>
              </w:rPr>
              <w:tab/>
            </w:r>
            <w:r w:rsidR="00753AD8" w:rsidRPr="00740E92">
              <w:rPr>
                <w:rStyle w:val="Hyperlink"/>
                <w:noProof/>
              </w:rPr>
              <w:t>Patient responsibility</w:t>
            </w:r>
            <w:r w:rsidR="00753AD8">
              <w:rPr>
                <w:noProof/>
                <w:webHidden/>
              </w:rPr>
              <w:tab/>
            </w:r>
            <w:r w:rsidR="00753AD8">
              <w:rPr>
                <w:noProof/>
                <w:webHidden/>
              </w:rPr>
              <w:fldChar w:fldCharType="begin"/>
            </w:r>
            <w:r w:rsidR="00753AD8">
              <w:rPr>
                <w:noProof/>
                <w:webHidden/>
              </w:rPr>
              <w:instrText xml:space="preserve"> PAGEREF _Toc112319331 \h </w:instrText>
            </w:r>
            <w:r w:rsidR="00753AD8">
              <w:rPr>
                <w:noProof/>
                <w:webHidden/>
              </w:rPr>
            </w:r>
            <w:r w:rsidR="00753AD8">
              <w:rPr>
                <w:noProof/>
                <w:webHidden/>
              </w:rPr>
              <w:fldChar w:fldCharType="separate"/>
            </w:r>
            <w:r>
              <w:rPr>
                <w:noProof/>
                <w:webHidden/>
              </w:rPr>
              <w:t>3</w:t>
            </w:r>
            <w:r w:rsidR="00753AD8">
              <w:rPr>
                <w:noProof/>
                <w:webHidden/>
              </w:rPr>
              <w:fldChar w:fldCharType="end"/>
            </w:r>
          </w:hyperlink>
        </w:p>
        <w:p w14:paraId="4103E0D7" w14:textId="7BA920FC" w:rsidR="00753AD8" w:rsidRDefault="003C0738">
          <w:pPr>
            <w:pStyle w:val="TOC2"/>
            <w:tabs>
              <w:tab w:val="left" w:pos="880"/>
              <w:tab w:val="right" w:leader="dot" w:pos="9322"/>
            </w:tabs>
            <w:rPr>
              <w:rFonts w:asciiTheme="minorHAnsi" w:eastAsiaTheme="minorEastAsia" w:hAnsiTheme="minorHAnsi"/>
              <w:noProof/>
              <w:lang w:eastAsia="en-GB"/>
            </w:rPr>
          </w:pPr>
          <w:hyperlink w:anchor="_Toc112319332" w:history="1">
            <w:r w:rsidR="00753AD8" w:rsidRPr="00740E92">
              <w:rPr>
                <w:rStyle w:val="Hyperlink"/>
                <w:noProof/>
              </w:rPr>
              <w:t>3.4.</w:t>
            </w:r>
            <w:r w:rsidR="00753AD8">
              <w:rPr>
                <w:rFonts w:asciiTheme="minorHAnsi" w:eastAsiaTheme="minorEastAsia" w:hAnsiTheme="minorHAnsi"/>
                <w:noProof/>
                <w:lang w:eastAsia="en-GB"/>
              </w:rPr>
              <w:tab/>
            </w:r>
            <w:r w:rsidR="00753AD8" w:rsidRPr="00740E92">
              <w:rPr>
                <w:rStyle w:val="Hyperlink"/>
                <w:noProof/>
              </w:rPr>
              <w:t>Clinical Commissioning Group</w:t>
            </w:r>
            <w:r w:rsidR="00753AD8">
              <w:rPr>
                <w:noProof/>
                <w:webHidden/>
              </w:rPr>
              <w:tab/>
            </w:r>
            <w:r w:rsidR="00753AD8">
              <w:rPr>
                <w:noProof/>
                <w:webHidden/>
              </w:rPr>
              <w:fldChar w:fldCharType="begin"/>
            </w:r>
            <w:r w:rsidR="00753AD8">
              <w:rPr>
                <w:noProof/>
                <w:webHidden/>
              </w:rPr>
              <w:instrText xml:space="preserve"> PAGEREF _Toc112319332 \h </w:instrText>
            </w:r>
            <w:r w:rsidR="00753AD8">
              <w:rPr>
                <w:noProof/>
                <w:webHidden/>
              </w:rPr>
            </w:r>
            <w:r w:rsidR="00753AD8">
              <w:rPr>
                <w:noProof/>
                <w:webHidden/>
              </w:rPr>
              <w:fldChar w:fldCharType="separate"/>
            </w:r>
            <w:r>
              <w:rPr>
                <w:noProof/>
                <w:webHidden/>
              </w:rPr>
              <w:t>3</w:t>
            </w:r>
            <w:r w:rsidR="00753AD8">
              <w:rPr>
                <w:noProof/>
                <w:webHidden/>
              </w:rPr>
              <w:fldChar w:fldCharType="end"/>
            </w:r>
          </w:hyperlink>
        </w:p>
        <w:p w14:paraId="4CD55CBD" w14:textId="57E2C67F" w:rsidR="00753AD8" w:rsidRDefault="003C0738">
          <w:pPr>
            <w:pStyle w:val="TOC1"/>
            <w:tabs>
              <w:tab w:val="left" w:pos="442"/>
              <w:tab w:val="right" w:leader="dot" w:pos="9322"/>
            </w:tabs>
            <w:rPr>
              <w:rFonts w:asciiTheme="minorHAnsi" w:eastAsiaTheme="minorEastAsia" w:hAnsiTheme="minorHAnsi" w:cstheme="minorBidi"/>
              <w:noProof/>
              <w:lang w:eastAsia="en-GB"/>
            </w:rPr>
          </w:pPr>
          <w:hyperlink w:anchor="_Toc112319333" w:history="1">
            <w:r w:rsidR="00753AD8" w:rsidRPr="00740E92">
              <w:rPr>
                <w:rStyle w:val="Hyperlink"/>
                <w:noProof/>
              </w:rPr>
              <w:t>4.</w:t>
            </w:r>
            <w:r w:rsidR="00753AD8">
              <w:rPr>
                <w:rFonts w:asciiTheme="minorHAnsi" w:eastAsiaTheme="minorEastAsia" w:hAnsiTheme="minorHAnsi" w:cstheme="minorBidi"/>
                <w:noProof/>
                <w:lang w:eastAsia="en-GB"/>
              </w:rPr>
              <w:tab/>
            </w:r>
            <w:r w:rsidR="00753AD8" w:rsidRPr="00740E92">
              <w:rPr>
                <w:rStyle w:val="Hyperlink"/>
                <w:noProof/>
              </w:rPr>
              <w:t>Indications</w:t>
            </w:r>
            <w:r w:rsidR="00753AD8">
              <w:rPr>
                <w:noProof/>
                <w:webHidden/>
              </w:rPr>
              <w:tab/>
            </w:r>
            <w:r w:rsidR="00753AD8">
              <w:rPr>
                <w:noProof/>
                <w:webHidden/>
              </w:rPr>
              <w:fldChar w:fldCharType="begin"/>
            </w:r>
            <w:r w:rsidR="00753AD8">
              <w:rPr>
                <w:noProof/>
                <w:webHidden/>
              </w:rPr>
              <w:instrText xml:space="preserve"> PAGEREF _Toc112319333 \h </w:instrText>
            </w:r>
            <w:r w:rsidR="00753AD8">
              <w:rPr>
                <w:noProof/>
                <w:webHidden/>
              </w:rPr>
            </w:r>
            <w:r w:rsidR="00753AD8">
              <w:rPr>
                <w:noProof/>
                <w:webHidden/>
              </w:rPr>
              <w:fldChar w:fldCharType="separate"/>
            </w:r>
            <w:r>
              <w:rPr>
                <w:noProof/>
                <w:webHidden/>
              </w:rPr>
              <w:t>4</w:t>
            </w:r>
            <w:r w:rsidR="00753AD8">
              <w:rPr>
                <w:noProof/>
                <w:webHidden/>
              </w:rPr>
              <w:fldChar w:fldCharType="end"/>
            </w:r>
          </w:hyperlink>
        </w:p>
        <w:p w14:paraId="3053A730" w14:textId="59B30C9E" w:rsidR="00753AD8" w:rsidRDefault="003C0738">
          <w:pPr>
            <w:pStyle w:val="TOC1"/>
            <w:tabs>
              <w:tab w:val="left" w:pos="442"/>
              <w:tab w:val="right" w:leader="dot" w:pos="9322"/>
            </w:tabs>
            <w:rPr>
              <w:rFonts w:asciiTheme="minorHAnsi" w:eastAsiaTheme="minorEastAsia" w:hAnsiTheme="minorHAnsi" w:cstheme="minorBidi"/>
              <w:noProof/>
              <w:lang w:eastAsia="en-GB"/>
            </w:rPr>
          </w:pPr>
          <w:hyperlink w:anchor="_Toc112319334" w:history="1">
            <w:r w:rsidR="00753AD8" w:rsidRPr="00740E92">
              <w:rPr>
                <w:rStyle w:val="Hyperlink"/>
                <w:noProof/>
              </w:rPr>
              <w:t>5.</w:t>
            </w:r>
            <w:r w:rsidR="00753AD8">
              <w:rPr>
                <w:rFonts w:asciiTheme="minorHAnsi" w:eastAsiaTheme="minorEastAsia" w:hAnsiTheme="minorHAnsi" w:cstheme="minorBidi"/>
                <w:noProof/>
                <w:lang w:eastAsia="en-GB"/>
              </w:rPr>
              <w:tab/>
            </w:r>
            <w:r w:rsidR="00753AD8" w:rsidRPr="00740E92">
              <w:rPr>
                <w:rStyle w:val="Hyperlink"/>
                <w:noProof/>
              </w:rPr>
              <w:t>Dose and Administration</w:t>
            </w:r>
            <w:r w:rsidR="00753AD8">
              <w:rPr>
                <w:noProof/>
                <w:webHidden/>
              </w:rPr>
              <w:tab/>
            </w:r>
            <w:r w:rsidR="00753AD8">
              <w:rPr>
                <w:noProof/>
                <w:webHidden/>
              </w:rPr>
              <w:fldChar w:fldCharType="begin"/>
            </w:r>
            <w:r w:rsidR="00753AD8">
              <w:rPr>
                <w:noProof/>
                <w:webHidden/>
              </w:rPr>
              <w:instrText xml:space="preserve"> PAGEREF _Toc112319334 \h </w:instrText>
            </w:r>
            <w:r w:rsidR="00753AD8">
              <w:rPr>
                <w:noProof/>
                <w:webHidden/>
              </w:rPr>
            </w:r>
            <w:r w:rsidR="00753AD8">
              <w:rPr>
                <w:noProof/>
                <w:webHidden/>
              </w:rPr>
              <w:fldChar w:fldCharType="separate"/>
            </w:r>
            <w:r>
              <w:rPr>
                <w:noProof/>
                <w:webHidden/>
              </w:rPr>
              <w:t>4</w:t>
            </w:r>
            <w:r w:rsidR="00753AD8">
              <w:rPr>
                <w:noProof/>
                <w:webHidden/>
              </w:rPr>
              <w:fldChar w:fldCharType="end"/>
            </w:r>
          </w:hyperlink>
        </w:p>
        <w:p w14:paraId="14419ED4" w14:textId="787BA2CC" w:rsidR="00753AD8" w:rsidRDefault="003C0738">
          <w:pPr>
            <w:pStyle w:val="TOC1"/>
            <w:tabs>
              <w:tab w:val="left" w:pos="442"/>
              <w:tab w:val="right" w:leader="dot" w:pos="9322"/>
            </w:tabs>
            <w:rPr>
              <w:rFonts w:asciiTheme="minorHAnsi" w:eastAsiaTheme="minorEastAsia" w:hAnsiTheme="minorHAnsi" w:cstheme="minorBidi"/>
              <w:noProof/>
              <w:lang w:eastAsia="en-GB"/>
            </w:rPr>
          </w:pPr>
          <w:hyperlink w:anchor="_Toc112319335" w:history="1">
            <w:r w:rsidR="00753AD8" w:rsidRPr="00740E92">
              <w:rPr>
                <w:rStyle w:val="Hyperlink"/>
                <w:noProof/>
              </w:rPr>
              <w:t>6.</w:t>
            </w:r>
            <w:r w:rsidR="00753AD8">
              <w:rPr>
                <w:rFonts w:asciiTheme="minorHAnsi" w:eastAsiaTheme="minorEastAsia" w:hAnsiTheme="minorHAnsi" w:cstheme="minorBidi"/>
                <w:noProof/>
                <w:lang w:eastAsia="en-GB"/>
              </w:rPr>
              <w:tab/>
            </w:r>
            <w:r w:rsidR="00753AD8" w:rsidRPr="00740E92">
              <w:rPr>
                <w:rStyle w:val="Hyperlink"/>
                <w:noProof/>
              </w:rPr>
              <w:t>Adverse effects</w:t>
            </w:r>
            <w:r w:rsidR="00753AD8">
              <w:rPr>
                <w:noProof/>
                <w:webHidden/>
              </w:rPr>
              <w:tab/>
            </w:r>
            <w:r w:rsidR="00753AD8">
              <w:rPr>
                <w:noProof/>
                <w:webHidden/>
              </w:rPr>
              <w:fldChar w:fldCharType="begin"/>
            </w:r>
            <w:r w:rsidR="00753AD8">
              <w:rPr>
                <w:noProof/>
                <w:webHidden/>
              </w:rPr>
              <w:instrText xml:space="preserve"> PAGEREF _Toc112319335 \h </w:instrText>
            </w:r>
            <w:r w:rsidR="00753AD8">
              <w:rPr>
                <w:noProof/>
                <w:webHidden/>
              </w:rPr>
            </w:r>
            <w:r w:rsidR="00753AD8">
              <w:rPr>
                <w:noProof/>
                <w:webHidden/>
              </w:rPr>
              <w:fldChar w:fldCharType="separate"/>
            </w:r>
            <w:r>
              <w:rPr>
                <w:noProof/>
                <w:webHidden/>
              </w:rPr>
              <w:t>5</w:t>
            </w:r>
            <w:r w:rsidR="00753AD8">
              <w:rPr>
                <w:noProof/>
                <w:webHidden/>
              </w:rPr>
              <w:fldChar w:fldCharType="end"/>
            </w:r>
          </w:hyperlink>
        </w:p>
        <w:p w14:paraId="3476DBF2" w14:textId="2FB525D8" w:rsidR="00753AD8" w:rsidRDefault="003C0738">
          <w:pPr>
            <w:pStyle w:val="TOC1"/>
            <w:tabs>
              <w:tab w:val="left" w:pos="442"/>
              <w:tab w:val="right" w:leader="dot" w:pos="9322"/>
            </w:tabs>
            <w:rPr>
              <w:rFonts w:asciiTheme="minorHAnsi" w:eastAsiaTheme="minorEastAsia" w:hAnsiTheme="minorHAnsi" w:cstheme="minorBidi"/>
              <w:noProof/>
              <w:lang w:eastAsia="en-GB"/>
            </w:rPr>
          </w:pPr>
          <w:hyperlink w:anchor="_Toc112319336" w:history="1">
            <w:r w:rsidR="00753AD8" w:rsidRPr="00740E92">
              <w:rPr>
                <w:rStyle w:val="Hyperlink"/>
                <w:noProof/>
              </w:rPr>
              <w:t>7.</w:t>
            </w:r>
            <w:r w:rsidR="00753AD8">
              <w:rPr>
                <w:rFonts w:asciiTheme="minorHAnsi" w:eastAsiaTheme="minorEastAsia" w:hAnsiTheme="minorHAnsi" w:cstheme="minorBidi"/>
                <w:noProof/>
                <w:lang w:eastAsia="en-GB"/>
              </w:rPr>
              <w:tab/>
            </w:r>
            <w:r w:rsidR="00753AD8" w:rsidRPr="00740E92">
              <w:rPr>
                <w:rStyle w:val="Hyperlink"/>
                <w:noProof/>
              </w:rPr>
              <w:t>Cautions</w:t>
            </w:r>
            <w:r w:rsidR="00753AD8">
              <w:rPr>
                <w:noProof/>
                <w:webHidden/>
              </w:rPr>
              <w:tab/>
            </w:r>
            <w:r w:rsidR="00753AD8">
              <w:rPr>
                <w:noProof/>
                <w:webHidden/>
              </w:rPr>
              <w:fldChar w:fldCharType="begin"/>
            </w:r>
            <w:r w:rsidR="00753AD8">
              <w:rPr>
                <w:noProof/>
                <w:webHidden/>
              </w:rPr>
              <w:instrText xml:space="preserve"> PAGEREF _Toc112319336 \h </w:instrText>
            </w:r>
            <w:r w:rsidR="00753AD8">
              <w:rPr>
                <w:noProof/>
                <w:webHidden/>
              </w:rPr>
            </w:r>
            <w:r w:rsidR="00753AD8">
              <w:rPr>
                <w:noProof/>
                <w:webHidden/>
              </w:rPr>
              <w:fldChar w:fldCharType="separate"/>
            </w:r>
            <w:r>
              <w:rPr>
                <w:noProof/>
                <w:webHidden/>
              </w:rPr>
              <w:t>6</w:t>
            </w:r>
            <w:r w:rsidR="00753AD8">
              <w:rPr>
                <w:noProof/>
                <w:webHidden/>
              </w:rPr>
              <w:fldChar w:fldCharType="end"/>
            </w:r>
          </w:hyperlink>
        </w:p>
        <w:p w14:paraId="4EE09DD7" w14:textId="788FE4D9" w:rsidR="00753AD8" w:rsidRDefault="003C0738">
          <w:pPr>
            <w:pStyle w:val="TOC1"/>
            <w:tabs>
              <w:tab w:val="left" w:pos="442"/>
              <w:tab w:val="right" w:leader="dot" w:pos="9322"/>
            </w:tabs>
            <w:rPr>
              <w:rFonts w:asciiTheme="minorHAnsi" w:eastAsiaTheme="minorEastAsia" w:hAnsiTheme="minorHAnsi" w:cstheme="minorBidi"/>
              <w:noProof/>
              <w:lang w:eastAsia="en-GB"/>
            </w:rPr>
          </w:pPr>
          <w:hyperlink w:anchor="_Toc112319337" w:history="1">
            <w:r w:rsidR="00753AD8" w:rsidRPr="00740E92">
              <w:rPr>
                <w:rStyle w:val="Hyperlink"/>
                <w:noProof/>
              </w:rPr>
              <w:t>8.</w:t>
            </w:r>
            <w:r w:rsidR="00753AD8">
              <w:rPr>
                <w:rFonts w:asciiTheme="minorHAnsi" w:eastAsiaTheme="minorEastAsia" w:hAnsiTheme="minorHAnsi" w:cstheme="minorBidi"/>
                <w:noProof/>
                <w:lang w:eastAsia="en-GB"/>
              </w:rPr>
              <w:tab/>
            </w:r>
            <w:r w:rsidR="00753AD8" w:rsidRPr="00740E92">
              <w:rPr>
                <w:rStyle w:val="Hyperlink"/>
                <w:noProof/>
              </w:rPr>
              <w:t>Clinical Monitoring</w:t>
            </w:r>
            <w:r w:rsidR="00753AD8">
              <w:rPr>
                <w:noProof/>
                <w:webHidden/>
              </w:rPr>
              <w:tab/>
            </w:r>
            <w:r w:rsidR="00753AD8">
              <w:rPr>
                <w:noProof/>
                <w:webHidden/>
              </w:rPr>
              <w:fldChar w:fldCharType="begin"/>
            </w:r>
            <w:r w:rsidR="00753AD8">
              <w:rPr>
                <w:noProof/>
                <w:webHidden/>
              </w:rPr>
              <w:instrText xml:space="preserve"> PAGEREF _Toc112319337 \h </w:instrText>
            </w:r>
            <w:r w:rsidR="00753AD8">
              <w:rPr>
                <w:noProof/>
                <w:webHidden/>
              </w:rPr>
            </w:r>
            <w:r w:rsidR="00753AD8">
              <w:rPr>
                <w:noProof/>
                <w:webHidden/>
              </w:rPr>
              <w:fldChar w:fldCharType="separate"/>
            </w:r>
            <w:r>
              <w:rPr>
                <w:noProof/>
                <w:webHidden/>
              </w:rPr>
              <w:t>6</w:t>
            </w:r>
            <w:r w:rsidR="00753AD8">
              <w:rPr>
                <w:noProof/>
                <w:webHidden/>
              </w:rPr>
              <w:fldChar w:fldCharType="end"/>
            </w:r>
          </w:hyperlink>
        </w:p>
        <w:p w14:paraId="1A143386" w14:textId="3D0DDB28" w:rsidR="00753AD8" w:rsidRDefault="003C0738">
          <w:pPr>
            <w:pStyle w:val="TOC1"/>
            <w:tabs>
              <w:tab w:val="left" w:pos="442"/>
              <w:tab w:val="right" w:leader="dot" w:pos="9322"/>
            </w:tabs>
            <w:rPr>
              <w:rFonts w:asciiTheme="minorHAnsi" w:eastAsiaTheme="minorEastAsia" w:hAnsiTheme="minorHAnsi" w:cstheme="minorBidi"/>
              <w:noProof/>
              <w:lang w:eastAsia="en-GB"/>
            </w:rPr>
          </w:pPr>
          <w:hyperlink w:anchor="_Toc112319338" w:history="1">
            <w:r w:rsidR="00753AD8" w:rsidRPr="00740E92">
              <w:rPr>
                <w:rStyle w:val="Hyperlink"/>
                <w:noProof/>
              </w:rPr>
              <w:t>9.</w:t>
            </w:r>
            <w:r w:rsidR="00753AD8">
              <w:rPr>
                <w:rFonts w:asciiTheme="minorHAnsi" w:eastAsiaTheme="minorEastAsia" w:hAnsiTheme="minorHAnsi" w:cstheme="minorBidi"/>
                <w:noProof/>
                <w:lang w:eastAsia="en-GB"/>
              </w:rPr>
              <w:tab/>
            </w:r>
            <w:r w:rsidR="00753AD8" w:rsidRPr="00740E92">
              <w:rPr>
                <w:rStyle w:val="Hyperlink"/>
                <w:noProof/>
              </w:rPr>
              <w:t>Contraindications</w:t>
            </w:r>
            <w:r w:rsidR="00753AD8">
              <w:rPr>
                <w:noProof/>
                <w:webHidden/>
              </w:rPr>
              <w:tab/>
            </w:r>
            <w:r w:rsidR="00753AD8">
              <w:rPr>
                <w:noProof/>
                <w:webHidden/>
              </w:rPr>
              <w:fldChar w:fldCharType="begin"/>
            </w:r>
            <w:r w:rsidR="00753AD8">
              <w:rPr>
                <w:noProof/>
                <w:webHidden/>
              </w:rPr>
              <w:instrText xml:space="preserve"> PAGEREF _Toc112319338 \h </w:instrText>
            </w:r>
            <w:r w:rsidR="00753AD8">
              <w:rPr>
                <w:noProof/>
                <w:webHidden/>
              </w:rPr>
            </w:r>
            <w:r w:rsidR="00753AD8">
              <w:rPr>
                <w:noProof/>
                <w:webHidden/>
              </w:rPr>
              <w:fldChar w:fldCharType="separate"/>
            </w:r>
            <w:r>
              <w:rPr>
                <w:noProof/>
                <w:webHidden/>
              </w:rPr>
              <w:t>6</w:t>
            </w:r>
            <w:r w:rsidR="00753AD8">
              <w:rPr>
                <w:noProof/>
                <w:webHidden/>
              </w:rPr>
              <w:fldChar w:fldCharType="end"/>
            </w:r>
          </w:hyperlink>
        </w:p>
        <w:p w14:paraId="14095D2C" w14:textId="4CA79847" w:rsidR="00753AD8" w:rsidRDefault="003C0738">
          <w:pPr>
            <w:pStyle w:val="TOC1"/>
            <w:tabs>
              <w:tab w:val="left" w:pos="660"/>
              <w:tab w:val="right" w:leader="dot" w:pos="9322"/>
            </w:tabs>
            <w:rPr>
              <w:rFonts w:asciiTheme="minorHAnsi" w:eastAsiaTheme="minorEastAsia" w:hAnsiTheme="minorHAnsi" w:cstheme="minorBidi"/>
              <w:noProof/>
              <w:lang w:eastAsia="en-GB"/>
            </w:rPr>
          </w:pPr>
          <w:hyperlink w:anchor="_Toc112319339" w:history="1">
            <w:r w:rsidR="00753AD8" w:rsidRPr="00740E92">
              <w:rPr>
                <w:rStyle w:val="Hyperlink"/>
                <w:noProof/>
              </w:rPr>
              <w:t>10.</w:t>
            </w:r>
            <w:r w:rsidR="00753AD8">
              <w:rPr>
                <w:rFonts w:asciiTheme="minorHAnsi" w:eastAsiaTheme="minorEastAsia" w:hAnsiTheme="minorHAnsi" w:cstheme="minorBidi"/>
                <w:noProof/>
                <w:lang w:eastAsia="en-GB"/>
              </w:rPr>
              <w:tab/>
            </w:r>
            <w:r w:rsidR="00753AD8" w:rsidRPr="00740E92">
              <w:rPr>
                <w:rStyle w:val="Hyperlink"/>
                <w:noProof/>
              </w:rPr>
              <w:t>Drug Interactions</w:t>
            </w:r>
            <w:r w:rsidR="00753AD8">
              <w:rPr>
                <w:noProof/>
                <w:webHidden/>
              </w:rPr>
              <w:tab/>
            </w:r>
            <w:r w:rsidR="00753AD8">
              <w:rPr>
                <w:noProof/>
                <w:webHidden/>
              </w:rPr>
              <w:fldChar w:fldCharType="begin"/>
            </w:r>
            <w:r w:rsidR="00753AD8">
              <w:rPr>
                <w:noProof/>
                <w:webHidden/>
              </w:rPr>
              <w:instrText xml:space="preserve"> PAGEREF _Toc112319339 \h </w:instrText>
            </w:r>
            <w:r w:rsidR="00753AD8">
              <w:rPr>
                <w:noProof/>
                <w:webHidden/>
              </w:rPr>
            </w:r>
            <w:r w:rsidR="00753AD8">
              <w:rPr>
                <w:noProof/>
                <w:webHidden/>
              </w:rPr>
              <w:fldChar w:fldCharType="separate"/>
            </w:r>
            <w:r>
              <w:rPr>
                <w:noProof/>
                <w:webHidden/>
              </w:rPr>
              <w:t>6</w:t>
            </w:r>
            <w:r w:rsidR="00753AD8">
              <w:rPr>
                <w:noProof/>
                <w:webHidden/>
              </w:rPr>
              <w:fldChar w:fldCharType="end"/>
            </w:r>
          </w:hyperlink>
        </w:p>
        <w:p w14:paraId="46480B05" w14:textId="4365A9E0" w:rsidR="00753AD8" w:rsidRDefault="003C0738">
          <w:pPr>
            <w:pStyle w:val="TOC1"/>
            <w:tabs>
              <w:tab w:val="left" w:pos="660"/>
              <w:tab w:val="right" w:leader="dot" w:pos="9322"/>
            </w:tabs>
            <w:rPr>
              <w:rFonts w:asciiTheme="minorHAnsi" w:eastAsiaTheme="minorEastAsia" w:hAnsiTheme="minorHAnsi" w:cstheme="minorBidi"/>
              <w:noProof/>
              <w:lang w:eastAsia="en-GB"/>
            </w:rPr>
          </w:pPr>
          <w:hyperlink w:anchor="_Toc112319340" w:history="1">
            <w:r w:rsidR="00753AD8" w:rsidRPr="00740E92">
              <w:rPr>
                <w:rStyle w:val="Hyperlink"/>
                <w:noProof/>
              </w:rPr>
              <w:t>11.</w:t>
            </w:r>
            <w:r w:rsidR="00753AD8">
              <w:rPr>
                <w:rFonts w:asciiTheme="minorHAnsi" w:eastAsiaTheme="minorEastAsia" w:hAnsiTheme="minorHAnsi" w:cstheme="minorBidi"/>
                <w:noProof/>
                <w:lang w:eastAsia="en-GB"/>
              </w:rPr>
              <w:tab/>
            </w:r>
            <w:r w:rsidR="00753AD8" w:rsidRPr="00740E92">
              <w:rPr>
                <w:rStyle w:val="Hyperlink"/>
                <w:noProof/>
              </w:rPr>
              <w:t>References</w:t>
            </w:r>
            <w:r w:rsidR="00753AD8">
              <w:rPr>
                <w:noProof/>
                <w:webHidden/>
              </w:rPr>
              <w:tab/>
            </w:r>
            <w:r w:rsidR="00753AD8">
              <w:rPr>
                <w:noProof/>
                <w:webHidden/>
              </w:rPr>
              <w:fldChar w:fldCharType="begin"/>
            </w:r>
            <w:r w:rsidR="00753AD8">
              <w:rPr>
                <w:noProof/>
                <w:webHidden/>
              </w:rPr>
              <w:instrText xml:space="preserve"> PAGEREF _Toc112319340 \h </w:instrText>
            </w:r>
            <w:r w:rsidR="00753AD8">
              <w:rPr>
                <w:noProof/>
                <w:webHidden/>
              </w:rPr>
            </w:r>
            <w:r w:rsidR="00753AD8">
              <w:rPr>
                <w:noProof/>
                <w:webHidden/>
              </w:rPr>
              <w:fldChar w:fldCharType="separate"/>
            </w:r>
            <w:r>
              <w:rPr>
                <w:noProof/>
                <w:webHidden/>
              </w:rPr>
              <w:t>8</w:t>
            </w:r>
            <w:r w:rsidR="00753AD8">
              <w:rPr>
                <w:noProof/>
                <w:webHidden/>
              </w:rPr>
              <w:fldChar w:fldCharType="end"/>
            </w:r>
          </w:hyperlink>
        </w:p>
        <w:p w14:paraId="54DB94D5" w14:textId="6E5C404C" w:rsidR="00753AD8" w:rsidRDefault="003C0738">
          <w:pPr>
            <w:pStyle w:val="TOC1"/>
            <w:tabs>
              <w:tab w:val="left" w:pos="660"/>
              <w:tab w:val="right" w:leader="dot" w:pos="9322"/>
            </w:tabs>
            <w:rPr>
              <w:rFonts w:asciiTheme="minorHAnsi" w:eastAsiaTheme="minorEastAsia" w:hAnsiTheme="minorHAnsi" w:cstheme="minorBidi"/>
              <w:noProof/>
              <w:lang w:eastAsia="en-GB"/>
            </w:rPr>
          </w:pPr>
          <w:hyperlink w:anchor="_Toc112319341" w:history="1">
            <w:r w:rsidR="00753AD8" w:rsidRPr="00740E92">
              <w:rPr>
                <w:rStyle w:val="Hyperlink"/>
                <w:noProof/>
              </w:rPr>
              <w:t>12.</w:t>
            </w:r>
            <w:r w:rsidR="00753AD8">
              <w:rPr>
                <w:rFonts w:asciiTheme="minorHAnsi" w:eastAsiaTheme="minorEastAsia" w:hAnsiTheme="minorHAnsi" w:cstheme="minorBidi"/>
                <w:noProof/>
                <w:lang w:eastAsia="en-GB"/>
              </w:rPr>
              <w:tab/>
            </w:r>
            <w:r w:rsidR="00753AD8" w:rsidRPr="00740E92">
              <w:rPr>
                <w:rStyle w:val="Hyperlink"/>
                <w:noProof/>
              </w:rPr>
              <w:t>Contact Details</w:t>
            </w:r>
            <w:r w:rsidR="00753AD8">
              <w:rPr>
                <w:noProof/>
                <w:webHidden/>
              </w:rPr>
              <w:tab/>
            </w:r>
            <w:r w:rsidR="00753AD8">
              <w:rPr>
                <w:noProof/>
                <w:webHidden/>
              </w:rPr>
              <w:fldChar w:fldCharType="begin"/>
            </w:r>
            <w:r w:rsidR="00753AD8">
              <w:rPr>
                <w:noProof/>
                <w:webHidden/>
              </w:rPr>
              <w:instrText xml:space="preserve"> PAGEREF _Toc112319341 \h </w:instrText>
            </w:r>
            <w:r w:rsidR="00753AD8">
              <w:rPr>
                <w:noProof/>
                <w:webHidden/>
              </w:rPr>
            </w:r>
            <w:r w:rsidR="00753AD8">
              <w:rPr>
                <w:noProof/>
                <w:webHidden/>
              </w:rPr>
              <w:fldChar w:fldCharType="separate"/>
            </w:r>
            <w:r>
              <w:rPr>
                <w:noProof/>
                <w:webHidden/>
              </w:rPr>
              <w:t>8</w:t>
            </w:r>
            <w:r w:rsidR="00753AD8">
              <w:rPr>
                <w:noProof/>
                <w:webHidden/>
              </w:rPr>
              <w:fldChar w:fldCharType="end"/>
            </w:r>
          </w:hyperlink>
        </w:p>
        <w:p w14:paraId="06E99D4D" w14:textId="10ADB3AA" w:rsidR="00753AD8" w:rsidRDefault="003C0738">
          <w:pPr>
            <w:pStyle w:val="TOC1"/>
            <w:tabs>
              <w:tab w:val="right" w:leader="dot" w:pos="9322"/>
            </w:tabs>
            <w:rPr>
              <w:rFonts w:asciiTheme="minorHAnsi" w:eastAsiaTheme="minorEastAsia" w:hAnsiTheme="minorHAnsi" w:cstheme="minorBidi"/>
              <w:noProof/>
              <w:lang w:eastAsia="en-GB"/>
            </w:rPr>
          </w:pPr>
          <w:hyperlink w:anchor="_Toc112319342" w:history="1">
            <w:r w:rsidR="00753AD8" w:rsidRPr="00740E92">
              <w:rPr>
                <w:rStyle w:val="Hyperlink"/>
                <w:noProof/>
              </w:rPr>
              <w:t>Appendix 1: Cenobamate transfer form: from [Trust] to GP practice</w:t>
            </w:r>
            <w:r w:rsidR="00753AD8">
              <w:rPr>
                <w:noProof/>
                <w:webHidden/>
              </w:rPr>
              <w:tab/>
            </w:r>
            <w:r w:rsidR="00753AD8">
              <w:rPr>
                <w:noProof/>
                <w:webHidden/>
              </w:rPr>
              <w:fldChar w:fldCharType="begin"/>
            </w:r>
            <w:r w:rsidR="00753AD8">
              <w:rPr>
                <w:noProof/>
                <w:webHidden/>
              </w:rPr>
              <w:instrText xml:space="preserve"> PAGEREF _Toc112319342 \h </w:instrText>
            </w:r>
            <w:r w:rsidR="00753AD8">
              <w:rPr>
                <w:noProof/>
                <w:webHidden/>
              </w:rPr>
            </w:r>
            <w:r w:rsidR="00753AD8">
              <w:rPr>
                <w:noProof/>
                <w:webHidden/>
              </w:rPr>
              <w:fldChar w:fldCharType="separate"/>
            </w:r>
            <w:r>
              <w:rPr>
                <w:noProof/>
                <w:webHidden/>
              </w:rPr>
              <w:t>10</w:t>
            </w:r>
            <w:r w:rsidR="00753AD8">
              <w:rPr>
                <w:noProof/>
                <w:webHidden/>
              </w:rPr>
              <w:fldChar w:fldCharType="end"/>
            </w:r>
          </w:hyperlink>
        </w:p>
        <w:p w14:paraId="7B0A9322" w14:textId="055DD640" w:rsidR="00753AD8" w:rsidRDefault="00753AD8">
          <w:r>
            <w:rPr>
              <w:b/>
              <w:bCs/>
              <w:noProof/>
            </w:rPr>
            <w:fldChar w:fldCharType="end"/>
          </w:r>
        </w:p>
      </w:sdtContent>
    </w:sdt>
    <w:p w14:paraId="5312D02B" w14:textId="77777777" w:rsidR="008A5E15" w:rsidRPr="00E70CFD" w:rsidRDefault="008A5E15" w:rsidP="00ED5B2E">
      <w:pPr>
        <w:pStyle w:val="NCLBodyText"/>
      </w:pPr>
    </w:p>
    <w:p w14:paraId="13C8D1DF" w14:textId="5B1A8F88" w:rsidR="00367357" w:rsidRPr="00E70CFD" w:rsidRDefault="00D46B50" w:rsidP="00D46B50">
      <w:pPr>
        <w:pStyle w:val="NCLHeading1"/>
      </w:pPr>
      <w:bookmarkStart w:id="0" w:name="_Toc112319326"/>
      <w:r w:rsidRPr="00E70CFD">
        <w:lastRenderedPageBreak/>
        <w:t>Introduction</w:t>
      </w:r>
      <w:bookmarkEnd w:id="0"/>
      <w:r w:rsidRPr="00E70CFD">
        <w:t xml:space="preserve"> </w:t>
      </w:r>
    </w:p>
    <w:p w14:paraId="1A282018" w14:textId="2FA9AAAF" w:rsidR="00D46B50" w:rsidRPr="00E70CFD" w:rsidRDefault="00D46B50" w:rsidP="00D46B50">
      <w:pPr>
        <w:pStyle w:val="NCLBodyText"/>
      </w:pPr>
      <w:r w:rsidRPr="00E70CFD">
        <w:t xml:space="preserve">This document </w:t>
      </w:r>
      <w:r w:rsidR="006B4320" w:rsidRPr="00E70CFD">
        <w:t>provides information on</w:t>
      </w:r>
      <w:r w:rsidRPr="00E70CFD">
        <w:t xml:space="preserve"> clinical and legal responsibility for prescribing this drug.</w:t>
      </w:r>
    </w:p>
    <w:p w14:paraId="10640885" w14:textId="16419C23" w:rsidR="00D46B50" w:rsidRPr="00E70CFD" w:rsidRDefault="00627CFA" w:rsidP="00D46B50">
      <w:pPr>
        <w:pStyle w:val="NCLBodyText"/>
      </w:pPr>
      <w:r w:rsidRPr="00E70CFD">
        <w:t>Cenobamate</w:t>
      </w:r>
      <w:r w:rsidR="00753B49" w:rsidRPr="00E70CFD">
        <w:t xml:space="preserve"> is</w:t>
      </w:r>
      <w:r w:rsidR="00003B7B" w:rsidRPr="00E70CFD">
        <w:t xml:space="preserve"> an</w:t>
      </w:r>
      <w:r w:rsidR="00753B49" w:rsidRPr="00E70CFD">
        <w:t xml:space="preserve"> </w:t>
      </w:r>
      <w:r w:rsidR="00003B7B" w:rsidRPr="00E70CFD">
        <w:t>anti</w:t>
      </w:r>
      <w:r w:rsidR="003E4E44" w:rsidRPr="00E70CFD">
        <w:t>-</w:t>
      </w:r>
      <w:r w:rsidR="005E3554" w:rsidRPr="00E70CFD">
        <w:t xml:space="preserve">seizure </w:t>
      </w:r>
      <w:r w:rsidR="00003B7B" w:rsidRPr="00E70CFD">
        <w:t xml:space="preserve">medication developed </w:t>
      </w:r>
      <w:r w:rsidR="005E3554" w:rsidRPr="00E70CFD">
        <w:t>to treat</w:t>
      </w:r>
      <w:r w:rsidR="00003B7B" w:rsidRPr="00E70CFD">
        <w:t xml:space="preserve"> focal </w:t>
      </w:r>
      <w:r w:rsidR="005E3554" w:rsidRPr="00E70CFD">
        <w:t xml:space="preserve">epileptic </w:t>
      </w:r>
      <w:r w:rsidR="00003B7B" w:rsidRPr="00E70CFD">
        <w:t>seizures.</w:t>
      </w:r>
      <w:r w:rsidR="006F54F7" w:rsidRPr="00E70CFD">
        <w:rPr>
          <w:vertAlign w:val="superscript"/>
        </w:rPr>
        <w:t>1</w:t>
      </w:r>
      <w:r w:rsidR="00003B7B" w:rsidRPr="00E70CFD">
        <w:t xml:space="preserve"> </w:t>
      </w:r>
      <w:r w:rsidR="005E3554" w:rsidRPr="00E70CFD">
        <w:t>T</w:t>
      </w:r>
      <w:r w:rsidR="00003B7B" w:rsidRPr="00E70CFD">
        <w:t>he precise mechanism of action by which cenobamate exercises its therapeutic effects is unknown</w:t>
      </w:r>
      <w:r w:rsidR="006B4320" w:rsidRPr="00E70CFD">
        <w:t>, although an effect on both GABA and sodium channels has been proposed</w:t>
      </w:r>
      <w:r w:rsidR="00003B7B" w:rsidRPr="00E70CFD">
        <w:t>.</w:t>
      </w:r>
      <w:r w:rsidR="006F54F7" w:rsidRPr="00E70CFD">
        <w:rPr>
          <w:vertAlign w:val="superscript"/>
        </w:rPr>
        <w:t xml:space="preserve"> 1</w:t>
      </w:r>
    </w:p>
    <w:p w14:paraId="00F044CE" w14:textId="20E7A4A5" w:rsidR="00D46B50" w:rsidRPr="00E70CFD" w:rsidRDefault="00627CFA" w:rsidP="00D46B50">
      <w:pPr>
        <w:pStyle w:val="NCLBodyText"/>
      </w:pPr>
      <w:bookmarkStart w:id="1" w:name="_Hlk97632295"/>
      <w:r w:rsidRPr="00E70CFD">
        <w:t xml:space="preserve">Cenobamate is </w:t>
      </w:r>
      <w:r w:rsidR="00EC2713" w:rsidRPr="00E70CFD">
        <w:t>on the NCL Joint Formulary</w:t>
      </w:r>
      <w:r w:rsidRPr="00E70CFD">
        <w:t xml:space="preserve"> as an option for treating focal seizures with or without secondary generalis</w:t>
      </w:r>
      <w:r w:rsidR="007D4EB3" w:rsidRPr="00E70CFD">
        <w:t>ation</w:t>
      </w:r>
      <w:r w:rsidRPr="00E70CFD">
        <w:t xml:space="preserve"> in adults with drug-resistant epilepsy not adequately controlled </w:t>
      </w:r>
      <w:r w:rsidR="000A0DA0" w:rsidRPr="00E70CFD">
        <w:t xml:space="preserve">having tried </w:t>
      </w:r>
      <w:r w:rsidRPr="00E70CFD">
        <w:t xml:space="preserve">at least </w:t>
      </w:r>
      <w:r w:rsidR="000A0DA0" w:rsidRPr="00E70CFD">
        <w:t xml:space="preserve">two </w:t>
      </w:r>
      <w:r w:rsidRPr="00E70CFD">
        <w:t>anti</w:t>
      </w:r>
      <w:r w:rsidR="005E3554" w:rsidRPr="00E70CFD">
        <w:t>seizure</w:t>
      </w:r>
      <w:r w:rsidR="007D4EB3" w:rsidRPr="00E70CFD">
        <w:t xml:space="preserve"> medication</w:t>
      </w:r>
      <w:r w:rsidR="005E3554" w:rsidRPr="00E70CFD">
        <w:t>s</w:t>
      </w:r>
      <w:r w:rsidR="00003B7B" w:rsidRPr="00E70CFD">
        <w:t xml:space="preserve"> (see </w:t>
      </w:r>
      <w:hyperlink r:id="rId12" w:history="1">
        <w:r w:rsidR="00003B7B" w:rsidRPr="00E70CFD">
          <w:rPr>
            <w:rStyle w:val="Hyperlink"/>
          </w:rPr>
          <w:t>NICETA753</w:t>
        </w:r>
      </w:hyperlink>
      <w:r w:rsidR="00003B7B" w:rsidRPr="00E70CFD">
        <w:t>)</w:t>
      </w:r>
      <w:r w:rsidRPr="00E70CFD">
        <w:t>.</w:t>
      </w:r>
      <w:r w:rsidR="006F54F7" w:rsidRPr="00E70CFD">
        <w:rPr>
          <w:vertAlign w:val="superscript"/>
        </w:rPr>
        <w:t xml:space="preserve"> 2</w:t>
      </w:r>
      <w:r w:rsidRPr="00E70CFD">
        <w:t xml:space="preserve"> It is recommended only to be used as an ad</w:t>
      </w:r>
      <w:r w:rsidR="007D4EB3" w:rsidRPr="00E70CFD">
        <w:t>junctive</w:t>
      </w:r>
      <w:r w:rsidRPr="00E70CFD">
        <w:t xml:space="preserve"> treatment, after at least </w:t>
      </w:r>
      <w:r w:rsidR="000A0DA0" w:rsidRPr="00E70CFD">
        <w:t xml:space="preserve">one </w:t>
      </w:r>
      <w:r w:rsidRPr="00E70CFD">
        <w:t>other add-on treatment has not controlled seizures.</w:t>
      </w:r>
      <w:bookmarkStart w:id="2" w:name="_Hlk97648169"/>
      <w:r w:rsidR="006F54F7" w:rsidRPr="00E70CFD">
        <w:rPr>
          <w:vertAlign w:val="superscript"/>
        </w:rPr>
        <w:t>2</w:t>
      </w:r>
      <w:bookmarkEnd w:id="2"/>
    </w:p>
    <w:bookmarkEnd w:id="1"/>
    <w:p w14:paraId="1C8C553A" w14:textId="6F2F1592" w:rsidR="00D46B50" w:rsidRPr="00E70CFD" w:rsidRDefault="00D46B50" w:rsidP="00D46B50">
      <w:pPr>
        <w:pStyle w:val="NCLBodyText"/>
        <w:rPr>
          <w:rFonts w:cs="Arial"/>
        </w:rPr>
      </w:pPr>
      <w:r w:rsidRPr="00E70CFD">
        <w:rPr>
          <w:rFonts w:cs="Arial"/>
        </w:rPr>
        <w:t xml:space="preserve">Progressing to a stable, optimal dose usually takes approximately </w:t>
      </w:r>
      <w:r w:rsidR="00627CFA" w:rsidRPr="00E70CFD">
        <w:rPr>
          <w:rFonts w:cs="Arial"/>
        </w:rPr>
        <w:t>1</w:t>
      </w:r>
      <w:r w:rsidR="00834007" w:rsidRPr="00E70CFD">
        <w:rPr>
          <w:rFonts w:cs="Arial"/>
        </w:rPr>
        <w:t xml:space="preserve">1 </w:t>
      </w:r>
      <w:r w:rsidR="00627CFA" w:rsidRPr="00E70CFD">
        <w:rPr>
          <w:rFonts w:cs="Arial"/>
        </w:rPr>
        <w:t>weeks.</w:t>
      </w:r>
      <w:r w:rsidRPr="00E70CFD">
        <w:rPr>
          <w:rFonts w:cs="Arial"/>
          <w:sz w:val="24"/>
        </w:rPr>
        <w:t xml:space="preserve"> </w:t>
      </w:r>
      <w:r w:rsidRPr="00E70CFD">
        <w:rPr>
          <w:rFonts w:cs="Arial"/>
        </w:rPr>
        <w:t xml:space="preserve">Once achieved, a shared care arrangement with you will be requested. </w:t>
      </w:r>
      <w:r w:rsidR="00220649" w:rsidRPr="00E70CFD">
        <w:rPr>
          <w:rFonts w:cs="Arial"/>
        </w:rPr>
        <w:t xml:space="preserve">This </w:t>
      </w:r>
      <w:r w:rsidRPr="00E70CFD">
        <w:rPr>
          <w:rFonts w:cs="Arial"/>
        </w:rPr>
        <w:t>will clarify responsibilities between the specialist and general practitioner (GP) for managing the prescribing of</w:t>
      </w:r>
      <w:r w:rsidR="00395027" w:rsidRPr="00E70CFD">
        <w:rPr>
          <w:rFonts w:cs="Arial"/>
        </w:rPr>
        <w:t xml:space="preserve"> cenobamate</w:t>
      </w:r>
      <w:r w:rsidRPr="00E70CFD">
        <w:rPr>
          <w:rFonts w:cs="Arial"/>
        </w:rPr>
        <w:t xml:space="preserve"> such as:</w:t>
      </w:r>
    </w:p>
    <w:p w14:paraId="4EAE4300" w14:textId="2EA0F3F1" w:rsidR="00D46B50" w:rsidRPr="00E70CFD" w:rsidRDefault="00D46B50" w:rsidP="00D46B50">
      <w:pPr>
        <w:pStyle w:val="ListBullet"/>
      </w:pPr>
      <w:r w:rsidRPr="00E70CFD">
        <w:t>Who will prescribe</w:t>
      </w:r>
    </w:p>
    <w:p w14:paraId="0E4D2D6F" w14:textId="56D763E8" w:rsidR="00D46B50" w:rsidRPr="00E70CFD" w:rsidRDefault="00D46B50" w:rsidP="00D46B50">
      <w:pPr>
        <w:pStyle w:val="ListBullet"/>
      </w:pPr>
      <w:r w:rsidRPr="00E70CFD">
        <w:t>Who will monitor</w:t>
      </w:r>
    </w:p>
    <w:p w14:paraId="41D4AFA0" w14:textId="738DCC10" w:rsidR="00D46B50" w:rsidRPr="00E70CFD" w:rsidRDefault="00D46B50" w:rsidP="00D46B50">
      <w:pPr>
        <w:pStyle w:val="ListBullet"/>
      </w:pPr>
      <w:r w:rsidRPr="00E70CFD">
        <w:t>Any tests required (</w:t>
      </w:r>
      <w:r w:rsidR="000A0DA0" w:rsidRPr="00E70CFD">
        <w:t>e.g.,</w:t>
      </w:r>
      <w:r w:rsidRPr="00E70CFD">
        <w:t xml:space="preserve"> blood tests), the exact names/nature of the tests, why they are needed, the frequency of testing, the location in which these will be carried out</w:t>
      </w:r>
      <w:r w:rsidR="005E3554" w:rsidRPr="00E70CFD">
        <w:t>,</w:t>
      </w:r>
      <w:r w:rsidRPr="00E70CFD">
        <w:t xml:space="preserve"> and action to be taken for any abnormal results </w:t>
      </w:r>
    </w:p>
    <w:p w14:paraId="17625EBA" w14:textId="6FBB3013" w:rsidR="00D46B50" w:rsidRPr="00E70CFD" w:rsidRDefault="00D46B50" w:rsidP="00D46B50">
      <w:pPr>
        <w:pStyle w:val="ListBullet"/>
      </w:pPr>
      <w:r w:rsidRPr="00E70CFD">
        <w:t>Which clinician will be responsible for receipt and review of the results</w:t>
      </w:r>
    </w:p>
    <w:p w14:paraId="33D8B1A1" w14:textId="7B304CB3" w:rsidR="00D46B50" w:rsidRPr="00E70CFD" w:rsidRDefault="00D46B50" w:rsidP="00D46B50">
      <w:pPr>
        <w:pStyle w:val="ListBullet"/>
      </w:pPr>
      <w:r w:rsidRPr="00E70CFD">
        <w:t>Who will communicate any necessary changes in dose to the patient and the GP</w:t>
      </w:r>
    </w:p>
    <w:p w14:paraId="3254C01F" w14:textId="23B75458" w:rsidR="00592DE9" w:rsidRPr="00E70CFD" w:rsidRDefault="00D46B50" w:rsidP="00D46B50">
      <w:pPr>
        <w:pStyle w:val="NCLHeading1"/>
      </w:pPr>
      <w:bookmarkStart w:id="3" w:name="_Toc112319327"/>
      <w:r w:rsidRPr="00E70CFD">
        <w:t>Shared Care criteria</w:t>
      </w:r>
      <w:bookmarkEnd w:id="3"/>
    </w:p>
    <w:p w14:paraId="1E84CB1A" w14:textId="7C5B6265" w:rsidR="00395027" w:rsidRPr="00E70CFD" w:rsidRDefault="00D46B50" w:rsidP="00D46B50">
      <w:pPr>
        <w:pStyle w:val="NCLBodyText"/>
      </w:pPr>
      <w:r w:rsidRPr="00E70CFD">
        <w:t xml:space="preserve">Patients </w:t>
      </w:r>
      <w:r w:rsidR="00220649" w:rsidRPr="00E70CFD">
        <w:t xml:space="preserve">established </w:t>
      </w:r>
      <w:r w:rsidRPr="00E70CFD">
        <w:t xml:space="preserve">on </w:t>
      </w:r>
      <w:r w:rsidR="00395027" w:rsidRPr="00E70CFD">
        <w:t>cenobamate a</w:t>
      </w:r>
      <w:r w:rsidRPr="00E70CFD">
        <w:t xml:space="preserve">nd </w:t>
      </w:r>
      <w:r w:rsidR="005E3554" w:rsidRPr="00E70CFD">
        <w:t xml:space="preserve">appropriately </w:t>
      </w:r>
      <w:r w:rsidRPr="00E70CFD">
        <w:t xml:space="preserve">monitored at baseline and after initiation of treatment with no problems identified during this period. </w:t>
      </w:r>
    </w:p>
    <w:p w14:paraId="1A901524" w14:textId="77777777" w:rsidR="00CC650F" w:rsidRPr="00E70CFD" w:rsidRDefault="00CC650F" w:rsidP="00D46B50">
      <w:pPr>
        <w:pStyle w:val="NCLBodyText"/>
      </w:pPr>
    </w:p>
    <w:p w14:paraId="785B34C2" w14:textId="7012D23B" w:rsidR="00592DE9" w:rsidRPr="00753AD8" w:rsidRDefault="009D2F4A" w:rsidP="00D46B50">
      <w:pPr>
        <w:pStyle w:val="NCLBodyText"/>
        <w:rPr>
          <w:b/>
          <w:bCs/>
        </w:rPr>
      </w:pPr>
      <w:r w:rsidRPr="00753AD8">
        <w:rPr>
          <w:b/>
          <w:bCs/>
        </w:rPr>
        <w:t>Abbreviations</w:t>
      </w:r>
    </w:p>
    <w:p w14:paraId="1D180910" w14:textId="798C95F7" w:rsidR="00CC650F" w:rsidRPr="00E70CFD" w:rsidRDefault="00CC650F" w:rsidP="00D46B50">
      <w:pPr>
        <w:pStyle w:val="NCLBodyText"/>
      </w:pPr>
      <w:r w:rsidRPr="00E70CFD">
        <w:t>ECG: Electrocardiogram</w:t>
      </w:r>
    </w:p>
    <w:p w14:paraId="21621D11" w14:textId="03E50E51" w:rsidR="000D4DDE" w:rsidRPr="00E70CFD" w:rsidRDefault="000D4DDE" w:rsidP="00D46B50">
      <w:pPr>
        <w:pStyle w:val="NCLBodyText"/>
      </w:pPr>
      <w:r w:rsidRPr="00E70CFD">
        <w:t>FBC: Full Blood Count</w:t>
      </w:r>
    </w:p>
    <w:p w14:paraId="0562E723" w14:textId="54011140" w:rsidR="000D4DDE" w:rsidRPr="00E70CFD" w:rsidRDefault="000D4DDE" w:rsidP="00D46B50">
      <w:pPr>
        <w:pStyle w:val="NCLBodyText"/>
      </w:pPr>
      <w:r w:rsidRPr="00E70CFD">
        <w:t>LFT: Liver Function Test</w:t>
      </w:r>
    </w:p>
    <w:p w14:paraId="47FFAE0C" w14:textId="64AB4E58" w:rsidR="000D4DDE" w:rsidRPr="00E70CFD" w:rsidRDefault="000D4DDE" w:rsidP="00D46B50">
      <w:pPr>
        <w:pStyle w:val="NCLBodyText"/>
      </w:pPr>
      <w:r w:rsidRPr="00E70CFD">
        <w:t xml:space="preserve">U&amp;Es: Urea and electrolytes </w:t>
      </w:r>
    </w:p>
    <w:p w14:paraId="5E03EBF6" w14:textId="14D8CC0A" w:rsidR="00592DE9" w:rsidRPr="00E70CFD" w:rsidRDefault="00D46B50" w:rsidP="00D46B50">
      <w:pPr>
        <w:pStyle w:val="NCLHeading1"/>
      </w:pPr>
      <w:bookmarkStart w:id="4" w:name="_Toc112319328"/>
      <w:r w:rsidRPr="00E70CFD">
        <w:t>Shared care responsibilities</w:t>
      </w:r>
      <w:bookmarkEnd w:id="4"/>
    </w:p>
    <w:p w14:paraId="57803560" w14:textId="024D154F" w:rsidR="00D46B50" w:rsidRPr="00E70CFD" w:rsidRDefault="00D46B50" w:rsidP="008424FD">
      <w:pPr>
        <w:pStyle w:val="NCLHeading2"/>
      </w:pPr>
      <w:bookmarkStart w:id="5" w:name="_Toc112319329"/>
      <w:r w:rsidRPr="00E70CFD">
        <w:t>Consultant and /or Specialist Nurse</w:t>
      </w:r>
      <w:bookmarkEnd w:id="5"/>
    </w:p>
    <w:p w14:paraId="6C8C8B20" w14:textId="0F07DEC7" w:rsidR="00D46B50" w:rsidRPr="00E70CFD" w:rsidRDefault="00B17073" w:rsidP="00D46B50">
      <w:pPr>
        <w:pStyle w:val="NCLBodyText"/>
      </w:pPr>
      <w:r w:rsidRPr="00E70CFD">
        <w:t>Send a letter to the GP along with shared care criteria and transfer form requesting shared care for this patient.</w:t>
      </w:r>
      <w:r w:rsidR="005E3554" w:rsidRPr="00E70CFD">
        <w:t>: i</w:t>
      </w:r>
      <w:r w:rsidR="00D46B50" w:rsidRPr="00E70CFD">
        <w:t xml:space="preserve">ndication, dose and frequency to be decided by the hospital team.  </w:t>
      </w:r>
    </w:p>
    <w:p w14:paraId="4AEFA1EB" w14:textId="77777777" w:rsidR="00D61544" w:rsidRPr="00E70CFD" w:rsidRDefault="00D61544" w:rsidP="00D61544">
      <w:pPr>
        <w:pStyle w:val="ListNumber"/>
      </w:pPr>
      <w:r w:rsidRPr="00E70CFD">
        <w:t>Before initiating treatment, perform a baseline test to measure LFTS, U&amp;Es and FBC</w:t>
      </w:r>
      <w:bookmarkStart w:id="6" w:name="_Hlk97644341"/>
      <w:r w:rsidRPr="00E70CFD">
        <w:t>. An ECG at baseline may be taken if deemed appropriate.</w:t>
      </w:r>
    </w:p>
    <w:bookmarkEnd w:id="6"/>
    <w:p w14:paraId="66239999" w14:textId="4204977D" w:rsidR="00D61544" w:rsidRPr="00E70CFD" w:rsidRDefault="00D61544" w:rsidP="00D61544">
      <w:pPr>
        <w:pStyle w:val="ListNumber"/>
        <w:rPr>
          <w:sz w:val="24"/>
        </w:rPr>
      </w:pPr>
      <w:r w:rsidRPr="00E70CFD">
        <w:rPr>
          <w:snapToGrid w:val="0"/>
        </w:rPr>
        <w:t xml:space="preserve">Discuss the benefits and side effects of treatment with the patient. </w:t>
      </w:r>
      <w:r w:rsidRPr="00E70CFD">
        <w:t>Provide the patient with a Patient Information leaflet, and ensure that the patient understands the treatment</w:t>
      </w:r>
      <w:r w:rsidRPr="00E70CFD">
        <w:rPr>
          <w:snapToGrid w:val="0"/>
        </w:rPr>
        <w:t xml:space="preserve"> and dosing regimen.</w:t>
      </w:r>
    </w:p>
    <w:p w14:paraId="7EC86BA1" w14:textId="77777777" w:rsidR="00D61544" w:rsidRPr="00E70CFD" w:rsidRDefault="00D61544" w:rsidP="00D61544">
      <w:pPr>
        <w:pStyle w:val="ListNumber"/>
      </w:pPr>
      <w:r w:rsidRPr="00E70CFD">
        <w:t>Initiate treatment and prescribe until the GP formally agrees to share care (until the patient is stabilised or as according to Section C for local minimum supply durations). Patients will be seen in the clinic before consideration of shared care</w:t>
      </w:r>
    </w:p>
    <w:p w14:paraId="10B8930B" w14:textId="515E4A9F" w:rsidR="00D46B50" w:rsidRPr="00E70CFD" w:rsidRDefault="00D46B50" w:rsidP="00D46B50">
      <w:pPr>
        <w:pStyle w:val="ListNumber"/>
        <w:rPr>
          <w:sz w:val="24"/>
        </w:rPr>
      </w:pPr>
      <w:r w:rsidRPr="00E70CFD">
        <w:rPr>
          <w:snapToGrid w:val="0"/>
        </w:rPr>
        <w:t>Discuss the shared care arrangement with the patient</w:t>
      </w:r>
      <w:r w:rsidR="00D61544" w:rsidRPr="00E70CFD">
        <w:rPr>
          <w:snapToGrid w:val="0"/>
        </w:rPr>
        <w:t>.</w:t>
      </w:r>
    </w:p>
    <w:p w14:paraId="5A773EF8" w14:textId="77777777" w:rsidR="00D61544" w:rsidRPr="00E70CFD" w:rsidRDefault="00D61544" w:rsidP="00D61544">
      <w:pPr>
        <w:pStyle w:val="ListNumber"/>
        <w:rPr>
          <w:sz w:val="24"/>
        </w:rPr>
      </w:pPr>
      <w:r w:rsidRPr="00E70CFD">
        <w:rPr>
          <w:snapToGrid w:val="0"/>
        </w:rPr>
        <w:t>Provide results of baseline tests and recommend the frequency of monitoring to GP. The consultant must also explain what the recommended tests are, why they are needed and the location in which these tests will be carried out</w:t>
      </w:r>
    </w:p>
    <w:p w14:paraId="2BB7A9A1" w14:textId="77777777" w:rsidR="00D61544" w:rsidRPr="00E70CFD" w:rsidRDefault="00D61544" w:rsidP="00D61544">
      <w:pPr>
        <w:pStyle w:val="ListNumber"/>
      </w:pPr>
      <w:r w:rsidRPr="00E70CFD">
        <w:lastRenderedPageBreak/>
        <w:t>Send a letter to the GP after each clinic attendance ensuring current dose, most recent blood results, and frequency of monitoring are stated</w:t>
      </w:r>
    </w:p>
    <w:p w14:paraId="3FF350CB" w14:textId="29F34758" w:rsidR="00D61544" w:rsidRPr="00E70CFD" w:rsidRDefault="00D61544" w:rsidP="00D61544">
      <w:pPr>
        <w:pStyle w:val="ListNumber"/>
        <w:rPr>
          <w:sz w:val="24"/>
        </w:rPr>
      </w:pPr>
      <w:r w:rsidRPr="00E70CFD">
        <w:rPr>
          <w:snapToGrid w:val="0"/>
        </w:rPr>
        <w:t>In</w:t>
      </w:r>
      <w:r w:rsidRPr="00E70CFD">
        <w:t>form GP of blood test results</w:t>
      </w:r>
      <w:r w:rsidR="00220649" w:rsidRPr="00E70CFD">
        <w:t>,</w:t>
      </w:r>
      <w:r w:rsidRPr="00E70CFD">
        <w:t xml:space="preserve"> actions to take in case of abnormal results, and advise the GP on when to adjust the dose, stop treatment, or consult with a specialist</w:t>
      </w:r>
    </w:p>
    <w:p w14:paraId="746F4446" w14:textId="77777777" w:rsidR="00D61544" w:rsidRPr="00E70CFD" w:rsidRDefault="00D61544" w:rsidP="00D61544">
      <w:pPr>
        <w:pStyle w:val="ListNumber"/>
        <w:rPr>
          <w:sz w:val="24"/>
        </w:rPr>
      </w:pPr>
      <w:r w:rsidRPr="00E70CFD">
        <w:rPr>
          <w:snapToGrid w:val="0"/>
        </w:rPr>
        <w:t>Periodically review the patient’s condition and communicate promptly with the GP when treatment is changed.</w:t>
      </w:r>
      <w:r w:rsidRPr="00E70CFD">
        <w:t xml:space="preserve"> Counsel the patient on any dose changes that are made during clinic appointments</w:t>
      </w:r>
    </w:p>
    <w:p w14:paraId="6B9B2B09" w14:textId="77777777" w:rsidR="00D61544" w:rsidRPr="00E70CFD" w:rsidRDefault="00D61544" w:rsidP="00D61544">
      <w:pPr>
        <w:pStyle w:val="ListNumber"/>
        <w:rPr>
          <w:sz w:val="24"/>
        </w:rPr>
      </w:pPr>
      <w:r w:rsidRPr="00E70CFD">
        <w:t>Evaluate adverse effects reported by GP or patient</w:t>
      </w:r>
    </w:p>
    <w:p w14:paraId="3ACEF0FB" w14:textId="77777777" w:rsidR="00D61544" w:rsidRPr="00E70CFD" w:rsidRDefault="00D61544" w:rsidP="00D61544">
      <w:pPr>
        <w:pStyle w:val="ListNumber"/>
      </w:pPr>
      <w:r w:rsidRPr="00E70CFD">
        <w:t>Report adverse events to the MHRA (via yellow card scheme) and GP</w:t>
      </w:r>
    </w:p>
    <w:p w14:paraId="2FFF98A3" w14:textId="77777777" w:rsidR="00D61544" w:rsidRPr="00E70CFD" w:rsidRDefault="00D61544" w:rsidP="00D61544">
      <w:pPr>
        <w:pStyle w:val="ListNumber"/>
      </w:pPr>
      <w:r w:rsidRPr="00E70CFD">
        <w:t>Inform GP of patients who do not attend clinic appointments</w:t>
      </w:r>
    </w:p>
    <w:p w14:paraId="7B8F7BAE" w14:textId="77777777" w:rsidR="00D61544" w:rsidRPr="00E70CFD" w:rsidRDefault="00D61544" w:rsidP="00D61544">
      <w:pPr>
        <w:pStyle w:val="ListNumber"/>
      </w:pPr>
      <w:r w:rsidRPr="00E70CFD">
        <w:t>Ensure that precise backup arrangements exist for GPs to obtain advice and support</w:t>
      </w:r>
    </w:p>
    <w:p w14:paraId="48046629" w14:textId="286755C5" w:rsidR="00D46B50" w:rsidRPr="00E70CFD" w:rsidRDefault="00D46B50" w:rsidP="008424FD">
      <w:pPr>
        <w:pStyle w:val="NCLHeading2"/>
      </w:pPr>
      <w:bookmarkStart w:id="7" w:name="_Toc112319330"/>
      <w:r w:rsidRPr="00E70CFD">
        <w:t>General Practitioner</w:t>
      </w:r>
      <w:bookmarkEnd w:id="7"/>
    </w:p>
    <w:p w14:paraId="6BD006E3" w14:textId="6F06E06B" w:rsidR="00D46B50" w:rsidRPr="00E70CFD" w:rsidRDefault="00D46B50" w:rsidP="00D46B50">
      <w:pPr>
        <w:pStyle w:val="NCLBodyText"/>
      </w:pPr>
      <w:r w:rsidRPr="00E70CFD">
        <w:t>Complete transfer form and send back to h</w:t>
      </w:r>
      <w:r w:rsidRPr="00E70CFD">
        <w:rPr>
          <w:i/>
        </w:rPr>
        <w:t xml:space="preserve">ospital </w:t>
      </w:r>
      <w:r w:rsidRPr="00E70CFD">
        <w:t xml:space="preserve">confirming acceptance/ rejection of shared care for </w:t>
      </w:r>
      <w:r w:rsidR="005E3554" w:rsidRPr="00E70CFD">
        <w:t xml:space="preserve">a </w:t>
      </w:r>
      <w:r w:rsidRPr="00E70CFD">
        <w:t xml:space="preserve">patient. If </w:t>
      </w:r>
      <w:r w:rsidR="006F54F7" w:rsidRPr="00E70CFD">
        <w:t xml:space="preserve">the </w:t>
      </w:r>
      <w:r w:rsidRPr="00E70CFD">
        <w:t xml:space="preserve">GP </w:t>
      </w:r>
      <w:r w:rsidR="005E3554" w:rsidRPr="00E70CFD">
        <w:t>cannot</w:t>
      </w:r>
      <w:r w:rsidRPr="00E70CFD">
        <w:t xml:space="preserve"> agree to shared care, inform the Hospital team stating reasons within </w:t>
      </w:r>
      <w:r w:rsidRPr="00E70CFD">
        <w:rPr>
          <w:b/>
          <w:i/>
        </w:rPr>
        <w:t>14 days</w:t>
      </w:r>
      <w:r w:rsidRPr="00E70CFD">
        <w:t xml:space="preserve"> of </w:t>
      </w:r>
      <w:r w:rsidR="005E3554" w:rsidRPr="00E70CFD">
        <w:t xml:space="preserve">the </w:t>
      </w:r>
      <w:r w:rsidRPr="00E70CFD">
        <w:t>request. If no response is received with</w:t>
      </w:r>
      <w:r w:rsidR="005E3554" w:rsidRPr="00E70CFD">
        <w:t>in</w:t>
      </w:r>
      <w:r w:rsidRPr="00E70CFD">
        <w:t xml:space="preserve"> 14 days, the Consultant will assume the GP has accepted shared care.</w:t>
      </w:r>
    </w:p>
    <w:p w14:paraId="26A5240F" w14:textId="77777777" w:rsidR="00D46B50" w:rsidRPr="00E70CFD" w:rsidRDefault="00D46B50" w:rsidP="00D46B50">
      <w:pPr>
        <w:pStyle w:val="ListNumber"/>
        <w:numPr>
          <w:ilvl w:val="0"/>
          <w:numId w:val="13"/>
        </w:numPr>
      </w:pPr>
      <w:r w:rsidRPr="00E70CFD">
        <w:t>Monitor patient’s overall health and well-being</w:t>
      </w:r>
    </w:p>
    <w:p w14:paraId="28651503" w14:textId="3A2F2AA4" w:rsidR="00D46B50" w:rsidRPr="00E70CFD" w:rsidRDefault="00D46B50" w:rsidP="00D46B50">
      <w:pPr>
        <w:pStyle w:val="ListNumber"/>
      </w:pPr>
      <w:r w:rsidRPr="00E70CFD">
        <w:t xml:space="preserve">Prescribe the </w:t>
      </w:r>
      <w:r w:rsidR="003E700A" w:rsidRPr="00E70CFD">
        <w:t>medication</w:t>
      </w:r>
      <w:r w:rsidRPr="00E70CFD">
        <w:t xml:space="preserve"> as described (but not alter the dose unless advised to do so by the specialist).</w:t>
      </w:r>
      <w:r w:rsidRPr="00E70CFD">
        <w:rPr>
          <w:snapToGrid w:val="0"/>
        </w:rPr>
        <w:t xml:space="preserve"> The term “as directed” </w:t>
      </w:r>
      <w:r w:rsidRPr="00E70CFD">
        <w:rPr>
          <w:b/>
          <w:snapToGrid w:val="0"/>
        </w:rPr>
        <w:t>SHOULD NOT</w:t>
      </w:r>
      <w:r w:rsidRPr="00E70CFD">
        <w:rPr>
          <w:snapToGrid w:val="0"/>
        </w:rPr>
        <w:t xml:space="preserve"> be used</w:t>
      </w:r>
    </w:p>
    <w:p w14:paraId="48E3EB75" w14:textId="77777777" w:rsidR="00D46B50" w:rsidRPr="00E70CFD" w:rsidRDefault="00D46B50" w:rsidP="00D46B50">
      <w:pPr>
        <w:pStyle w:val="ListNumber"/>
      </w:pPr>
      <w:r w:rsidRPr="00E70CFD">
        <w:t>Ensure that the patient understands the dosing</w:t>
      </w:r>
    </w:p>
    <w:p w14:paraId="6ACCB966" w14:textId="002C2FB7" w:rsidR="00D46B50" w:rsidRPr="00E70CFD" w:rsidRDefault="00D46B50" w:rsidP="00D46B50">
      <w:pPr>
        <w:pStyle w:val="ListNumber"/>
      </w:pPr>
      <w:r w:rsidRPr="00E70CFD">
        <w:t xml:space="preserve">Ensure the patient understands that </w:t>
      </w:r>
      <w:r w:rsidR="005E3554" w:rsidRPr="00E70CFD">
        <w:t>they</w:t>
      </w:r>
      <w:r w:rsidRPr="00E70CFD">
        <w:t xml:space="preserve"> must report the warning symptoms as listed under “adverse effects”</w:t>
      </w:r>
    </w:p>
    <w:p w14:paraId="4AF16C59" w14:textId="77836DD0" w:rsidR="00D46B50" w:rsidRPr="00E70CFD" w:rsidRDefault="00D46B50" w:rsidP="00D46B50">
      <w:pPr>
        <w:pStyle w:val="ListNumber"/>
      </w:pPr>
      <w:r w:rsidRPr="00E70CFD">
        <w:t>Ensure compatibility with concomitant medication</w:t>
      </w:r>
      <w:r w:rsidR="006F54F7" w:rsidRPr="00E70CFD">
        <w:t xml:space="preserve">. Please see </w:t>
      </w:r>
      <w:r w:rsidR="005E3554" w:rsidRPr="00E70CFD">
        <w:t xml:space="preserve">the </w:t>
      </w:r>
      <w:r w:rsidR="006F54F7" w:rsidRPr="00E70CFD">
        <w:t>drug interactions section.</w:t>
      </w:r>
    </w:p>
    <w:p w14:paraId="2AD67A8F" w14:textId="3A7CF9BA" w:rsidR="00D46B50" w:rsidRPr="00E70CFD" w:rsidRDefault="00D46B50" w:rsidP="00D46B50">
      <w:pPr>
        <w:pStyle w:val="ListNumber"/>
      </w:pPr>
      <w:r w:rsidRPr="00E70CFD">
        <w:t>Monitor results at recommended frequencies as described under “clinical monitoring” and inform the Consultant if abnormal</w:t>
      </w:r>
      <w:r w:rsidR="00A24732" w:rsidRPr="00E70CFD">
        <w:t>.</w:t>
      </w:r>
    </w:p>
    <w:p w14:paraId="01288CD4" w14:textId="170BBFD3" w:rsidR="00D46B50" w:rsidRPr="00E70CFD" w:rsidRDefault="00D46B50" w:rsidP="00D46B50">
      <w:pPr>
        <w:pStyle w:val="ListNumber"/>
        <w:rPr>
          <w:sz w:val="24"/>
        </w:rPr>
      </w:pPr>
      <w:r w:rsidRPr="00E70CFD">
        <w:rPr>
          <w:snapToGrid w:val="0"/>
        </w:rPr>
        <w:t xml:space="preserve">Adjust the dose as advised by the specialist (where applicable) and counsel </w:t>
      </w:r>
      <w:r w:rsidR="005E3554" w:rsidRPr="00E70CFD">
        <w:rPr>
          <w:snapToGrid w:val="0"/>
        </w:rPr>
        <w:t xml:space="preserve">the </w:t>
      </w:r>
      <w:r w:rsidRPr="00E70CFD">
        <w:rPr>
          <w:snapToGrid w:val="0"/>
        </w:rPr>
        <w:t>patient on any dose changes</w:t>
      </w:r>
    </w:p>
    <w:p w14:paraId="0BAF626E" w14:textId="77777777" w:rsidR="00D46B50" w:rsidRPr="00E70CFD" w:rsidRDefault="00D46B50" w:rsidP="00D46B50">
      <w:pPr>
        <w:pStyle w:val="ListNumber"/>
      </w:pPr>
      <w:r w:rsidRPr="00E70CFD">
        <w:t>Report any adverse events and non-compliance to the hospital specialist, where appropriate</w:t>
      </w:r>
    </w:p>
    <w:p w14:paraId="625FDF64" w14:textId="5AC594C2" w:rsidR="00D46B50" w:rsidRPr="00E70CFD" w:rsidRDefault="00D46B50" w:rsidP="00D46B50">
      <w:pPr>
        <w:pStyle w:val="ListNumber"/>
      </w:pPr>
      <w:r w:rsidRPr="00E70CFD">
        <w:rPr>
          <w:color w:val="000000"/>
        </w:rPr>
        <w:t xml:space="preserve">Stop treatment on </w:t>
      </w:r>
      <w:r w:rsidR="005E3554" w:rsidRPr="00E70CFD">
        <w:rPr>
          <w:color w:val="000000"/>
        </w:rPr>
        <w:t xml:space="preserve">the </w:t>
      </w:r>
      <w:r w:rsidRPr="00E70CFD">
        <w:rPr>
          <w:color w:val="000000"/>
        </w:rPr>
        <w:t xml:space="preserve">advice of </w:t>
      </w:r>
      <w:r w:rsidR="005E3554" w:rsidRPr="00E70CFD">
        <w:rPr>
          <w:color w:val="000000"/>
        </w:rPr>
        <w:t xml:space="preserve">a </w:t>
      </w:r>
      <w:r w:rsidRPr="00E70CFD">
        <w:rPr>
          <w:color w:val="000000"/>
        </w:rPr>
        <w:t xml:space="preserve">specialist or immediately if </w:t>
      </w:r>
      <w:r w:rsidR="00990743" w:rsidRPr="00E70CFD">
        <w:rPr>
          <w:color w:val="000000"/>
        </w:rPr>
        <w:t>clinically urgent</w:t>
      </w:r>
    </w:p>
    <w:p w14:paraId="1309E4F9" w14:textId="0A01FF0F" w:rsidR="00D46B50" w:rsidRPr="00E70CFD" w:rsidRDefault="00D46B50" w:rsidP="00D46B50">
      <w:pPr>
        <w:pStyle w:val="ListNumber"/>
      </w:pPr>
      <w:r w:rsidRPr="00E70CFD">
        <w:t>Help in monitoring the</w:t>
      </w:r>
      <w:r w:rsidR="00F52EFA" w:rsidRPr="00E70CFD">
        <w:t xml:space="preserve"> clinical</w:t>
      </w:r>
      <w:r w:rsidRPr="00E70CFD">
        <w:t xml:space="preserve"> progression and inform the hospital team of any changes to medication</w:t>
      </w:r>
      <w:r w:rsidR="00A93614" w:rsidRPr="00E70CFD">
        <w:t xml:space="preserve"> or condition</w:t>
      </w:r>
    </w:p>
    <w:p w14:paraId="7DA1D3F5" w14:textId="77777777" w:rsidR="00D46B50" w:rsidRPr="00E70CFD" w:rsidRDefault="00D46B50" w:rsidP="00D46B50">
      <w:pPr>
        <w:pStyle w:val="ListNumber"/>
      </w:pPr>
      <w:r w:rsidRPr="00E70CFD">
        <w:t>Report adverse events to the specialist and MHRA</w:t>
      </w:r>
    </w:p>
    <w:p w14:paraId="444D645A" w14:textId="448F84C4" w:rsidR="00D46B50" w:rsidRPr="00E70CFD" w:rsidRDefault="00D46B50" w:rsidP="00D46B50">
      <w:pPr>
        <w:pStyle w:val="ListNumber"/>
      </w:pPr>
      <w:r w:rsidRPr="00E70CFD">
        <w:t xml:space="preserve">All requests for </w:t>
      </w:r>
      <w:r w:rsidRPr="00E70CFD">
        <w:rPr>
          <w:color w:val="000000"/>
        </w:rPr>
        <w:t>repeat</w:t>
      </w:r>
      <w:r w:rsidRPr="00E70CFD">
        <w:t xml:space="preserve"> prescriptions should be reviewed individually </w:t>
      </w:r>
      <w:r w:rsidR="005E3554" w:rsidRPr="00E70CFD">
        <w:t>before</w:t>
      </w:r>
      <w:r w:rsidRPr="00E70CFD">
        <w:t xml:space="preserve"> issuing</w:t>
      </w:r>
    </w:p>
    <w:p w14:paraId="680F9E65" w14:textId="27DBDEC2" w:rsidR="00D46B50" w:rsidRPr="00E70CFD" w:rsidRDefault="00D46B50" w:rsidP="008424FD">
      <w:pPr>
        <w:pStyle w:val="NCLHeading2"/>
      </w:pPr>
      <w:bookmarkStart w:id="8" w:name="_Toc112319331"/>
      <w:r w:rsidRPr="00E70CFD">
        <w:t>Patient responsibility</w:t>
      </w:r>
      <w:bookmarkEnd w:id="8"/>
    </w:p>
    <w:p w14:paraId="3A3C7065" w14:textId="77777777" w:rsidR="00D46B50" w:rsidRPr="00E70CFD" w:rsidRDefault="00D46B50" w:rsidP="00D46B50">
      <w:pPr>
        <w:pStyle w:val="ListNumber"/>
        <w:numPr>
          <w:ilvl w:val="0"/>
          <w:numId w:val="14"/>
        </w:numPr>
      </w:pPr>
      <w:r w:rsidRPr="00E70CFD">
        <w:t>Attend all hospital and GP appointments</w:t>
      </w:r>
    </w:p>
    <w:p w14:paraId="3BB09527" w14:textId="77777777" w:rsidR="00D46B50" w:rsidRPr="00E70CFD" w:rsidRDefault="00D46B50" w:rsidP="00D46B50">
      <w:pPr>
        <w:pStyle w:val="ListNumber"/>
      </w:pPr>
      <w:r w:rsidRPr="00E70CFD">
        <w:t>Take medicines as agreed</w:t>
      </w:r>
    </w:p>
    <w:p w14:paraId="0056D76F" w14:textId="50E53223" w:rsidR="00D46B50" w:rsidRPr="00E70CFD" w:rsidRDefault="00D46B50" w:rsidP="00D46B50">
      <w:pPr>
        <w:pStyle w:val="ListNumber"/>
      </w:pPr>
      <w:r w:rsidRPr="00E70CFD">
        <w:t xml:space="preserve">Report to the specialist or GP if </w:t>
      </w:r>
      <w:r w:rsidR="005E3554" w:rsidRPr="00E70CFD">
        <w:t>they do</w:t>
      </w:r>
      <w:r w:rsidRPr="00E70CFD">
        <w:t xml:space="preserve"> not have a clear understanding of the treatment</w:t>
      </w:r>
    </w:p>
    <w:p w14:paraId="1E935DC5" w14:textId="77777777" w:rsidR="00D46B50" w:rsidRPr="00E70CFD" w:rsidRDefault="00D46B50" w:rsidP="00D46B50">
      <w:pPr>
        <w:pStyle w:val="ListNumber"/>
      </w:pPr>
      <w:r w:rsidRPr="00E70CFD">
        <w:t>Inform specialist or GP of any other medication being taken, including over-the-counter products</w:t>
      </w:r>
    </w:p>
    <w:p w14:paraId="16811AFF" w14:textId="77777777" w:rsidR="00D46B50" w:rsidRPr="00E70CFD" w:rsidRDefault="00D46B50" w:rsidP="00D46B50">
      <w:pPr>
        <w:pStyle w:val="ListNumber"/>
      </w:pPr>
      <w:r w:rsidRPr="00E70CFD">
        <w:t>Report any adverse effects or warning symptoms to GP or specialist</w:t>
      </w:r>
    </w:p>
    <w:p w14:paraId="71F574FC" w14:textId="77777777" w:rsidR="00D46B50" w:rsidRPr="00E70CFD" w:rsidRDefault="00D46B50" w:rsidP="00D46B50">
      <w:pPr>
        <w:pStyle w:val="ListNumber"/>
      </w:pPr>
      <w:r w:rsidRPr="00E70CFD">
        <w:t>Inform hospital and GP of any changes in address or telephone numbers</w:t>
      </w:r>
    </w:p>
    <w:p w14:paraId="7095EB45" w14:textId="1ABDCADA" w:rsidR="00D46B50" w:rsidRPr="00E70CFD" w:rsidRDefault="00D46B50" w:rsidP="008424FD">
      <w:pPr>
        <w:pStyle w:val="NCLHeading2"/>
      </w:pPr>
      <w:bookmarkStart w:id="9" w:name="_Toc112319332"/>
      <w:r w:rsidRPr="00E70CFD">
        <w:t>Clinical Commissioning Group</w:t>
      </w:r>
      <w:bookmarkEnd w:id="9"/>
    </w:p>
    <w:p w14:paraId="426F9C7E" w14:textId="28EF2A14" w:rsidR="00D46B50" w:rsidRPr="00E70CFD" w:rsidRDefault="00D46B50" w:rsidP="00D46B50">
      <w:pPr>
        <w:pStyle w:val="ListNumber"/>
        <w:numPr>
          <w:ilvl w:val="0"/>
          <w:numId w:val="15"/>
        </w:numPr>
      </w:pPr>
      <w:r w:rsidRPr="00E70CFD">
        <w:t>To provide feedback to Trusts from the standard letter via the shared care forum.</w:t>
      </w:r>
    </w:p>
    <w:p w14:paraId="4ED3734D" w14:textId="03C147E1" w:rsidR="00D46B50" w:rsidRPr="00E70CFD" w:rsidRDefault="00D46B50" w:rsidP="00D46B50">
      <w:pPr>
        <w:pStyle w:val="ListNumber"/>
      </w:pPr>
      <w:r w:rsidRPr="00E70CFD">
        <w:t xml:space="preserve">To support GPs </w:t>
      </w:r>
      <w:r w:rsidR="005E3554" w:rsidRPr="00E70CFD">
        <w:t>in deciding whether</w:t>
      </w:r>
      <w:r w:rsidRPr="00E70CFD">
        <w:t xml:space="preserve"> to accept clinical responsibility for prescribing. </w:t>
      </w:r>
    </w:p>
    <w:p w14:paraId="20FB2F89" w14:textId="5226B6C5" w:rsidR="00D46B50" w:rsidRPr="00E70CFD" w:rsidRDefault="00D46B50" w:rsidP="00D46B50">
      <w:pPr>
        <w:pStyle w:val="ListNumber"/>
      </w:pPr>
      <w:r w:rsidRPr="00E70CFD">
        <w:t xml:space="preserve">To support Trusts in resolving issues that may arise </w:t>
      </w:r>
      <w:r w:rsidR="005E3554" w:rsidRPr="00E70CFD">
        <w:t>due to</w:t>
      </w:r>
      <w:r w:rsidRPr="00E70CFD">
        <w:t xml:space="preserve"> shared care. </w:t>
      </w:r>
    </w:p>
    <w:p w14:paraId="4E28C94C" w14:textId="18C469D7" w:rsidR="00D46B50" w:rsidRPr="00E70CFD" w:rsidRDefault="00D46B50" w:rsidP="00D46B50">
      <w:pPr>
        <w:pStyle w:val="NCLHeading1"/>
      </w:pPr>
      <w:bookmarkStart w:id="10" w:name="_Toc112319333"/>
      <w:r w:rsidRPr="00E70CFD">
        <w:lastRenderedPageBreak/>
        <w:t>Indications</w:t>
      </w:r>
      <w:bookmarkEnd w:id="10"/>
    </w:p>
    <w:p w14:paraId="5812B1F0" w14:textId="52260D10" w:rsidR="00A24732" w:rsidRPr="00E70CFD" w:rsidRDefault="00A24732" w:rsidP="00D46B50">
      <w:pPr>
        <w:pStyle w:val="NCLBodyText"/>
      </w:pPr>
      <w:r w:rsidRPr="00E70CFD">
        <w:t xml:space="preserve">Cenobamate is for the adjunctive treatment of focal seizures with or without secondary generalisation in adults with epilepsy not adequately controlled despite treatment with at least </w:t>
      </w:r>
      <w:r w:rsidR="005E3554" w:rsidRPr="00E70CFD">
        <w:t xml:space="preserve">two </w:t>
      </w:r>
      <w:r w:rsidRPr="00E70CFD">
        <w:t>anti</w:t>
      </w:r>
      <w:r w:rsidR="00D978FB" w:rsidRPr="00E70CFD">
        <w:t>-</w:t>
      </w:r>
      <w:r w:rsidR="00E77E4E" w:rsidRPr="00E70CFD">
        <w:t>seizure medications</w:t>
      </w:r>
      <w:r w:rsidRPr="00E70CFD">
        <w:t>.</w:t>
      </w:r>
    </w:p>
    <w:p w14:paraId="13DDCEAD" w14:textId="3FE3E31F" w:rsidR="00D46B50" w:rsidRPr="00E70CFD" w:rsidRDefault="00D46B50" w:rsidP="00D46B50">
      <w:pPr>
        <w:pStyle w:val="NCLHeading1"/>
      </w:pPr>
      <w:bookmarkStart w:id="11" w:name="_Toc112319334"/>
      <w:r w:rsidRPr="00E70CFD">
        <w:t>Dose and Administratio</w:t>
      </w:r>
      <w:r w:rsidR="00A24732" w:rsidRPr="00E70CFD">
        <w:t>n</w:t>
      </w:r>
      <w:bookmarkEnd w:id="11"/>
    </w:p>
    <w:p w14:paraId="616EB955" w14:textId="73D06445" w:rsidR="00A24732" w:rsidRPr="00E70CFD" w:rsidRDefault="00A24732" w:rsidP="00A24732">
      <w:pPr>
        <w:pStyle w:val="NCLSubsection"/>
        <w:jc w:val="both"/>
        <w:rPr>
          <w:i w:val="0"/>
          <w:iCs w:val="0"/>
          <w:u w:val="none"/>
          <w:vertAlign w:val="superscript"/>
        </w:rPr>
      </w:pPr>
      <w:r w:rsidRPr="00E70CFD">
        <w:rPr>
          <w:i w:val="0"/>
          <w:iCs w:val="0"/>
          <w:u w:val="none"/>
        </w:rPr>
        <w:t xml:space="preserve">The recommended starting dose of cenobamate is 12.5 mg per day, titrated gradually to the recommended target dose of 200 mg per day. </w:t>
      </w:r>
      <w:r w:rsidR="00215845" w:rsidRPr="00E70CFD">
        <w:rPr>
          <w:i w:val="0"/>
          <w:iCs w:val="0"/>
          <w:u w:val="none"/>
        </w:rPr>
        <w:t xml:space="preserve">Lower doses may be used depending on clinical response. </w:t>
      </w:r>
      <w:r w:rsidRPr="00E70CFD">
        <w:rPr>
          <w:i w:val="0"/>
          <w:iCs w:val="0"/>
          <w:u w:val="none"/>
        </w:rPr>
        <w:t xml:space="preserve">Based on clinical response, </w:t>
      </w:r>
      <w:r w:rsidR="005E3554" w:rsidRPr="00E70CFD">
        <w:rPr>
          <w:i w:val="0"/>
          <w:iCs w:val="0"/>
          <w:u w:val="none"/>
        </w:rPr>
        <w:t>the dose may be increased to</w:t>
      </w:r>
      <w:r w:rsidRPr="00E70CFD">
        <w:rPr>
          <w:i w:val="0"/>
          <w:iCs w:val="0"/>
          <w:u w:val="none"/>
        </w:rPr>
        <w:t xml:space="preserve"> 400 mg per day.</w:t>
      </w:r>
      <w:bookmarkStart w:id="12" w:name="_Hlk97648742"/>
      <w:r w:rsidR="00834007" w:rsidRPr="00E70CFD">
        <w:rPr>
          <w:i w:val="0"/>
          <w:iCs w:val="0"/>
          <w:u w:val="none"/>
          <w:vertAlign w:val="superscript"/>
        </w:rPr>
        <w:t>1</w:t>
      </w:r>
    </w:p>
    <w:bookmarkEnd w:id="12"/>
    <w:p w14:paraId="50592C8D" w14:textId="77777777" w:rsidR="00C62C52" w:rsidRPr="00E70CFD" w:rsidRDefault="00C62C52" w:rsidP="00C62C52">
      <w:pPr>
        <w:pStyle w:val="NCLBodyText"/>
      </w:pPr>
      <w:r w:rsidRPr="00E70CFD">
        <w:rPr>
          <w:b/>
          <w:bCs/>
        </w:rPr>
        <w:t>Table 1: Recommended dosage in adults with focal-onset seizures in epilepsy</w:t>
      </w:r>
    </w:p>
    <w:tbl>
      <w:tblPr>
        <w:tblW w:w="9206" w:type="dxa"/>
        <w:tblBorders>
          <w:top w:val="outset" w:sz="6" w:space="0" w:color="7B7B7B"/>
          <w:left w:val="outset" w:sz="6" w:space="0" w:color="7B7B7B"/>
          <w:bottom w:val="outset" w:sz="6" w:space="0" w:color="7B7B7B"/>
          <w:right w:val="outset" w:sz="6" w:space="0" w:color="7B7B7B"/>
        </w:tblBorders>
        <w:tblCellMar>
          <w:top w:w="24" w:type="dxa"/>
          <w:left w:w="24" w:type="dxa"/>
          <w:bottom w:w="24" w:type="dxa"/>
          <w:right w:w="24" w:type="dxa"/>
        </w:tblCellMar>
        <w:tblLook w:val="04A0" w:firstRow="1" w:lastRow="0" w:firstColumn="1" w:lastColumn="0" w:noHBand="0" w:noVBand="1"/>
      </w:tblPr>
      <w:tblGrid>
        <w:gridCol w:w="2402"/>
        <w:gridCol w:w="3401"/>
        <w:gridCol w:w="3403"/>
      </w:tblGrid>
      <w:tr w:rsidR="00C62C52" w:rsidRPr="00E70CFD" w14:paraId="5E9CFABA" w14:textId="77777777" w:rsidTr="00C62C52">
        <w:tc>
          <w:tcPr>
            <w:tcW w:w="1305"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80F0D2B" w14:textId="77777777" w:rsidR="00C62C52" w:rsidRPr="00E70CFD" w:rsidRDefault="00C62C52" w:rsidP="00C62C52">
            <w:pPr>
              <w:pStyle w:val="NCLBodyText"/>
            </w:pPr>
            <w:r w:rsidRPr="00E70CFD">
              <w:rPr>
                <w:b/>
                <w:bCs/>
              </w:rPr>
              <w:t>Treatment phase</w:t>
            </w:r>
          </w:p>
        </w:tc>
        <w:tc>
          <w:tcPr>
            <w:tcW w:w="184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478EC55" w14:textId="77777777" w:rsidR="00C62C52" w:rsidRPr="00E70CFD" w:rsidRDefault="00C62C52" w:rsidP="00C62C52">
            <w:pPr>
              <w:pStyle w:val="NCLBodyText"/>
            </w:pPr>
            <w:r w:rsidRPr="00E70CFD">
              <w:rPr>
                <w:b/>
                <w:bCs/>
              </w:rPr>
              <w:t>Dose (per day, oral)</w:t>
            </w:r>
          </w:p>
        </w:tc>
        <w:tc>
          <w:tcPr>
            <w:tcW w:w="184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E0F5E2E" w14:textId="77777777" w:rsidR="00C62C52" w:rsidRPr="00E70CFD" w:rsidRDefault="00C62C52" w:rsidP="00C62C52">
            <w:pPr>
              <w:pStyle w:val="NCLBodyText"/>
            </w:pPr>
            <w:r w:rsidRPr="00E70CFD">
              <w:rPr>
                <w:b/>
                <w:bCs/>
              </w:rPr>
              <w:t>Duration</w:t>
            </w:r>
          </w:p>
        </w:tc>
      </w:tr>
      <w:tr w:rsidR="00C62C52" w:rsidRPr="00E70CFD" w14:paraId="3BC4F63D" w14:textId="77777777" w:rsidTr="00C62C52">
        <w:tc>
          <w:tcPr>
            <w:tcW w:w="1305"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vAlign w:val="center"/>
            <w:hideMark/>
          </w:tcPr>
          <w:p w14:paraId="474BA0B0" w14:textId="77777777" w:rsidR="00C62C52" w:rsidRPr="00E70CFD" w:rsidRDefault="00C62C52" w:rsidP="00C62C52">
            <w:pPr>
              <w:pStyle w:val="NCLBodyText"/>
            </w:pPr>
            <w:r w:rsidRPr="00E70CFD">
              <w:t>Treatment initiation</w:t>
            </w:r>
          </w:p>
        </w:tc>
        <w:tc>
          <w:tcPr>
            <w:tcW w:w="184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B606817" w14:textId="77777777" w:rsidR="00C62C52" w:rsidRPr="00E70CFD" w:rsidRDefault="00C62C52" w:rsidP="00C62C52">
            <w:pPr>
              <w:pStyle w:val="NCLBodyText"/>
            </w:pPr>
            <w:r w:rsidRPr="00E70CFD">
              <w:t>12.5 mg</w:t>
            </w:r>
          </w:p>
        </w:tc>
        <w:tc>
          <w:tcPr>
            <w:tcW w:w="184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C860043" w14:textId="77777777" w:rsidR="00C62C52" w:rsidRPr="00E70CFD" w:rsidRDefault="00C62C52" w:rsidP="00C62C52">
            <w:pPr>
              <w:pStyle w:val="NCLBodyText"/>
            </w:pPr>
            <w:r w:rsidRPr="00E70CFD">
              <w:t>Weeks 1 and 2</w:t>
            </w:r>
          </w:p>
        </w:tc>
      </w:tr>
      <w:tr w:rsidR="00C62C52" w:rsidRPr="00E70CFD" w14:paraId="4E0BDA2E" w14:textId="77777777" w:rsidTr="00C62C52">
        <w:tc>
          <w:tcPr>
            <w:tcW w:w="1305" w:type="pct"/>
            <w:vMerge/>
            <w:tcBorders>
              <w:top w:val="outset" w:sz="6" w:space="0" w:color="7B7B7B"/>
              <w:left w:val="outset" w:sz="6" w:space="0" w:color="7B7B7B"/>
              <w:bottom w:val="outset" w:sz="6" w:space="0" w:color="7B7B7B"/>
              <w:right w:val="outset" w:sz="6" w:space="0" w:color="7B7B7B"/>
            </w:tcBorders>
            <w:shd w:val="clear" w:color="auto" w:fill="auto"/>
            <w:hideMark/>
          </w:tcPr>
          <w:p w14:paraId="0E274B38" w14:textId="77777777" w:rsidR="00C62C52" w:rsidRPr="00E70CFD" w:rsidRDefault="00C62C52" w:rsidP="00C62C52">
            <w:pPr>
              <w:pStyle w:val="NCLBodyText"/>
            </w:pPr>
          </w:p>
        </w:tc>
        <w:tc>
          <w:tcPr>
            <w:tcW w:w="184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47D5AA5" w14:textId="77777777" w:rsidR="00C62C52" w:rsidRPr="00E70CFD" w:rsidRDefault="00C62C52" w:rsidP="00C62C52">
            <w:pPr>
              <w:pStyle w:val="NCLBodyText"/>
            </w:pPr>
            <w:r w:rsidRPr="00E70CFD">
              <w:t>25 mg</w:t>
            </w:r>
          </w:p>
        </w:tc>
        <w:tc>
          <w:tcPr>
            <w:tcW w:w="184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80B215E" w14:textId="77777777" w:rsidR="00C62C52" w:rsidRPr="00E70CFD" w:rsidRDefault="00C62C52" w:rsidP="00C62C52">
            <w:pPr>
              <w:pStyle w:val="NCLBodyText"/>
            </w:pPr>
            <w:r w:rsidRPr="00E70CFD">
              <w:t>Weeks 3 and 4</w:t>
            </w:r>
          </w:p>
        </w:tc>
      </w:tr>
      <w:tr w:rsidR="00C62C52" w:rsidRPr="00E70CFD" w14:paraId="7AD76AA1" w14:textId="77777777" w:rsidTr="00C62C52">
        <w:tc>
          <w:tcPr>
            <w:tcW w:w="1305" w:type="pct"/>
            <w:vMerge w:val="restar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vAlign w:val="center"/>
            <w:hideMark/>
          </w:tcPr>
          <w:p w14:paraId="37BDF80B" w14:textId="77777777" w:rsidR="00C62C52" w:rsidRPr="00E70CFD" w:rsidRDefault="00C62C52" w:rsidP="00C62C52">
            <w:pPr>
              <w:pStyle w:val="NCLBodyText"/>
            </w:pPr>
            <w:r w:rsidRPr="00E70CFD">
              <w:t>Titration</w:t>
            </w:r>
          </w:p>
        </w:tc>
        <w:tc>
          <w:tcPr>
            <w:tcW w:w="184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DE195F7" w14:textId="77777777" w:rsidR="00C62C52" w:rsidRPr="00E70CFD" w:rsidRDefault="00C62C52" w:rsidP="00C62C52">
            <w:pPr>
              <w:pStyle w:val="NCLBodyText"/>
            </w:pPr>
            <w:r w:rsidRPr="00E70CFD">
              <w:t>50 mg</w:t>
            </w:r>
          </w:p>
        </w:tc>
        <w:tc>
          <w:tcPr>
            <w:tcW w:w="184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242E1A6" w14:textId="77777777" w:rsidR="00C62C52" w:rsidRPr="00E70CFD" w:rsidRDefault="00C62C52" w:rsidP="00C62C52">
            <w:pPr>
              <w:pStyle w:val="NCLBodyText"/>
            </w:pPr>
            <w:r w:rsidRPr="00E70CFD">
              <w:t>Weeks 5 and 6</w:t>
            </w:r>
          </w:p>
        </w:tc>
      </w:tr>
      <w:tr w:rsidR="00C62C52" w:rsidRPr="00E70CFD" w14:paraId="25A6622D" w14:textId="77777777" w:rsidTr="00C62C52">
        <w:tc>
          <w:tcPr>
            <w:tcW w:w="1305" w:type="pct"/>
            <w:vMerge/>
            <w:tcBorders>
              <w:top w:val="outset" w:sz="6" w:space="0" w:color="7B7B7B"/>
              <w:left w:val="outset" w:sz="6" w:space="0" w:color="7B7B7B"/>
              <w:bottom w:val="outset" w:sz="6" w:space="0" w:color="7B7B7B"/>
              <w:right w:val="outset" w:sz="6" w:space="0" w:color="7B7B7B"/>
            </w:tcBorders>
            <w:shd w:val="clear" w:color="auto" w:fill="auto"/>
            <w:hideMark/>
          </w:tcPr>
          <w:p w14:paraId="35228DB6" w14:textId="77777777" w:rsidR="00C62C52" w:rsidRPr="00E70CFD" w:rsidRDefault="00C62C52" w:rsidP="00C62C52">
            <w:pPr>
              <w:pStyle w:val="NCLBodyText"/>
            </w:pPr>
          </w:p>
        </w:tc>
        <w:tc>
          <w:tcPr>
            <w:tcW w:w="184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9A35643" w14:textId="77777777" w:rsidR="00C62C52" w:rsidRPr="00E70CFD" w:rsidRDefault="00C62C52" w:rsidP="00C62C52">
            <w:pPr>
              <w:pStyle w:val="NCLBodyText"/>
            </w:pPr>
            <w:r w:rsidRPr="00E70CFD">
              <w:t>100 mg</w:t>
            </w:r>
          </w:p>
        </w:tc>
        <w:tc>
          <w:tcPr>
            <w:tcW w:w="184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A310555" w14:textId="77777777" w:rsidR="00C62C52" w:rsidRPr="00E70CFD" w:rsidRDefault="00C62C52" w:rsidP="00C62C52">
            <w:pPr>
              <w:pStyle w:val="NCLBodyText"/>
            </w:pPr>
            <w:r w:rsidRPr="00E70CFD">
              <w:t>Weeks 7 and 8</w:t>
            </w:r>
          </w:p>
        </w:tc>
      </w:tr>
      <w:tr w:rsidR="00C62C52" w:rsidRPr="00E70CFD" w14:paraId="796EA27A" w14:textId="77777777" w:rsidTr="00C62C52">
        <w:tc>
          <w:tcPr>
            <w:tcW w:w="1305" w:type="pct"/>
            <w:vMerge/>
            <w:tcBorders>
              <w:top w:val="outset" w:sz="6" w:space="0" w:color="7B7B7B"/>
              <w:left w:val="outset" w:sz="6" w:space="0" w:color="7B7B7B"/>
              <w:bottom w:val="outset" w:sz="6" w:space="0" w:color="7B7B7B"/>
              <w:right w:val="outset" w:sz="6" w:space="0" w:color="7B7B7B"/>
            </w:tcBorders>
            <w:shd w:val="clear" w:color="auto" w:fill="auto"/>
            <w:hideMark/>
          </w:tcPr>
          <w:p w14:paraId="7B111915" w14:textId="77777777" w:rsidR="00C62C52" w:rsidRPr="00E70CFD" w:rsidRDefault="00C62C52" w:rsidP="00C62C52">
            <w:pPr>
              <w:pStyle w:val="NCLBodyText"/>
            </w:pPr>
          </w:p>
        </w:tc>
        <w:tc>
          <w:tcPr>
            <w:tcW w:w="184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9FC386F" w14:textId="77777777" w:rsidR="00C62C52" w:rsidRPr="00E70CFD" w:rsidRDefault="00C62C52" w:rsidP="00C62C52">
            <w:pPr>
              <w:pStyle w:val="NCLBodyText"/>
            </w:pPr>
            <w:r w:rsidRPr="00E70CFD">
              <w:t>150 mg</w:t>
            </w:r>
          </w:p>
        </w:tc>
        <w:tc>
          <w:tcPr>
            <w:tcW w:w="184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C0DD344" w14:textId="77777777" w:rsidR="00C62C52" w:rsidRPr="00E70CFD" w:rsidRDefault="00C62C52" w:rsidP="00C62C52">
            <w:pPr>
              <w:pStyle w:val="NCLBodyText"/>
            </w:pPr>
            <w:r w:rsidRPr="00E70CFD">
              <w:t>Weeks 9 and 10</w:t>
            </w:r>
          </w:p>
        </w:tc>
      </w:tr>
      <w:tr w:rsidR="00C62C52" w:rsidRPr="00E70CFD" w14:paraId="05FF7EE8" w14:textId="77777777" w:rsidTr="00C62C52">
        <w:tc>
          <w:tcPr>
            <w:tcW w:w="1305"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vAlign w:val="center"/>
            <w:hideMark/>
          </w:tcPr>
          <w:p w14:paraId="245C2D2A" w14:textId="77777777" w:rsidR="00C62C52" w:rsidRPr="00E70CFD" w:rsidRDefault="00C62C52" w:rsidP="00C62C52">
            <w:pPr>
              <w:pStyle w:val="NCLBodyText"/>
            </w:pPr>
            <w:r w:rsidRPr="00E70CFD">
              <w:t>Target dose</w:t>
            </w:r>
          </w:p>
        </w:tc>
        <w:tc>
          <w:tcPr>
            <w:tcW w:w="184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vAlign w:val="center"/>
            <w:hideMark/>
          </w:tcPr>
          <w:p w14:paraId="7F3D6E0F" w14:textId="77777777" w:rsidR="00C62C52" w:rsidRPr="00E70CFD" w:rsidRDefault="00C62C52" w:rsidP="00C62C52">
            <w:pPr>
              <w:pStyle w:val="NCLBodyText"/>
            </w:pPr>
            <w:r w:rsidRPr="00E70CFD">
              <w:t>200 mg</w:t>
            </w:r>
          </w:p>
        </w:tc>
        <w:tc>
          <w:tcPr>
            <w:tcW w:w="184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2B4326D" w14:textId="77777777" w:rsidR="00C62C52" w:rsidRPr="00E70CFD" w:rsidRDefault="00C62C52" w:rsidP="00C62C52">
            <w:pPr>
              <w:pStyle w:val="NCLBodyText"/>
            </w:pPr>
            <w:r w:rsidRPr="00E70CFD">
              <w:t>Weeks 11 and 12 and onwards</w:t>
            </w:r>
          </w:p>
        </w:tc>
      </w:tr>
      <w:tr w:rsidR="00C62C52" w:rsidRPr="00E70CFD" w14:paraId="48AC8A10" w14:textId="77777777" w:rsidTr="00C62C52">
        <w:tc>
          <w:tcPr>
            <w:tcW w:w="1305"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vAlign w:val="center"/>
            <w:hideMark/>
          </w:tcPr>
          <w:p w14:paraId="35B42EC6" w14:textId="77777777" w:rsidR="00C62C52" w:rsidRPr="00E70CFD" w:rsidRDefault="00C62C52" w:rsidP="00C62C52">
            <w:pPr>
              <w:pStyle w:val="NCLBodyText"/>
            </w:pPr>
            <w:r w:rsidRPr="00E70CFD">
              <w:t>Dose optimisation</w:t>
            </w:r>
          </w:p>
        </w:tc>
        <w:tc>
          <w:tcPr>
            <w:tcW w:w="3695"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C732703" w14:textId="77777777" w:rsidR="00C62C52" w:rsidRPr="00E70CFD" w:rsidRDefault="00C62C52" w:rsidP="00C62C52">
            <w:pPr>
              <w:pStyle w:val="NCLBodyText"/>
            </w:pPr>
            <w:r w:rsidRPr="00E70CFD">
              <w:t>Some patients, who do not reach optimal seizure control, may benefit from doses above 200 mg (increased by increments of 50 mg/day every two weeks) up to a maximum of 400 mg daily.</w:t>
            </w:r>
          </w:p>
        </w:tc>
      </w:tr>
    </w:tbl>
    <w:p w14:paraId="0DFE0FB1" w14:textId="77777777" w:rsidR="004079F0" w:rsidRDefault="004079F0" w:rsidP="005B3294">
      <w:pPr>
        <w:pStyle w:val="NCLBodyText"/>
        <w:rPr>
          <w:b/>
          <w:bCs/>
        </w:rPr>
      </w:pPr>
    </w:p>
    <w:p w14:paraId="2D01ACEF" w14:textId="3F4D27D6" w:rsidR="005B3294" w:rsidRPr="00E70CFD" w:rsidRDefault="005B3294" w:rsidP="005B3294">
      <w:pPr>
        <w:pStyle w:val="NCLBodyText"/>
        <w:rPr>
          <w:b/>
          <w:bCs/>
        </w:rPr>
      </w:pPr>
      <w:r w:rsidRPr="00E70CFD">
        <w:rPr>
          <w:b/>
          <w:bCs/>
        </w:rPr>
        <w:t>Renal impairment</w:t>
      </w:r>
    </w:p>
    <w:p w14:paraId="345429E3" w14:textId="21E3DE31" w:rsidR="005B3294" w:rsidRPr="00E70CFD" w:rsidRDefault="005B3294" w:rsidP="005B3294">
      <w:pPr>
        <w:pStyle w:val="NCLBodyText"/>
      </w:pPr>
      <w:r w:rsidRPr="00E70CFD">
        <w:t>Cenobamate should be used with caution and reduction of the target dose may be considered in patients with mild to moderate (creatinine clearance 30 to &lt;90 ml/min) or severe (creatinine clearance &lt; 30 ml/min) renal impairment. The maximum recommended dose for mild, moderate, or severe renal impairment is 300 mg/day. Cenobamate should not be used in patients with end-stage renal disease or undergoing haemodialysis.</w:t>
      </w:r>
      <w:bookmarkStart w:id="13" w:name="_Hlk97648910"/>
      <w:r w:rsidR="00834007" w:rsidRPr="00E70CFD">
        <w:rPr>
          <w:vertAlign w:val="superscript"/>
        </w:rPr>
        <w:t>1</w:t>
      </w:r>
      <w:bookmarkEnd w:id="13"/>
    </w:p>
    <w:p w14:paraId="1BD7B3DF" w14:textId="77777777" w:rsidR="005B3294" w:rsidRPr="00E70CFD" w:rsidRDefault="005B3294" w:rsidP="005B3294">
      <w:pPr>
        <w:pStyle w:val="NCLBodyText"/>
      </w:pPr>
    </w:p>
    <w:p w14:paraId="7DF645A3" w14:textId="6248F54E" w:rsidR="005B3294" w:rsidRPr="00E70CFD" w:rsidRDefault="005B3294" w:rsidP="005B3294">
      <w:pPr>
        <w:pStyle w:val="NCLBodyText"/>
        <w:rPr>
          <w:b/>
          <w:bCs/>
        </w:rPr>
      </w:pPr>
      <w:r w:rsidRPr="00E70CFD">
        <w:rPr>
          <w:b/>
          <w:bCs/>
        </w:rPr>
        <w:t>Hepatic impairment</w:t>
      </w:r>
    </w:p>
    <w:p w14:paraId="4B379A5F" w14:textId="62E7698C" w:rsidR="005B3294" w:rsidRPr="00E70CFD" w:rsidRDefault="005B3294" w:rsidP="005B3294">
      <w:pPr>
        <w:pStyle w:val="NCLBodyText"/>
      </w:pPr>
      <w:r w:rsidRPr="00E70CFD">
        <w:t>Exposure to cenobamate was increased in patients with chronic hepatic disease. A change in the starting dose is not required; however,</w:t>
      </w:r>
      <w:r w:rsidR="00D978FB" w:rsidRPr="00E70CFD">
        <w:t xml:space="preserve"> </w:t>
      </w:r>
      <w:r w:rsidR="0039704E" w:rsidRPr="00E70CFD">
        <w:t xml:space="preserve">a reduction in target dose of up to 50% can be considered by the specialist, and </w:t>
      </w:r>
      <w:r w:rsidR="00D978FB" w:rsidRPr="00E70CFD">
        <w:t>the</w:t>
      </w:r>
      <w:r w:rsidRPr="00E70CFD">
        <w:t xml:space="preserve"> maximum recommended dose in patients with mild and moderate hepatic impairment is 200 mg/day. Cenobamate should not be used in patients with severe hepatic impairment.</w:t>
      </w:r>
      <w:r w:rsidR="00834007" w:rsidRPr="00E70CFD">
        <w:rPr>
          <w:vertAlign w:val="superscript"/>
        </w:rPr>
        <w:t xml:space="preserve"> 1</w:t>
      </w:r>
    </w:p>
    <w:p w14:paraId="788CAD83" w14:textId="77777777" w:rsidR="005B3294" w:rsidRPr="00E70CFD" w:rsidRDefault="005B3294" w:rsidP="005B3294">
      <w:pPr>
        <w:pStyle w:val="NCLBodyText"/>
      </w:pPr>
    </w:p>
    <w:p w14:paraId="7A55C799" w14:textId="09A2A943" w:rsidR="00837B2E" w:rsidRPr="00E70CFD" w:rsidRDefault="00215845" w:rsidP="00F43B9B">
      <w:pPr>
        <w:pStyle w:val="NCLSubsection"/>
        <w:spacing w:before="0"/>
        <w:rPr>
          <w:rFonts w:asciiTheme="minorHAnsi" w:hAnsiTheme="minorHAnsi" w:cstheme="minorHAnsi"/>
          <w:b/>
          <w:bCs w:val="0"/>
          <w:i w:val="0"/>
          <w:iCs w:val="0"/>
          <w:u w:val="none"/>
        </w:rPr>
      </w:pPr>
      <w:r w:rsidRPr="00E70CFD">
        <w:rPr>
          <w:b/>
          <w:bCs w:val="0"/>
          <w:i w:val="0"/>
          <w:iCs w:val="0"/>
          <w:u w:val="none"/>
        </w:rPr>
        <w:t>Older people</w:t>
      </w:r>
    </w:p>
    <w:p w14:paraId="12951674" w14:textId="2F07D3F0" w:rsidR="00837B2E" w:rsidRDefault="00837B2E" w:rsidP="00837B2E">
      <w:pPr>
        <w:shd w:val="clear" w:color="auto" w:fill="FFFFFF"/>
        <w:spacing w:after="143"/>
        <w:rPr>
          <w:rFonts w:asciiTheme="minorHAnsi" w:hAnsiTheme="minorHAnsi" w:cstheme="minorHAnsi"/>
          <w:color w:val="000000"/>
          <w:sz w:val="22"/>
          <w:szCs w:val="22"/>
          <w:vertAlign w:val="superscript"/>
          <w:lang w:eastAsia="en-GB"/>
        </w:rPr>
      </w:pPr>
      <w:r w:rsidRPr="00E70CFD">
        <w:rPr>
          <w:rFonts w:asciiTheme="minorHAnsi" w:hAnsiTheme="minorHAnsi" w:cstheme="minorHAnsi"/>
          <w:color w:val="000000"/>
          <w:sz w:val="22"/>
          <w:szCs w:val="22"/>
          <w:lang w:eastAsia="en-GB"/>
        </w:rPr>
        <w:t>No clinically significant differences in the pharmacokinetics of cenobamate were observed based on age based on data from subjects aged 18 years to 77 years.</w:t>
      </w:r>
      <w:r w:rsidRPr="00E70CFD">
        <w:rPr>
          <w:rFonts w:asciiTheme="minorHAnsi" w:hAnsiTheme="minorHAnsi" w:cstheme="minorHAnsi"/>
          <w:color w:val="000000"/>
          <w:sz w:val="22"/>
          <w:szCs w:val="22"/>
          <w:vertAlign w:val="superscript"/>
          <w:lang w:eastAsia="en-GB"/>
        </w:rPr>
        <w:t>1</w:t>
      </w:r>
    </w:p>
    <w:p w14:paraId="419F4E7F" w14:textId="47D72441" w:rsidR="00D46B50" w:rsidRPr="00E70CFD" w:rsidRDefault="00D46B50" w:rsidP="00F43B9B">
      <w:pPr>
        <w:pStyle w:val="NCLSubsection"/>
        <w:spacing w:before="0"/>
      </w:pPr>
      <w:r w:rsidRPr="00E70CFD">
        <w:t>Preparations available</w:t>
      </w:r>
    </w:p>
    <w:p w14:paraId="1CFCB678" w14:textId="75823E47" w:rsidR="00A244A5" w:rsidRPr="00E70CFD" w:rsidRDefault="00A244A5" w:rsidP="00F43B9B">
      <w:pPr>
        <w:pStyle w:val="NCLBodyText"/>
        <w:spacing w:before="0"/>
      </w:pPr>
      <w:bookmarkStart w:id="14" w:name="_Hlk97633469"/>
      <w:r w:rsidRPr="00E70CFD">
        <w:t xml:space="preserve">Cenobamate (Ontozry) </w:t>
      </w:r>
      <w:bookmarkEnd w:id="14"/>
      <w:r w:rsidRPr="00E70CFD">
        <w:t>Treatment Initiation pack 12.5 mg tablets and 25 mg film-coated tablets</w:t>
      </w:r>
    </w:p>
    <w:p w14:paraId="63F3632E" w14:textId="0A6BE073" w:rsidR="00A244A5" w:rsidRPr="00E70CFD" w:rsidRDefault="00A244A5" w:rsidP="00F43B9B">
      <w:pPr>
        <w:pStyle w:val="NCLBodyText"/>
        <w:spacing w:before="0"/>
      </w:pPr>
      <w:r w:rsidRPr="00E70CFD">
        <w:t>Pack of 14 tablets of 12.5 mg and 14 film-coated tablets of 25 mg</w:t>
      </w:r>
    </w:p>
    <w:p w14:paraId="68B15CDF" w14:textId="678E4775" w:rsidR="00A244A5" w:rsidRPr="00E70CFD" w:rsidRDefault="00A244A5" w:rsidP="00F43B9B">
      <w:pPr>
        <w:pStyle w:val="NCLBodyText"/>
        <w:spacing w:before="0"/>
      </w:pPr>
      <w:r w:rsidRPr="00E70CFD">
        <w:t xml:space="preserve">Cenobamate (Ontozry) 50 mg film-coated tablets- packs of 14, 28 </w:t>
      </w:r>
    </w:p>
    <w:p w14:paraId="477E889E" w14:textId="001D7E3A" w:rsidR="00A244A5" w:rsidRPr="00E70CFD" w:rsidRDefault="00A244A5" w:rsidP="00F43B9B">
      <w:pPr>
        <w:pStyle w:val="NCLBodyText"/>
        <w:spacing w:before="0"/>
      </w:pPr>
      <w:r w:rsidRPr="00E70CFD">
        <w:t>Cenobamate (</w:t>
      </w:r>
      <w:r w:rsidR="00E77E4E" w:rsidRPr="00E70CFD">
        <w:t>Ontozry) 100</w:t>
      </w:r>
      <w:r w:rsidRPr="00E70CFD">
        <w:t xml:space="preserve"> mg film-coated tablets – packs of 14, 28 </w:t>
      </w:r>
    </w:p>
    <w:p w14:paraId="7EB8BDD3" w14:textId="4EF7BF48" w:rsidR="00A244A5" w:rsidRPr="00E70CFD" w:rsidRDefault="00A244A5" w:rsidP="00F43B9B">
      <w:pPr>
        <w:pStyle w:val="NCLBodyText"/>
        <w:spacing w:before="0"/>
      </w:pPr>
      <w:r w:rsidRPr="00E70CFD">
        <w:t xml:space="preserve">Cenobamate (Ontozry) 150 mg film-coated tablet – packs of 14, 28 </w:t>
      </w:r>
    </w:p>
    <w:p w14:paraId="46EC48C7" w14:textId="1FBA692A" w:rsidR="00C62C52" w:rsidRPr="00E70CFD" w:rsidRDefault="00A244A5" w:rsidP="00F43B9B">
      <w:pPr>
        <w:pStyle w:val="NCLBodyText"/>
        <w:spacing w:before="0"/>
      </w:pPr>
      <w:r w:rsidRPr="00E70CFD">
        <w:t>Cenobamate (Ontozry) 200 mg film-coated tablets– packs of 14, 28</w:t>
      </w:r>
    </w:p>
    <w:p w14:paraId="17932865" w14:textId="46B08361" w:rsidR="00CC34C1" w:rsidRPr="00E70CFD" w:rsidRDefault="00CC34C1" w:rsidP="00CC34C1">
      <w:pPr>
        <w:pStyle w:val="NCLHeading1"/>
      </w:pPr>
      <w:bookmarkStart w:id="15" w:name="_Toc112319335"/>
      <w:r w:rsidRPr="00E70CFD">
        <w:lastRenderedPageBreak/>
        <w:t>Adverse effects</w:t>
      </w:r>
      <w:bookmarkEnd w:id="15"/>
    </w:p>
    <w:p w14:paraId="03815E65" w14:textId="173827AF" w:rsidR="00CC34C1" w:rsidRPr="00E70CFD" w:rsidRDefault="00CC34C1" w:rsidP="00CC34C1">
      <w:pPr>
        <w:pStyle w:val="NCLBodyText"/>
      </w:pPr>
      <w:r w:rsidRPr="00E70CFD">
        <w:t xml:space="preserve">Possible adverse effects and what to do if they occur:  </w:t>
      </w:r>
    </w:p>
    <w:p w14:paraId="65505A36" w14:textId="114E5CE7" w:rsidR="009566ED" w:rsidRPr="00E70CFD" w:rsidRDefault="005406A2" w:rsidP="00CC34C1">
      <w:pPr>
        <w:pStyle w:val="NCLBodyText"/>
      </w:pPr>
      <w:r w:rsidRPr="00E70CFD">
        <w:t xml:space="preserve">The most commonly reported adverse reactions were </w:t>
      </w:r>
      <w:r w:rsidR="005E3554" w:rsidRPr="00E70CFD">
        <w:t>drowsiness</w:t>
      </w:r>
      <w:r w:rsidRPr="00E70CFD">
        <w:t>, dizziness, fatigue and headache.</w:t>
      </w:r>
      <w:r w:rsidR="00834007" w:rsidRPr="00E70CFD">
        <w:rPr>
          <w:vertAlign w:val="superscript"/>
        </w:rPr>
        <w:t xml:space="preserve"> 1</w:t>
      </w:r>
    </w:p>
    <w:p w14:paraId="4EC39E9C" w14:textId="3F8F0B43" w:rsidR="009566ED" w:rsidRPr="00E70CFD" w:rsidRDefault="00D61544" w:rsidP="009566ED">
      <w:pPr>
        <w:pStyle w:val="NCLBodyText"/>
        <w:numPr>
          <w:ilvl w:val="0"/>
          <w:numId w:val="16"/>
        </w:numPr>
      </w:pPr>
      <w:r w:rsidRPr="00E70CFD">
        <w:t xml:space="preserve">Drowsiness </w:t>
      </w:r>
      <w:r w:rsidR="009566ED" w:rsidRPr="00E70CFD">
        <w:t>or fatigue</w:t>
      </w:r>
      <w:r w:rsidR="00215845" w:rsidRPr="00E70CFD">
        <w:t xml:space="preserve"> </w:t>
      </w:r>
      <w:r w:rsidR="009566ED" w:rsidRPr="00E70CFD">
        <w:t>- These symptoms should subside</w:t>
      </w:r>
      <w:r w:rsidR="005E3554" w:rsidRPr="00E70CFD">
        <w:t>;</w:t>
      </w:r>
      <w:r w:rsidR="009566ED" w:rsidRPr="00E70CFD">
        <w:t xml:space="preserve"> however</w:t>
      </w:r>
      <w:r w:rsidR="005E3554" w:rsidRPr="00E70CFD">
        <w:t>,</w:t>
      </w:r>
      <w:r w:rsidR="007D4EB3" w:rsidRPr="00E70CFD">
        <w:t xml:space="preserve"> </w:t>
      </w:r>
      <w:r w:rsidR="005E3554" w:rsidRPr="00E70CFD">
        <w:t>the patient should be referred back to the specialist for evaluation if they persist</w:t>
      </w:r>
      <w:r w:rsidR="009566ED" w:rsidRPr="00E70CFD">
        <w:t xml:space="preserve">. </w:t>
      </w:r>
    </w:p>
    <w:p w14:paraId="14EA09DA" w14:textId="13F52246" w:rsidR="009566ED" w:rsidRPr="00E70CFD" w:rsidRDefault="009566ED" w:rsidP="009566ED">
      <w:pPr>
        <w:pStyle w:val="ListParagraph"/>
        <w:numPr>
          <w:ilvl w:val="0"/>
          <w:numId w:val="16"/>
        </w:numPr>
        <w:rPr>
          <w:rFonts w:eastAsiaTheme="minorHAnsi" w:cs="Calibri"/>
          <w:sz w:val="22"/>
          <w:szCs w:val="22"/>
        </w:rPr>
      </w:pPr>
      <w:r w:rsidRPr="00E70CFD">
        <w:rPr>
          <w:rFonts w:eastAsiaTheme="minorHAnsi" w:cs="Calibri"/>
          <w:sz w:val="22"/>
          <w:szCs w:val="22"/>
        </w:rPr>
        <w:t xml:space="preserve">Dizziness- If this </w:t>
      </w:r>
      <w:r w:rsidR="00990743" w:rsidRPr="00E70CFD">
        <w:rPr>
          <w:rFonts w:eastAsiaTheme="minorHAnsi" w:cs="Calibri"/>
          <w:sz w:val="22"/>
          <w:szCs w:val="22"/>
        </w:rPr>
        <w:t>occurs</w:t>
      </w:r>
      <w:r w:rsidRPr="00E70CFD">
        <w:rPr>
          <w:rFonts w:eastAsiaTheme="minorHAnsi" w:cs="Calibri"/>
          <w:sz w:val="22"/>
          <w:szCs w:val="22"/>
        </w:rPr>
        <w:t xml:space="preserve">, the patient should be advised not </w:t>
      </w:r>
      <w:r w:rsidR="005E3554" w:rsidRPr="00E70CFD">
        <w:rPr>
          <w:rFonts w:eastAsiaTheme="minorHAnsi" w:cs="Calibri"/>
          <w:sz w:val="22"/>
          <w:szCs w:val="22"/>
        </w:rPr>
        <w:t xml:space="preserve">to </w:t>
      </w:r>
      <w:r w:rsidR="00990743" w:rsidRPr="00E70CFD">
        <w:rPr>
          <w:rFonts w:eastAsiaTheme="minorHAnsi" w:cs="Calibri"/>
          <w:sz w:val="22"/>
          <w:szCs w:val="22"/>
        </w:rPr>
        <w:t>drive (</w:t>
      </w:r>
      <w:r w:rsidRPr="00E70CFD">
        <w:rPr>
          <w:rFonts w:eastAsiaTheme="minorHAnsi" w:cs="Calibri"/>
          <w:sz w:val="22"/>
          <w:szCs w:val="22"/>
        </w:rPr>
        <w:t>if applicable) and not to use tools or machinery. If this do</w:t>
      </w:r>
      <w:r w:rsidR="005E3554" w:rsidRPr="00E70CFD">
        <w:rPr>
          <w:rFonts w:eastAsiaTheme="minorHAnsi" w:cs="Calibri"/>
          <w:sz w:val="22"/>
          <w:szCs w:val="22"/>
        </w:rPr>
        <w:t>es</w:t>
      </w:r>
      <w:r w:rsidRPr="00E70CFD">
        <w:rPr>
          <w:rFonts w:eastAsiaTheme="minorHAnsi" w:cs="Calibri"/>
          <w:sz w:val="22"/>
          <w:szCs w:val="22"/>
        </w:rPr>
        <w:t xml:space="preserve"> not subside</w:t>
      </w:r>
      <w:r w:rsidR="005E3554" w:rsidRPr="00E70CFD">
        <w:rPr>
          <w:rFonts w:eastAsiaTheme="minorHAnsi" w:cs="Calibri"/>
          <w:sz w:val="22"/>
          <w:szCs w:val="22"/>
        </w:rPr>
        <w:t>,</w:t>
      </w:r>
      <w:r w:rsidRPr="00E70CFD">
        <w:rPr>
          <w:rFonts w:eastAsiaTheme="minorHAnsi" w:cs="Calibri"/>
          <w:sz w:val="22"/>
          <w:szCs w:val="22"/>
        </w:rPr>
        <w:t xml:space="preserve"> the patient should be referred to </w:t>
      </w:r>
      <w:r w:rsidR="005E3554" w:rsidRPr="00E70CFD">
        <w:rPr>
          <w:rFonts w:eastAsiaTheme="minorHAnsi" w:cs="Calibri"/>
          <w:sz w:val="22"/>
          <w:szCs w:val="22"/>
        </w:rPr>
        <w:t xml:space="preserve">a </w:t>
      </w:r>
      <w:r w:rsidRPr="00E70CFD">
        <w:rPr>
          <w:rFonts w:eastAsiaTheme="minorHAnsi" w:cs="Calibri"/>
          <w:sz w:val="22"/>
          <w:szCs w:val="22"/>
        </w:rPr>
        <w:t>specialist</w:t>
      </w:r>
      <w:r w:rsidR="007D4EB3" w:rsidRPr="00E70CFD">
        <w:rPr>
          <w:rFonts w:eastAsiaTheme="minorHAnsi" w:cs="Calibri"/>
          <w:sz w:val="22"/>
          <w:szCs w:val="22"/>
        </w:rPr>
        <w:t xml:space="preserve"> for evaluation</w:t>
      </w:r>
      <w:r w:rsidRPr="00E70CFD">
        <w:rPr>
          <w:rFonts w:eastAsiaTheme="minorHAnsi" w:cs="Calibri"/>
          <w:sz w:val="22"/>
          <w:szCs w:val="22"/>
        </w:rPr>
        <w:t>.</w:t>
      </w:r>
    </w:p>
    <w:p w14:paraId="05FF191D" w14:textId="5F9A4FBE" w:rsidR="009566ED" w:rsidRPr="00E70CFD" w:rsidRDefault="009566ED" w:rsidP="00D978FB">
      <w:pPr>
        <w:pStyle w:val="NCLBodyText"/>
        <w:numPr>
          <w:ilvl w:val="0"/>
          <w:numId w:val="16"/>
        </w:numPr>
      </w:pPr>
      <w:r w:rsidRPr="00E70CFD">
        <w:t>Headache</w:t>
      </w:r>
      <w:r w:rsidR="00215845" w:rsidRPr="00E70CFD">
        <w:t xml:space="preserve"> </w:t>
      </w:r>
      <w:r w:rsidRPr="00E70CFD">
        <w:t xml:space="preserve">- The patient should be advised to keep hydrated with water and rest. If the headache persists, </w:t>
      </w:r>
      <w:bookmarkStart w:id="16" w:name="_Hlk97634535"/>
      <w:r w:rsidRPr="00E70CFD">
        <w:t xml:space="preserve">this should be discussed with the specialist. </w:t>
      </w:r>
      <w:bookmarkEnd w:id="16"/>
    </w:p>
    <w:p w14:paraId="237CD973" w14:textId="145B3E30" w:rsidR="005406A2" w:rsidRPr="00E70CFD" w:rsidRDefault="005406A2" w:rsidP="00D978FB">
      <w:pPr>
        <w:pStyle w:val="NCLBodyText"/>
        <w:numPr>
          <w:ilvl w:val="0"/>
          <w:numId w:val="16"/>
        </w:numPr>
      </w:pPr>
      <w:r w:rsidRPr="00E70CFD">
        <w:t>Diplopia</w:t>
      </w:r>
      <w:r w:rsidR="00215845" w:rsidRPr="00E70CFD">
        <w:t xml:space="preserve"> </w:t>
      </w:r>
      <w:r w:rsidR="00990743" w:rsidRPr="00E70CFD">
        <w:t>- if this persists</w:t>
      </w:r>
      <w:r w:rsidR="00D978FB" w:rsidRPr="00E70CFD">
        <w:t xml:space="preserve"> </w:t>
      </w:r>
      <w:r w:rsidR="00C972DA" w:rsidRPr="00E70CFD">
        <w:t xml:space="preserve">the patient should be referred back to the specialist. </w:t>
      </w:r>
    </w:p>
    <w:p w14:paraId="7F9EAAAA" w14:textId="77777777" w:rsidR="00215845" w:rsidRPr="00E70CFD" w:rsidRDefault="00215845" w:rsidP="002D50D0">
      <w:pPr>
        <w:pStyle w:val="NCLBodyText"/>
        <w:ind w:left="360"/>
        <w:rPr>
          <w:b/>
          <w:bCs/>
        </w:rPr>
      </w:pPr>
    </w:p>
    <w:p w14:paraId="31CDD84D" w14:textId="2389FC3E" w:rsidR="005406A2" w:rsidRPr="00E70CFD" w:rsidRDefault="005406A2" w:rsidP="005406A2">
      <w:pPr>
        <w:pStyle w:val="NCLBodyText"/>
        <w:ind w:left="720"/>
        <w:rPr>
          <w:b/>
          <w:bCs/>
        </w:rPr>
      </w:pPr>
      <w:r w:rsidRPr="00E70CFD">
        <w:rPr>
          <w:b/>
          <w:bCs/>
        </w:rPr>
        <w:t>Uncommon serious side ef</w:t>
      </w:r>
      <w:r w:rsidR="007D4EB3" w:rsidRPr="00E70CFD">
        <w:rPr>
          <w:b/>
          <w:bCs/>
        </w:rPr>
        <w:t>fects</w:t>
      </w:r>
    </w:p>
    <w:p w14:paraId="10AB4804" w14:textId="77777777" w:rsidR="00CC650F" w:rsidRPr="00E70CFD" w:rsidRDefault="005406A2" w:rsidP="00CC650F">
      <w:pPr>
        <w:pStyle w:val="NCLBodyText"/>
        <w:numPr>
          <w:ilvl w:val="0"/>
          <w:numId w:val="17"/>
        </w:numPr>
      </w:pPr>
      <w:bookmarkStart w:id="17" w:name="_Hlk97643837"/>
      <w:r w:rsidRPr="00E70CFD">
        <w:t>Drug Reaction with Eosinophilia and Systemic Symptoms (DRESS)</w:t>
      </w:r>
      <w:r w:rsidR="00E80F73" w:rsidRPr="00E70CFD">
        <w:t>.</w:t>
      </w:r>
      <w:r w:rsidR="00CC650F" w:rsidRPr="00E70CFD">
        <w:t xml:space="preserve"> </w:t>
      </w:r>
      <w:bookmarkEnd w:id="17"/>
    </w:p>
    <w:p w14:paraId="31CB1375" w14:textId="41F6A159" w:rsidR="00E80F73" w:rsidRPr="00E70CFD" w:rsidRDefault="00CC650F" w:rsidP="00CC650F">
      <w:pPr>
        <w:pStyle w:val="NCLBodyText"/>
        <w:ind w:left="720"/>
      </w:pPr>
      <w:r w:rsidRPr="00E70CFD">
        <w:t xml:space="preserve">DRESS, which can be life-threatening or fatal, has been reported </w:t>
      </w:r>
      <w:r w:rsidR="005E3554" w:rsidRPr="00E70CFD">
        <w:t>associated</w:t>
      </w:r>
      <w:r w:rsidRPr="00E70CFD">
        <w:t xml:space="preserve"> with cenobamate when started at higher doses and titrated rapidly (weekly or faster titration). When cenobamate was initiated at 12.5 mg/day and titrated every two weeks, in an open-label safety study of 1,340 epilepsy patients, no </w:t>
      </w:r>
      <w:r w:rsidR="005E3554" w:rsidRPr="00E70CFD">
        <w:t>cases</w:t>
      </w:r>
      <w:r w:rsidRPr="00E70CFD">
        <w:t xml:space="preserve"> </w:t>
      </w:r>
      <w:r w:rsidR="00990743" w:rsidRPr="00E70CFD">
        <w:t xml:space="preserve">of DRESS </w:t>
      </w:r>
      <w:r w:rsidRPr="00E70CFD">
        <w:t xml:space="preserve">were reported. </w:t>
      </w:r>
      <w:r w:rsidR="00834007" w:rsidRPr="00E70CFD">
        <w:rPr>
          <w:vertAlign w:val="superscript"/>
        </w:rPr>
        <w:t>1</w:t>
      </w:r>
    </w:p>
    <w:p w14:paraId="5C920499" w14:textId="77777777" w:rsidR="00CC650F" w:rsidRPr="00E70CFD" w:rsidRDefault="00CC650F" w:rsidP="00CC650F">
      <w:pPr>
        <w:pStyle w:val="NCLBodyText"/>
        <w:ind w:left="720"/>
      </w:pPr>
    </w:p>
    <w:p w14:paraId="585CA2EF" w14:textId="2D98ABD3" w:rsidR="005406A2" w:rsidRPr="00E70CFD" w:rsidRDefault="00E80F73" w:rsidP="00E80F73">
      <w:pPr>
        <w:pStyle w:val="NCLBodyText"/>
        <w:ind w:left="720"/>
      </w:pPr>
      <w:r w:rsidRPr="00E70CFD">
        <w:t xml:space="preserve">Symptoms of DRESS </w:t>
      </w:r>
      <w:r w:rsidR="007D4EB3" w:rsidRPr="00E70CFD">
        <w:t>typically (although not exclusively) include</w:t>
      </w:r>
      <w:r w:rsidRPr="00E70CFD">
        <w:t xml:space="preserve"> fever, rash associated with other organ system involvement, lymphadenopathy, liver function tests abnormalities and eosinophilia. If signs and symptoms suggestive of </w:t>
      </w:r>
      <w:r w:rsidR="00990743" w:rsidRPr="00E70CFD">
        <w:t>this reaction</w:t>
      </w:r>
      <w:r w:rsidRPr="00E70CFD">
        <w:t xml:space="preserve"> appear, cenobamate should be withdrawn immediately</w:t>
      </w:r>
      <w:r w:rsidR="005E3554" w:rsidRPr="00E70CFD">
        <w:t>,</w:t>
      </w:r>
      <w:r w:rsidRPr="00E70CFD">
        <w:t xml:space="preserve"> and the patient should </w:t>
      </w:r>
      <w:r w:rsidR="00A9043B" w:rsidRPr="00E70CFD">
        <w:t>atten</w:t>
      </w:r>
      <w:r w:rsidR="008B6AA7" w:rsidRPr="00E70CFD">
        <w:t>d</w:t>
      </w:r>
      <w:r w:rsidR="00A9043B" w:rsidRPr="00E70CFD">
        <w:t xml:space="preserve"> their local emergency department</w:t>
      </w:r>
      <w:r w:rsidRPr="00E70CFD">
        <w:t>. The specialist should be informed of this.</w:t>
      </w:r>
      <w:r w:rsidR="00834007" w:rsidRPr="00E70CFD">
        <w:rPr>
          <w:vertAlign w:val="superscript"/>
        </w:rPr>
        <w:t xml:space="preserve"> 1</w:t>
      </w:r>
    </w:p>
    <w:p w14:paraId="63237CEE" w14:textId="77777777" w:rsidR="00E80F73" w:rsidRPr="00E70CFD" w:rsidRDefault="00E80F73" w:rsidP="00E80F73">
      <w:pPr>
        <w:pStyle w:val="NCLBodyText"/>
        <w:ind w:left="720"/>
      </w:pPr>
    </w:p>
    <w:p w14:paraId="70715DB4" w14:textId="1D45D898" w:rsidR="00026C00" w:rsidRPr="00E70CFD" w:rsidRDefault="00E80F73" w:rsidP="00D978FB">
      <w:pPr>
        <w:pStyle w:val="NCLBodyText"/>
        <w:numPr>
          <w:ilvl w:val="0"/>
          <w:numId w:val="17"/>
        </w:numPr>
      </w:pPr>
      <w:r w:rsidRPr="00E70CFD">
        <w:t xml:space="preserve">Suicidal </w:t>
      </w:r>
      <w:r w:rsidR="00C972DA" w:rsidRPr="00E70CFD">
        <w:t>Behaviour</w:t>
      </w:r>
      <w:r w:rsidRPr="00E70CFD">
        <w:t xml:space="preserve"> and Ideation</w:t>
      </w:r>
      <w:r w:rsidR="00026C00" w:rsidRPr="00E70CFD">
        <w:t xml:space="preserve">                                                                                                                                   </w:t>
      </w:r>
    </w:p>
    <w:p w14:paraId="5158221E" w14:textId="0FCCCD7A" w:rsidR="00026C00" w:rsidRPr="00E70CFD" w:rsidRDefault="00026C00" w:rsidP="00026C00">
      <w:pPr>
        <w:pStyle w:val="NCLBodyText"/>
        <w:ind w:left="720"/>
      </w:pPr>
      <w:r w:rsidRPr="00E70CFD">
        <w:t>There ha</w:t>
      </w:r>
      <w:r w:rsidR="008B6AA7" w:rsidRPr="00E70CFD">
        <w:t xml:space="preserve">ve </w:t>
      </w:r>
      <w:r w:rsidRPr="00E70CFD">
        <w:t>been reports of suicidal ideation and behaviour with anti</w:t>
      </w:r>
      <w:r w:rsidR="00D978FB" w:rsidRPr="00E70CFD">
        <w:t>-</w:t>
      </w:r>
      <w:r w:rsidR="005E3554" w:rsidRPr="00E70CFD">
        <w:t xml:space="preserve">seizure </w:t>
      </w:r>
      <w:r w:rsidRPr="00E70CFD">
        <w:t>agents in several indications. Th</w:t>
      </w:r>
      <w:r w:rsidR="005E3554" w:rsidRPr="00E70CFD">
        <w:t>is risk mechanism is un</w:t>
      </w:r>
      <w:r w:rsidRPr="00E70CFD">
        <w:t>known</w:t>
      </w:r>
      <w:r w:rsidR="005E3554" w:rsidRPr="00E70CFD">
        <w:t>,</w:t>
      </w:r>
      <w:r w:rsidRPr="00E70CFD">
        <w:t xml:space="preserve"> and the available data do not exclude the possibility of an increased risk for cenobamate</w:t>
      </w:r>
      <w:r w:rsidR="00834007" w:rsidRPr="00E70CFD">
        <w:t>. P</w:t>
      </w:r>
      <w:r w:rsidRPr="00E70CFD">
        <w:t>atients should be monitored for signs of suicidal ideation &amp; behaviour and should be advised to seek medical advice if signs emerge during treatment.</w:t>
      </w:r>
    </w:p>
    <w:p w14:paraId="43AF0562" w14:textId="2C6E67DB" w:rsidR="00026C00" w:rsidRPr="00E70CFD" w:rsidRDefault="00026C00" w:rsidP="00026C00">
      <w:pPr>
        <w:pStyle w:val="NCLBodyText"/>
        <w:ind w:left="720"/>
      </w:pPr>
    </w:p>
    <w:p w14:paraId="546D84D1" w14:textId="44EA8E11" w:rsidR="00026C00" w:rsidRPr="00E70CFD" w:rsidRDefault="005B3294" w:rsidP="005B3294">
      <w:pPr>
        <w:pStyle w:val="NCLBodyText"/>
      </w:pPr>
      <w:r w:rsidRPr="00E70CFD">
        <w:t>In case of an allergic reaction, cenobamate should be immediately discontinued</w:t>
      </w:r>
      <w:r w:rsidR="005E3554" w:rsidRPr="00E70CFD">
        <w:t>,</w:t>
      </w:r>
      <w:r w:rsidRPr="00E70CFD">
        <w:t xml:space="preserve"> and the consultant and/or specialist nurse should be informed</w:t>
      </w:r>
    </w:p>
    <w:p w14:paraId="2BF0F262" w14:textId="77777777" w:rsidR="00026C00" w:rsidRPr="00E70CFD" w:rsidRDefault="00026C00" w:rsidP="00E80F73">
      <w:pPr>
        <w:pStyle w:val="NCLBodyText"/>
        <w:ind w:left="720"/>
      </w:pPr>
    </w:p>
    <w:p w14:paraId="0215F574" w14:textId="6C3BE4BF" w:rsidR="005406A2" w:rsidRPr="00E70CFD" w:rsidRDefault="00026C00" w:rsidP="005B3294">
      <w:pPr>
        <w:pStyle w:val="NCLBodyText"/>
      </w:pPr>
      <w:r w:rsidRPr="00E70CFD">
        <w:t xml:space="preserve">For a full list of adverse effects, refer to the Summary of Product </w:t>
      </w:r>
      <w:r w:rsidR="00215845" w:rsidRPr="00E70CFD">
        <w:t>Characteristics:</w:t>
      </w:r>
      <w:r w:rsidR="005B3294" w:rsidRPr="00E70CFD">
        <w:rPr>
          <w:rFonts w:eastAsia="Times New Roman" w:cs="Times New Roman"/>
          <w:sz w:val="20"/>
          <w:szCs w:val="20"/>
        </w:rPr>
        <w:t xml:space="preserve"> </w:t>
      </w:r>
      <w:hyperlink r:id="rId13" w:history="1">
        <w:r w:rsidR="005B3294" w:rsidRPr="00E70CFD">
          <w:rPr>
            <w:rFonts w:eastAsia="Times New Roman" w:cs="Times New Roman"/>
            <w:color w:val="0000FF"/>
            <w:sz w:val="20"/>
            <w:szCs w:val="20"/>
            <w:u w:val="single"/>
          </w:rPr>
          <w:t>Ontozry 200 mg film-coated tablets - Summary of Product Characteristics (SmPC) - (emc) (medicines.org.uk)</w:t>
        </w:r>
      </w:hyperlink>
    </w:p>
    <w:p w14:paraId="1F19E582" w14:textId="77777777" w:rsidR="00E80F73" w:rsidRPr="00E70CFD" w:rsidRDefault="00E80F73" w:rsidP="00CC34C1">
      <w:pPr>
        <w:pStyle w:val="NCLBodyText"/>
      </w:pPr>
    </w:p>
    <w:p w14:paraId="62B75F67" w14:textId="25B9E7FE" w:rsidR="00CC34C1" w:rsidRPr="00E70CFD" w:rsidRDefault="00CC34C1" w:rsidP="00CC34C1">
      <w:pPr>
        <w:pStyle w:val="NCLBodyText"/>
      </w:pPr>
      <w:r w:rsidRPr="00E70CFD">
        <w:t>Serious suspected reactions (even if well recognised or causal link uncertain) should be reported to the CHM.</w:t>
      </w:r>
      <w:r w:rsidR="00D802A8" w:rsidRPr="00E70CFD">
        <w:t xml:space="preserve"> </w:t>
      </w:r>
    </w:p>
    <w:p w14:paraId="4304D6DF" w14:textId="2C5F728A" w:rsidR="00D802A8" w:rsidRDefault="00D802A8" w:rsidP="00CC34C1">
      <w:pPr>
        <w:pStyle w:val="NCLBodyText"/>
      </w:pPr>
      <w:r w:rsidRPr="00E70CFD">
        <w:rPr>
          <w:rFonts w:asciiTheme="minorHAnsi" w:hAnsiTheme="minorHAnsi" w:cs="Helvetica"/>
          <w:i/>
          <w:iCs/>
          <w:color w:val="000000"/>
        </w:rPr>
        <w:t xml:space="preserve">Cenobamate is a black triangle drug and as such is subject to additional monitoring. Healthcare professionals are asked to report any suspected adverse reactions using the </w:t>
      </w:r>
      <w:r w:rsidRPr="00E70CFD">
        <w:rPr>
          <w:rFonts w:asciiTheme="minorHAnsi" w:hAnsiTheme="minorHAnsi" w:cs="Helvetica"/>
          <w:i/>
          <w:iCs/>
          <w:color w:val="0000FF"/>
          <w:u w:val="single"/>
        </w:rPr>
        <w:t>Yellow Card Scheme</w:t>
      </w:r>
      <w:r w:rsidRPr="00E70CFD">
        <w:t>.</w:t>
      </w:r>
    </w:p>
    <w:p w14:paraId="37F03EBD" w14:textId="77777777" w:rsidR="004079F0" w:rsidRDefault="004079F0" w:rsidP="00CC34C1">
      <w:pPr>
        <w:pStyle w:val="NCLBodyText"/>
      </w:pPr>
    </w:p>
    <w:p w14:paraId="2B8FAF20" w14:textId="77777777" w:rsidR="004079F0" w:rsidRDefault="004079F0" w:rsidP="00CC34C1">
      <w:pPr>
        <w:pStyle w:val="NCLBodyText"/>
      </w:pPr>
    </w:p>
    <w:p w14:paraId="153E8284" w14:textId="77777777" w:rsidR="004079F0" w:rsidRPr="00E70CFD" w:rsidRDefault="004079F0" w:rsidP="00CC34C1">
      <w:pPr>
        <w:pStyle w:val="NCLBodyText"/>
      </w:pPr>
    </w:p>
    <w:p w14:paraId="144A283B" w14:textId="130CAF6F" w:rsidR="00E12535" w:rsidRPr="00E70CFD" w:rsidRDefault="00CC34C1" w:rsidP="007D39B2">
      <w:pPr>
        <w:pStyle w:val="NCLHeading1"/>
      </w:pPr>
      <w:bookmarkStart w:id="18" w:name="_Toc112319336"/>
      <w:r w:rsidRPr="00E70CFD">
        <w:lastRenderedPageBreak/>
        <w:t>Caution</w:t>
      </w:r>
      <w:r w:rsidR="007D39B2" w:rsidRPr="00E70CFD">
        <w:t>s</w:t>
      </w:r>
      <w:bookmarkEnd w:id="18"/>
    </w:p>
    <w:p w14:paraId="528F3683" w14:textId="77777777" w:rsidR="00E12535" w:rsidRPr="00E70CFD" w:rsidRDefault="00E12535" w:rsidP="00E12535">
      <w:pPr>
        <w:shd w:val="clear" w:color="auto" w:fill="FFFFFF"/>
        <w:spacing w:after="0"/>
        <w:rPr>
          <w:b/>
          <w:bCs/>
          <w:sz w:val="22"/>
          <w:szCs w:val="22"/>
        </w:rPr>
      </w:pPr>
    </w:p>
    <w:p w14:paraId="5B2B16A8" w14:textId="0F26401B" w:rsidR="00E12535" w:rsidRPr="00E70CFD" w:rsidRDefault="00E12535" w:rsidP="00E12535">
      <w:pPr>
        <w:shd w:val="clear" w:color="auto" w:fill="FFFFFF"/>
        <w:spacing w:after="0"/>
        <w:rPr>
          <w:b/>
          <w:bCs/>
          <w:sz w:val="22"/>
          <w:szCs w:val="22"/>
        </w:rPr>
      </w:pPr>
      <w:r w:rsidRPr="00E70CFD">
        <w:rPr>
          <w:b/>
          <w:bCs/>
          <w:sz w:val="22"/>
          <w:szCs w:val="22"/>
        </w:rPr>
        <w:t>Women of childbearing potential</w:t>
      </w:r>
    </w:p>
    <w:p w14:paraId="163451CE" w14:textId="5037FE5E" w:rsidR="00FF7352" w:rsidRPr="00E70CFD" w:rsidRDefault="00E12535" w:rsidP="00E12535">
      <w:pPr>
        <w:shd w:val="clear" w:color="auto" w:fill="FFFFFF"/>
        <w:spacing w:after="0"/>
        <w:rPr>
          <w:sz w:val="22"/>
          <w:szCs w:val="22"/>
        </w:rPr>
      </w:pPr>
      <w:r w:rsidRPr="00E70CFD">
        <w:rPr>
          <w:sz w:val="22"/>
          <w:szCs w:val="22"/>
        </w:rPr>
        <w:t xml:space="preserve">There </w:t>
      </w:r>
      <w:r w:rsidR="007D39B2" w:rsidRPr="00E70CFD">
        <w:rPr>
          <w:sz w:val="22"/>
          <w:szCs w:val="22"/>
        </w:rPr>
        <w:t>is no</w:t>
      </w:r>
      <w:r w:rsidRPr="00E70CFD">
        <w:rPr>
          <w:sz w:val="22"/>
          <w:szCs w:val="22"/>
        </w:rPr>
        <w:t xml:space="preserve"> adequate data f</w:t>
      </w:r>
      <w:r w:rsidR="007D39B2" w:rsidRPr="00E70CFD">
        <w:rPr>
          <w:sz w:val="22"/>
          <w:szCs w:val="22"/>
        </w:rPr>
        <w:t>or</w:t>
      </w:r>
      <w:r w:rsidRPr="00E70CFD">
        <w:rPr>
          <w:sz w:val="22"/>
          <w:szCs w:val="22"/>
        </w:rPr>
        <w:t xml:space="preserve"> the use of cenobamate in pregnant women.</w:t>
      </w:r>
      <w:r w:rsidR="007D39B2" w:rsidRPr="00E70CFD">
        <w:rPr>
          <w:sz w:val="22"/>
          <w:szCs w:val="22"/>
        </w:rPr>
        <w:t xml:space="preserve"> </w:t>
      </w:r>
      <w:r w:rsidRPr="00E70CFD">
        <w:rPr>
          <w:sz w:val="22"/>
          <w:szCs w:val="22"/>
        </w:rPr>
        <w:t xml:space="preserve">Women of childbearing potential must use effective contraception during cenobamate </w:t>
      </w:r>
      <w:r w:rsidR="005E3554" w:rsidRPr="00E70CFD">
        <w:rPr>
          <w:sz w:val="22"/>
          <w:szCs w:val="22"/>
        </w:rPr>
        <w:t xml:space="preserve">treatment </w:t>
      </w:r>
      <w:r w:rsidRPr="00E70CFD">
        <w:rPr>
          <w:sz w:val="22"/>
          <w:szCs w:val="22"/>
        </w:rPr>
        <w:t xml:space="preserve">and until </w:t>
      </w:r>
      <w:r w:rsidR="005E3554" w:rsidRPr="00E70CFD">
        <w:rPr>
          <w:sz w:val="22"/>
          <w:szCs w:val="22"/>
        </w:rPr>
        <w:t xml:space="preserve">four </w:t>
      </w:r>
      <w:r w:rsidRPr="00E70CFD">
        <w:rPr>
          <w:sz w:val="22"/>
          <w:szCs w:val="22"/>
        </w:rPr>
        <w:t xml:space="preserve">weeks after treatment discontinuation. </w:t>
      </w:r>
      <w:r w:rsidR="007D39B2" w:rsidRPr="00E70CFD">
        <w:rPr>
          <w:sz w:val="22"/>
          <w:szCs w:val="22"/>
        </w:rPr>
        <w:t>The efficacy of</w:t>
      </w:r>
      <w:r w:rsidRPr="00E70CFD">
        <w:rPr>
          <w:sz w:val="22"/>
          <w:szCs w:val="22"/>
        </w:rPr>
        <w:t xml:space="preserve"> hormonal contraceptives </w:t>
      </w:r>
      <w:r w:rsidR="007D39B2" w:rsidRPr="00E70CFD">
        <w:rPr>
          <w:sz w:val="22"/>
          <w:szCs w:val="22"/>
        </w:rPr>
        <w:t>m</w:t>
      </w:r>
      <w:r w:rsidRPr="00E70CFD">
        <w:rPr>
          <w:sz w:val="22"/>
          <w:szCs w:val="22"/>
        </w:rPr>
        <w:t xml:space="preserve">ay be reduced by concomitant use with cenobamate. Therefore, women of reproductive potential concomitantly using oral contraceptives should practice additional or alternative non-hormonal </w:t>
      </w:r>
      <w:r w:rsidR="005E3554" w:rsidRPr="00E70CFD">
        <w:rPr>
          <w:sz w:val="22"/>
          <w:szCs w:val="22"/>
        </w:rPr>
        <w:t>birth control measures</w:t>
      </w:r>
      <w:r w:rsidR="007D39B2" w:rsidRPr="00E70CFD">
        <w:rPr>
          <w:sz w:val="22"/>
          <w:szCs w:val="22"/>
        </w:rPr>
        <w:t xml:space="preserve">. </w:t>
      </w:r>
    </w:p>
    <w:p w14:paraId="4467A788" w14:textId="77777777" w:rsidR="00153EA9" w:rsidRPr="00E70CFD" w:rsidRDefault="00153EA9" w:rsidP="00153EA9">
      <w:pPr>
        <w:shd w:val="clear" w:color="auto" w:fill="FFFFFF"/>
        <w:spacing w:after="0"/>
        <w:rPr>
          <w:sz w:val="22"/>
          <w:szCs w:val="22"/>
        </w:rPr>
      </w:pPr>
    </w:p>
    <w:p w14:paraId="5792EF89" w14:textId="77777777" w:rsidR="00153EA9" w:rsidRPr="00E70CFD" w:rsidRDefault="00153EA9" w:rsidP="00153EA9">
      <w:pPr>
        <w:shd w:val="clear" w:color="auto" w:fill="FFFFFF"/>
        <w:spacing w:after="0"/>
        <w:rPr>
          <w:b/>
          <w:bCs/>
          <w:sz w:val="22"/>
          <w:szCs w:val="22"/>
        </w:rPr>
      </w:pPr>
      <w:r w:rsidRPr="00E70CFD">
        <w:rPr>
          <w:b/>
          <w:bCs/>
          <w:sz w:val="22"/>
          <w:szCs w:val="22"/>
        </w:rPr>
        <w:t>QT-shortening</w:t>
      </w:r>
    </w:p>
    <w:p w14:paraId="59792378" w14:textId="03BBADA9" w:rsidR="00153EA9" w:rsidRPr="00E70CFD" w:rsidRDefault="00153EA9" w:rsidP="00153EA9">
      <w:pPr>
        <w:shd w:val="clear" w:color="auto" w:fill="FFFFFF"/>
        <w:spacing w:after="0"/>
        <w:rPr>
          <w:sz w:val="22"/>
          <w:szCs w:val="22"/>
        </w:rPr>
      </w:pPr>
      <w:r w:rsidRPr="00E70CFD">
        <w:rPr>
          <w:sz w:val="22"/>
          <w:szCs w:val="22"/>
        </w:rPr>
        <w:t>A dose-dependent shortening of the QTc interval has been observed with cenobamate</w:t>
      </w:r>
      <w:r w:rsidR="005E3554" w:rsidRPr="00E70CFD">
        <w:rPr>
          <w:sz w:val="22"/>
          <w:szCs w:val="22"/>
        </w:rPr>
        <w:t xml:space="preserve"> but not </w:t>
      </w:r>
      <w:r w:rsidRPr="00E70CFD">
        <w:rPr>
          <w:sz w:val="22"/>
          <w:szCs w:val="22"/>
        </w:rPr>
        <w:t xml:space="preserve">below 340 msec. </w:t>
      </w:r>
      <w:r w:rsidR="005E3554" w:rsidRPr="00E70CFD">
        <w:rPr>
          <w:sz w:val="22"/>
          <w:szCs w:val="22"/>
        </w:rPr>
        <w:t>There was no evidence that combining cenobamate with other antiseizure medicines led to further QT-shortening in clinical trials</w:t>
      </w:r>
      <w:r w:rsidRPr="00E70CFD">
        <w:rPr>
          <w:sz w:val="22"/>
          <w:szCs w:val="22"/>
        </w:rPr>
        <w:t>. Clinicians should use caution when prescribing cenobamate in combination with other medicinal products known to shorten the QT (e.g</w:t>
      </w:r>
      <w:r w:rsidR="00EB29E6" w:rsidRPr="00E70CFD">
        <w:rPr>
          <w:sz w:val="22"/>
          <w:szCs w:val="22"/>
        </w:rPr>
        <w:t>.,</w:t>
      </w:r>
      <w:r w:rsidRPr="00E70CFD">
        <w:rPr>
          <w:sz w:val="22"/>
          <w:szCs w:val="22"/>
        </w:rPr>
        <w:t xml:space="preserve"> propranolol) and consider </w:t>
      </w:r>
      <w:r w:rsidR="008B6AA7" w:rsidRPr="00E70CFD">
        <w:rPr>
          <w:sz w:val="22"/>
          <w:szCs w:val="22"/>
        </w:rPr>
        <w:t>ECG</w:t>
      </w:r>
      <w:r w:rsidRPr="00E70CFD">
        <w:rPr>
          <w:sz w:val="22"/>
          <w:szCs w:val="22"/>
        </w:rPr>
        <w:t xml:space="preserve"> monitoring as appropriate.</w:t>
      </w:r>
    </w:p>
    <w:p w14:paraId="3D294E79" w14:textId="74B45E9B" w:rsidR="00CC650F" w:rsidRPr="00E70CFD" w:rsidRDefault="00CC650F" w:rsidP="00153EA9">
      <w:pPr>
        <w:shd w:val="clear" w:color="auto" w:fill="FFFFFF"/>
        <w:spacing w:after="0"/>
        <w:rPr>
          <w:sz w:val="22"/>
          <w:szCs w:val="22"/>
        </w:rPr>
      </w:pPr>
    </w:p>
    <w:p w14:paraId="1AF87EAE" w14:textId="5DF2EB69" w:rsidR="00CC650F" w:rsidRPr="00E70CFD" w:rsidRDefault="00CC650F" w:rsidP="00CC650F">
      <w:pPr>
        <w:shd w:val="clear" w:color="auto" w:fill="FFFFFF"/>
        <w:spacing w:after="0"/>
        <w:rPr>
          <w:b/>
          <w:bCs/>
          <w:sz w:val="22"/>
          <w:szCs w:val="22"/>
        </w:rPr>
      </w:pPr>
      <w:r w:rsidRPr="00E70CFD">
        <w:rPr>
          <w:b/>
          <w:bCs/>
          <w:sz w:val="22"/>
          <w:szCs w:val="22"/>
        </w:rPr>
        <w:t>Contains lactose</w:t>
      </w:r>
    </w:p>
    <w:p w14:paraId="469E5AAB" w14:textId="4A208DF6" w:rsidR="00CC650F" w:rsidRPr="00E70CFD" w:rsidRDefault="00CC650F" w:rsidP="00CC650F">
      <w:pPr>
        <w:shd w:val="clear" w:color="auto" w:fill="FFFFFF"/>
        <w:spacing w:after="0"/>
        <w:rPr>
          <w:sz w:val="22"/>
          <w:szCs w:val="22"/>
        </w:rPr>
      </w:pPr>
      <w:r w:rsidRPr="00E70CFD">
        <w:rPr>
          <w:sz w:val="22"/>
          <w:szCs w:val="22"/>
        </w:rPr>
        <w:t>Patients with rare hereditary problems such as galactose intolerance, total lactase deficiency or glucose-galactose malabsorption should not take this medicine.</w:t>
      </w:r>
    </w:p>
    <w:p w14:paraId="6B43F2F5" w14:textId="28CC858F" w:rsidR="00CC650F" w:rsidRPr="00E70CFD" w:rsidRDefault="00CC650F" w:rsidP="00153EA9">
      <w:pPr>
        <w:shd w:val="clear" w:color="auto" w:fill="FFFFFF"/>
        <w:spacing w:after="0"/>
        <w:rPr>
          <w:b/>
          <w:bCs/>
          <w:sz w:val="22"/>
          <w:szCs w:val="22"/>
        </w:rPr>
      </w:pPr>
    </w:p>
    <w:p w14:paraId="7D4854B7" w14:textId="34B2C22A" w:rsidR="00E12535" w:rsidRPr="00E70CFD" w:rsidRDefault="00CC650F" w:rsidP="00A71BFB">
      <w:pPr>
        <w:shd w:val="clear" w:color="auto" w:fill="FFFFFF"/>
        <w:spacing w:after="0"/>
        <w:rPr>
          <w:b/>
          <w:bCs/>
          <w:sz w:val="22"/>
          <w:szCs w:val="22"/>
        </w:rPr>
      </w:pPr>
      <w:r w:rsidRPr="00E70CFD">
        <w:rPr>
          <w:b/>
          <w:bCs/>
          <w:sz w:val="22"/>
          <w:szCs w:val="22"/>
        </w:rPr>
        <w:t>Drug Reaction with Eosinophilia and Systemic Symptoms (DRESS) (see section 6)</w:t>
      </w:r>
    </w:p>
    <w:p w14:paraId="2F5FE90C" w14:textId="038EF1EE" w:rsidR="00CC650F" w:rsidRPr="00E70CFD" w:rsidRDefault="00CC650F" w:rsidP="00A71BFB">
      <w:pPr>
        <w:shd w:val="clear" w:color="auto" w:fill="FFFFFF"/>
        <w:spacing w:after="0"/>
        <w:rPr>
          <w:b/>
          <w:bCs/>
          <w:sz w:val="22"/>
          <w:szCs w:val="22"/>
        </w:rPr>
      </w:pPr>
    </w:p>
    <w:p w14:paraId="1DE3F0EF" w14:textId="3850D934" w:rsidR="00CC650F" w:rsidRPr="00E70CFD" w:rsidRDefault="00CC650F" w:rsidP="00A71BFB">
      <w:pPr>
        <w:shd w:val="clear" w:color="auto" w:fill="FFFFFF"/>
        <w:spacing w:after="0"/>
        <w:rPr>
          <w:b/>
          <w:bCs/>
          <w:sz w:val="22"/>
          <w:szCs w:val="22"/>
        </w:rPr>
      </w:pPr>
      <w:r w:rsidRPr="00E70CFD">
        <w:rPr>
          <w:b/>
          <w:bCs/>
          <w:sz w:val="22"/>
          <w:szCs w:val="22"/>
        </w:rPr>
        <w:t xml:space="preserve">Suicidal Behaviour and </w:t>
      </w:r>
      <w:r w:rsidR="00E77E4E" w:rsidRPr="00E70CFD">
        <w:rPr>
          <w:b/>
          <w:bCs/>
          <w:sz w:val="22"/>
          <w:szCs w:val="22"/>
        </w:rPr>
        <w:t>Ideation (</w:t>
      </w:r>
      <w:r w:rsidRPr="00E70CFD">
        <w:rPr>
          <w:b/>
          <w:bCs/>
          <w:sz w:val="22"/>
          <w:szCs w:val="22"/>
        </w:rPr>
        <w:t xml:space="preserve">see section 6).                                                                                                                                 </w:t>
      </w:r>
    </w:p>
    <w:p w14:paraId="211CA9F5" w14:textId="0CB1074F" w:rsidR="00E12535" w:rsidRPr="00E70CFD" w:rsidRDefault="00E12535" w:rsidP="00A71BFB">
      <w:pPr>
        <w:shd w:val="clear" w:color="auto" w:fill="FFFFFF"/>
        <w:spacing w:after="0"/>
        <w:rPr>
          <w:rFonts w:ascii="Arial" w:hAnsi="Arial" w:cs="Arial"/>
          <w:color w:val="000000"/>
          <w:sz w:val="19"/>
          <w:szCs w:val="19"/>
          <w:shd w:val="clear" w:color="auto" w:fill="FFFFFF"/>
        </w:rPr>
      </w:pPr>
    </w:p>
    <w:p w14:paraId="66D4D087" w14:textId="77777777" w:rsidR="00E12535" w:rsidRPr="00E70CFD" w:rsidRDefault="00E12535" w:rsidP="00A71BFB">
      <w:pPr>
        <w:shd w:val="clear" w:color="auto" w:fill="FFFFFF"/>
        <w:spacing w:after="0"/>
      </w:pPr>
    </w:p>
    <w:p w14:paraId="381D28FC" w14:textId="712994D6" w:rsidR="00CC34C1" w:rsidRPr="00E70CFD" w:rsidRDefault="00CC34C1" w:rsidP="00CC34C1">
      <w:pPr>
        <w:pStyle w:val="NCLHeading1"/>
      </w:pPr>
      <w:bookmarkStart w:id="19" w:name="_Toc112319337"/>
      <w:r w:rsidRPr="00E70CFD">
        <w:t>Clinical Monitoring</w:t>
      </w:r>
      <w:bookmarkEnd w:id="19"/>
    </w:p>
    <w:p w14:paraId="6E740BF4" w14:textId="56B72E68" w:rsidR="00CC650F" w:rsidRPr="00E70CFD" w:rsidRDefault="00CC650F" w:rsidP="00CC34C1">
      <w:pPr>
        <w:pStyle w:val="NCLBodyText"/>
      </w:pPr>
      <w:r w:rsidRPr="00E70CFD">
        <w:t xml:space="preserve">The specialist will </w:t>
      </w:r>
      <w:r w:rsidR="005E3554" w:rsidRPr="00E70CFD">
        <w:t xml:space="preserve">arrange </w:t>
      </w:r>
      <w:r w:rsidRPr="00E70CFD">
        <w:t>baseline blood test</w:t>
      </w:r>
      <w:r w:rsidR="005E3554" w:rsidRPr="00E70CFD">
        <w:t>s</w:t>
      </w:r>
      <w:r w:rsidRPr="00E70CFD">
        <w:t xml:space="preserve"> (FBC, LF</w:t>
      </w:r>
      <w:r w:rsidR="00F43B9B" w:rsidRPr="00E70CFD">
        <w:t>Ts</w:t>
      </w:r>
      <w:r w:rsidRPr="00E70CFD">
        <w:t xml:space="preserve"> AND U&amp;Es) and repeat </w:t>
      </w:r>
      <w:r w:rsidR="00F43B9B" w:rsidRPr="00E70CFD">
        <w:t xml:space="preserve">these after </w:t>
      </w:r>
      <w:r w:rsidR="005E3554" w:rsidRPr="00E70CFD">
        <w:t xml:space="preserve">three </w:t>
      </w:r>
      <w:r w:rsidR="00F43B9B" w:rsidRPr="00E70CFD">
        <w:t>months of treatment with cenobamate</w:t>
      </w:r>
      <w:r w:rsidR="003E4E44" w:rsidRPr="00E70CFD">
        <w:t xml:space="preserve"> if clinically </w:t>
      </w:r>
      <w:r w:rsidR="00960CD6" w:rsidRPr="00E70CFD">
        <w:t>indicated</w:t>
      </w:r>
      <w:r w:rsidR="00F43B9B" w:rsidRPr="00E70CFD">
        <w:t>.</w:t>
      </w:r>
    </w:p>
    <w:p w14:paraId="0339E55B" w14:textId="473009C2" w:rsidR="00CC650F" w:rsidRPr="00E70CFD" w:rsidRDefault="00F43B9B" w:rsidP="00CC34C1">
      <w:pPr>
        <w:pStyle w:val="NCLBodyText"/>
      </w:pPr>
      <w:r w:rsidRPr="00E70CFD">
        <w:t>If deemed appropriate</w:t>
      </w:r>
      <w:r w:rsidR="005E3554" w:rsidRPr="00E70CFD">
        <w:t>,</w:t>
      </w:r>
      <w:r w:rsidRPr="00E70CFD">
        <w:t xml:space="preserve"> an ECG at baseline may </w:t>
      </w:r>
      <w:r w:rsidR="005E3554" w:rsidRPr="00E70CFD">
        <w:t xml:space="preserve">be </w:t>
      </w:r>
      <w:r w:rsidRPr="00E70CFD">
        <w:t xml:space="preserve">requested by the specialist and repeated if necessary. </w:t>
      </w:r>
    </w:p>
    <w:p w14:paraId="6D44981E" w14:textId="5EC124B1" w:rsidR="00CC34C1" w:rsidRPr="00E70CFD" w:rsidRDefault="00CC34C1" w:rsidP="00CC34C1">
      <w:pPr>
        <w:pStyle w:val="NCLBodyText"/>
      </w:pPr>
      <w:r w:rsidRPr="00E70CFD">
        <w:t>The specialist may conduct additional investigations as required</w:t>
      </w:r>
      <w:r w:rsidR="005E3554" w:rsidRPr="00E70CFD">
        <w:t>,</w:t>
      </w:r>
      <w:r w:rsidRPr="00E70CFD">
        <w:t xml:space="preserve"> </w:t>
      </w:r>
      <w:r w:rsidR="00EB29E6" w:rsidRPr="00E70CFD">
        <w:t>e.g.,</w:t>
      </w:r>
      <w:r w:rsidRPr="00E70CFD">
        <w:t xml:space="preserve"> </w:t>
      </w:r>
      <w:r w:rsidR="00F43B9B" w:rsidRPr="00E70CFD">
        <w:t>therapeutic drug levels of anti</w:t>
      </w:r>
      <w:r w:rsidR="00960CD6" w:rsidRPr="00E70CFD">
        <w:t>-</w:t>
      </w:r>
      <w:r w:rsidR="005E3554" w:rsidRPr="00E70CFD">
        <w:t xml:space="preserve">seizure </w:t>
      </w:r>
      <w:r w:rsidR="00F43B9B" w:rsidRPr="00E70CFD">
        <w:t>medication</w:t>
      </w:r>
      <w:r w:rsidR="00EB29E6" w:rsidRPr="00E70CFD">
        <w:t>(s)</w:t>
      </w:r>
      <w:r w:rsidRPr="00E70CFD">
        <w:t>. The results will be sent to the GP.</w:t>
      </w:r>
      <w:r w:rsidR="006604B2" w:rsidRPr="00E70CFD">
        <w:t xml:space="preserve"> GPs will not be routinely expected to undertake blood monitoring (except in exceptional circumstances agreed with a GP on a case</w:t>
      </w:r>
      <w:r w:rsidR="00F7796C" w:rsidRPr="00E70CFD">
        <w:t>-</w:t>
      </w:r>
      <w:r w:rsidR="006604B2" w:rsidRPr="00E70CFD">
        <w:t>by</w:t>
      </w:r>
      <w:r w:rsidR="00F7796C" w:rsidRPr="00E70CFD">
        <w:t>-</w:t>
      </w:r>
      <w:r w:rsidR="006604B2" w:rsidRPr="00E70CFD">
        <w:t>case basis)</w:t>
      </w:r>
      <w:r w:rsidR="00F7796C" w:rsidRPr="00E70CFD">
        <w:t>.</w:t>
      </w:r>
    </w:p>
    <w:p w14:paraId="33034001" w14:textId="1C25C944" w:rsidR="00E12535" w:rsidRPr="00E70CFD" w:rsidRDefault="00CC34C1" w:rsidP="00E12535">
      <w:pPr>
        <w:pStyle w:val="NCLHeading1"/>
      </w:pPr>
      <w:bookmarkStart w:id="20" w:name="_Toc112319338"/>
      <w:r w:rsidRPr="00E70CFD">
        <w:t>Contraindications</w:t>
      </w:r>
      <w:bookmarkEnd w:id="20"/>
    </w:p>
    <w:p w14:paraId="1EBB33C4" w14:textId="7664B05C" w:rsidR="00E12535" w:rsidRPr="00E70CFD" w:rsidRDefault="00E12535" w:rsidP="00E12535">
      <w:pPr>
        <w:pStyle w:val="NCLBodyText"/>
      </w:pPr>
      <w:r w:rsidRPr="00E70CFD">
        <w:t xml:space="preserve">Hypersensitivity to the active substance or any </w:t>
      </w:r>
      <w:r w:rsidR="005E3554" w:rsidRPr="00E70CFD">
        <w:t xml:space="preserve">excipients </w:t>
      </w:r>
      <w:r w:rsidRPr="00E70CFD">
        <w:t>listed in section 6.1.</w:t>
      </w:r>
      <w:r w:rsidR="00470B97" w:rsidRPr="00E70CFD">
        <w:t xml:space="preserve"> of the SPC</w:t>
      </w:r>
    </w:p>
    <w:p w14:paraId="0EBDB209" w14:textId="77777777" w:rsidR="00E12535" w:rsidRPr="00E70CFD" w:rsidRDefault="00E12535" w:rsidP="00E12535">
      <w:pPr>
        <w:pStyle w:val="NCLBodyText"/>
      </w:pPr>
      <w:r w:rsidRPr="00E70CFD">
        <w:t>Familial Short-QT syndrome</w:t>
      </w:r>
    </w:p>
    <w:p w14:paraId="108D8128" w14:textId="0566E6E6" w:rsidR="00CC34C1" w:rsidRPr="00E70CFD" w:rsidRDefault="005E3554" w:rsidP="00CC34C1">
      <w:pPr>
        <w:pStyle w:val="NCLBodyText"/>
      </w:pPr>
      <w:r w:rsidRPr="00E70CFD">
        <w:t>Refer to the Summary of Product Characteristics for a full list of contraindications</w:t>
      </w:r>
      <w:r w:rsidR="00153EA9" w:rsidRPr="00E70CFD">
        <w:t>.</w:t>
      </w:r>
    </w:p>
    <w:p w14:paraId="1FA092FB" w14:textId="5F739220" w:rsidR="00CC34C1" w:rsidRPr="00E70CFD" w:rsidRDefault="00CC34C1" w:rsidP="00CC34C1">
      <w:pPr>
        <w:pStyle w:val="NCLHeading1"/>
      </w:pPr>
      <w:bookmarkStart w:id="21" w:name="_Toc112319339"/>
      <w:r w:rsidRPr="00E70CFD">
        <w:t>Drug Interactions</w:t>
      </w:r>
      <w:bookmarkEnd w:id="21"/>
    </w:p>
    <w:p w14:paraId="6E336A8B" w14:textId="3509667F" w:rsidR="00CC34C1" w:rsidRDefault="00853DE3" w:rsidP="00153EA9">
      <w:pPr>
        <w:pStyle w:val="NCLBodyText"/>
      </w:pPr>
      <w:r w:rsidRPr="00E70CFD">
        <w:t>Cenobamate may reduce exposures of products primarily metabolized by CYP3A4 (e.g.  buspirone, sirolimus, tacrolimus,) and CYP2B6 (e.g. bupropion). Cenobamate may increase exposures of products primarily metabolized by CYP2C19 (e.g. omeprazole)</w:t>
      </w:r>
      <w:r w:rsidR="00174B36" w:rsidRPr="00E70CFD">
        <w:t xml:space="preserve">. In vitro studies </w:t>
      </w:r>
      <w:r w:rsidR="000114AD" w:rsidRPr="00E70CFD">
        <w:t>have shown</w:t>
      </w:r>
      <w:r w:rsidR="00174B36" w:rsidRPr="00E70CFD">
        <w:t xml:space="preserve"> exposure of </w:t>
      </w:r>
      <w:r w:rsidRPr="00E70CFD">
        <w:t>medicinal products transported by OAT3 (e.g empagliflozin, sitagliptin)</w:t>
      </w:r>
      <w:r w:rsidR="00174B36" w:rsidRPr="00E70CFD">
        <w:t xml:space="preserve"> may also be increased</w:t>
      </w:r>
      <w:r w:rsidRPr="00E70CFD">
        <w:t xml:space="preserve">. </w:t>
      </w:r>
      <w:r w:rsidR="00153EA9" w:rsidRPr="00E70CFD">
        <w:t xml:space="preserve">When initiating or discontinuing treatment with cenobamate or changing the dose, it may take </w:t>
      </w:r>
      <w:r w:rsidR="005E3554" w:rsidRPr="00E70CFD">
        <w:t xml:space="preserve">two </w:t>
      </w:r>
      <w:r w:rsidR="00153EA9" w:rsidRPr="00E70CFD">
        <w:t>weeks to reach the new level of enzyme activity.</w:t>
      </w:r>
      <w:r w:rsidR="00A50A1D" w:rsidRPr="00E70CFD">
        <w:t xml:space="preserve"> </w:t>
      </w:r>
    </w:p>
    <w:p w14:paraId="5E069DB2" w14:textId="77777777" w:rsidR="004079F0" w:rsidRDefault="004079F0" w:rsidP="00153EA9">
      <w:pPr>
        <w:pStyle w:val="NCLBodyText"/>
      </w:pPr>
    </w:p>
    <w:p w14:paraId="33955FCB" w14:textId="77777777" w:rsidR="004079F0" w:rsidRPr="00E70CFD" w:rsidRDefault="004079F0" w:rsidP="00153EA9">
      <w:pPr>
        <w:pStyle w:val="NCLBodyText"/>
      </w:pPr>
    </w:p>
    <w:p w14:paraId="62B0C98B" w14:textId="77777777" w:rsidR="00853DE3" w:rsidRPr="00E70CFD" w:rsidRDefault="00853DE3" w:rsidP="00153EA9">
      <w:pPr>
        <w:pStyle w:val="NCLBodyText"/>
      </w:pPr>
    </w:p>
    <w:p w14:paraId="7FF368CC" w14:textId="77777777" w:rsidR="00853DE3" w:rsidRPr="00E70CFD" w:rsidRDefault="00853DE3" w:rsidP="00853DE3">
      <w:pPr>
        <w:pStyle w:val="NCLBodyText"/>
        <w:rPr>
          <w:rFonts w:eastAsia="Shaker2Lancet-Regular"/>
          <w:b/>
          <w:bCs/>
          <w:color w:val="262626" w:themeColor="text1" w:themeTint="D9"/>
        </w:rPr>
      </w:pPr>
      <w:r w:rsidRPr="00E70CFD">
        <w:rPr>
          <w:rFonts w:eastAsia="Shaker2Lancet-Regular"/>
          <w:b/>
          <w:bCs/>
          <w:color w:val="262626" w:themeColor="text1" w:themeTint="D9"/>
        </w:rPr>
        <w:lastRenderedPageBreak/>
        <w:t>Oral contraceptives</w:t>
      </w:r>
    </w:p>
    <w:p w14:paraId="28C5054F" w14:textId="6ABEF809" w:rsidR="00853DE3" w:rsidRPr="00E70CFD" w:rsidRDefault="00853DE3" w:rsidP="00153EA9">
      <w:pPr>
        <w:pStyle w:val="NCLBodyText"/>
        <w:rPr>
          <w:rFonts w:eastAsia="Shaker2Lancet-Regular"/>
          <w:color w:val="262626" w:themeColor="text1" w:themeTint="D9"/>
        </w:rPr>
      </w:pPr>
      <w:r w:rsidRPr="00E70CFD">
        <w:rPr>
          <w:rFonts w:eastAsia="Shaker2Lancet-Regular"/>
          <w:color w:val="262626" w:themeColor="text1" w:themeTint="D9"/>
        </w:rPr>
        <w:t>Since CYP3A4 may also metabolise hormonal contraceptives, their efficacy may be reduced by concomitant use with cenobamate. Therefore, women of reproductive potential concomitantly using oral contraceptives should practice additional or alternative non-hormonal birth control measures.</w:t>
      </w:r>
      <w:r w:rsidRPr="00E70CFD">
        <w:rPr>
          <w:rFonts w:eastAsia="Shaker2Lancet-Regular"/>
          <w:color w:val="262626" w:themeColor="text1" w:themeTint="D9"/>
          <w:vertAlign w:val="superscript"/>
        </w:rPr>
        <w:t xml:space="preserve"> 1</w:t>
      </w:r>
    </w:p>
    <w:p w14:paraId="259CF62B" w14:textId="77777777" w:rsidR="00834007" w:rsidRPr="00E70CFD" w:rsidRDefault="00834007" w:rsidP="00153EA9">
      <w:pPr>
        <w:pStyle w:val="NCLBodyText"/>
      </w:pPr>
    </w:p>
    <w:p w14:paraId="0CA7CCA0" w14:textId="77777777" w:rsidR="000D4DDE" w:rsidRPr="00E70CFD" w:rsidRDefault="000D4DDE" w:rsidP="000D4DDE">
      <w:pPr>
        <w:rPr>
          <w:b/>
          <w:bCs/>
          <w:color w:val="262626" w:themeColor="text1" w:themeTint="D9"/>
          <w:sz w:val="22"/>
          <w:szCs w:val="22"/>
        </w:rPr>
      </w:pPr>
      <w:r w:rsidRPr="00E70CFD">
        <w:rPr>
          <w:b/>
          <w:bCs/>
          <w:color w:val="262626" w:themeColor="text1" w:themeTint="D9"/>
          <w:sz w:val="22"/>
          <w:szCs w:val="22"/>
        </w:rPr>
        <w:t>CNS depressants</w:t>
      </w:r>
    </w:p>
    <w:p w14:paraId="29100840" w14:textId="767BAD40" w:rsidR="00FF7352" w:rsidRPr="00E70CFD" w:rsidRDefault="000D4DDE" w:rsidP="000D4DDE">
      <w:pPr>
        <w:pStyle w:val="NCLBodyText"/>
        <w:rPr>
          <w:rFonts w:eastAsia="Shaker2Lancet-Regular"/>
          <w:i/>
          <w:iCs/>
          <w:color w:val="262626" w:themeColor="text1" w:themeTint="D9"/>
        </w:rPr>
      </w:pPr>
      <w:r w:rsidRPr="00E70CFD">
        <w:rPr>
          <w:color w:val="262626" w:themeColor="text1" w:themeTint="D9"/>
        </w:rPr>
        <w:t>Concomitant use of cenobamate with other CNS depressants, including alcohol, barbiturates, and benzodiazepines</w:t>
      </w:r>
      <w:r w:rsidR="005E3554" w:rsidRPr="00E70CFD">
        <w:rPr>
          <w:color w:val="262626" w:themeColor="text1" w:themeTint="D9"/>
        </w:rPr>
        <w:t>,</w:t>
      </w:r>
      <w:r w:rsidRPr="00E70CFD">
        <w:rPr>
          <w:color w:val="262626" w:themeColor="text1" w:themeTint="D9"/>
        </w:rPr>
        <w:t xml:space="preserve"> may increase the risk of neurological adverse reactions. Therefore, based on individual response, doses of barbiturates and benzodiazepines may need to be reduced, as clinically appropriate, when used concomitantly with cenobamate</w:t>
      </w:r>
      <w:r w:rsidR="00834007" w:rsidRPr="00E70CFD">
        <w:rPr>
          <w:color w:val="262626" w:themeColor="text1" w:themeTint="D9"/>
        </w:rPr>
        <w:t>.</w:t>
      </w:r>
      <w:r w:rsidR="00834007" w:rsidRPr="00E70CFD">
        <w:rPr>
          <w:vertAlign w:val="superscript"/>
        </w:rPr>
        <w:t xml:space="preserve"> 1</w:t>
      </w:r>
    </w:p>
    <w:p w14:paraId="3F8D38C2" w14:textId="27C74C2F" w:rsidR="000D4DDE" w:rsidRPr="00E70CFD" w:rsidRDefault="000D4DDE" w:rsidP="000D4DDE">
      <w:pPr>
        <w:pStyle w:val="NCLBodyText"/>
        <w:rPr>
          <w:rFonts w:eastAsia="Shaker2Lancet-Regular"/>
          <w:b/>
          <w:bCs/>
          <w:i/>
          <w:iCs/>
          <w:color w:val="262626" w:themeColor="text1" w:themeTint="D9"/>
        </w:rPr>
      </w:pPr>
    </w:p>
    <w:p w14:paraId="23C27B85" w14:textId="50BAE655" w:rsidR="000D4DDE" w:rsidRPr="00E70CFD" w:rsidRDefault="000D4DDE" w:rsidP="000D4DDE">
      <w:pPr>
        <w:pStyle w:val="NCLBodyText"/>
        <w:rPr>
          <w:rFonts w:eastAsia="Shaker2Lancet-Regular"/>
          <w:b/>
          <w:bCs/>
          <w:color w:val="262626" w:themeColor="text1" w:themeTint="D9"/>
        </w:rPr>
      </w:pPr>
      <w:r w:rsidRPr="00E70CFD">
        <w:rPr>
          <w:rFonts w:eastAsia="Shaker2Lancet-Regular"/>
          <w:b/>
          <w:bCs/>
          <w:color w:val="262626" w:themeColor="text1" w:themeTint="D9"/>
        </w:rPr>
        <w:t>Interactions with other antiepileptics</w:t>
      </w:r>
    </w:p>
    <w:p w14:paraId="28706737" w14:textId="18E8EFBE" w:rsidR="000D4DDE" w:rsidRPr="00E70CFD" w:rsidRDefault="000D4DDE" w:rsidP="000D4DDE">
      <w:pPr>
        <w:pStyle w:val="NCLBodyText"/>
        <w:rPr>
          <w:i/>
          <w:iCs/>
        </w:rPr>
      </w:pPr>
      <w:r w:rsidRPr="00E70CFD">
        <w:rPr>
          <w:i/>
          <w:iCs/>
        </w:rPr>
        <w:t>Phenytoin</w:t>
      </w:r>
    </w:p>
    <w:p w14:paraId="552EE006" w14:textId="025517EE" w:rsidR="002158CD" w:rsidRPr="00E70CFD" w:rsidRDefault="002158CD" w:rsidP="002158CD">
      <w:pPr>
        <w:pStyle w:val="CommentText"/>
        <w:rPr>
          <w:sz w:val="22"/>
          <w:szCs w:val="22"/>
        </w:rPr>
      </w:pPr>
      <w:r w:rsidRPr="00E70CFD">
        <w:rPr>
          <w:sz w:val="22"/>
          <w:szCs w:val="22"/>
        </w:rPr>
        <w:t>Cenobamate exposure may be reduced and phenytoin exposure may be increased. No dose adjustment of cenobamate is required. Phenytoin levels should be monitored during titration of cenobamate, and based on individual response the dose of phenytoin may need to be reduced.</w:t>
      </w:r>
    </w:p>
    <w:p w14:paraId="2594A61B" w14:textId="77777777" w:rsidR="000D4DDE" w:rsidRPr="00E70CFD" w:rsidRDefault="000D4DDE" w:rsidP="000D4DDE">
      <w:pPr>
        <w:pStyle w:val="NCLBodyText"/>
        <w:rPr>
          <w:i/>
          <w:iCs/>
        </w:rPr>
      </w:pPr>
      <w:r w:rsidRPr="00E70CFD">
        <w:rPr>
          <w:i/>
          <w:iCs/>
        </w:rPr>
        <w:t>Phenobarbital</w:t>
      </w:r>
    </w:p>
    <w:p w14:paraId="52B51AC5" w14:textId="3A49D713" w:rsidR="000D4DDE" w:rsidRPr="00E70CFD" w:rsidRDefault="000D4DDE" w:rsidP="000D4DDE">
      <w:pPr>
        <w:pStyle w:val="NCLBodyText"/>
      </w:pPr>
      <w:r w:rsidRPr="00E70CFD">
        <w:t>No dose adjustment of cenobamate is required. Concentrations of phenobarbital should be monitored during cenobamate titration, and based on individual response, the dose of phenobarbital may need to be reduced.</w:t>
      </w:r>
      <w:r w:rsidR="00834007" w:rsidRPr="00E70CFD">
        <w:rPr>
          <w:vertAlign w:val="superscript"/>
        </w:rPr>
        <w:t xml:space="preserve"> 1</w:t>
      </w:r>
    </w:p>
    <w:p w14:paraId="08D0E3EB" w14:textId="77777777" w:rsidR="000D4DDE" w:rsidRPr="00E70CFD" w:rsidRDefault="000D4DDE" w:rsidP="000D4DDE">
      <w:pPr>
        <w:pStyle w:val="NCLBodyText"/>
        <w:rPr>
          <w:i/>
          <w:iCs/>
        </w:rPr>
      </w:pPr>
      <w:r w:rsidRPr="00E70CFD">
        <w:rPr>
          <w:i/>
          <w:iCs/>
        </w:rPr>
        <w:t>Clobazam</w:t>
      </w:r>
    </w:p>
    <w:p w14:paraId="50C45482" w14:textId="202B1AE3" w:rsidR="000D4DDE" w:rsidRPr="00E70CFD" w:rsidRDefault="000D4DDE" w:rsidP="000D4DDE">
      <w:pPr>
        <w:pStyle w:val="NCLBodyText"/>
      </w:pPr>
      <w:r w:rsidRPr="00E70CFD">
        <w:t xml:space="preserve">No dose adjustment of cenobamate is required. Due to a possible increase in exposure of the active metabolite of clobazam (N-desmethylclobazam), related to the induction of CYP3A4 (formation) and the inhibition of CYP2C19 (elimination), the dose of clobazam may need to be reduced. </w:t>
      </w:r>
      <w:r w:rsidR="00834007" w:rsidRPr="00E70CFD">
        <w:rPr>
          <w:vertAlign w:val="superscript"/>
        </w:rPr>
        <w:t>1</w:t>
      </w:r>
    </w:p>
    <w:p w14:paraId="16EAEA87" w14:textId="77777777" w:rsidR="000D4DDE" w:rsidRPr="00E70CFD" w:rsidRDefault="000D4DDE" w:rsidP="000D4DDE">
      <w:pPr>
        <w:pStyle w:val="NCLBodyText"/>
        <w:rPr>
          <w:i/>
          <w:iCs/>
        </w:rPr>
      </w:pPr>
      <w:r w:rsidRPr="00E70CFD">
        <w:rPr>
          <w:i/>
          <w:iCs/>
        </w:rPr>
        <w:t>Lamotrigine</w:t>
      </w:r>
    </w:p>
    <w:p w14:paraId="4D33F4B7" w14:textId="1F5A7F08" w:rsidR="000D4DDE" w:rsidRPr="00E70CFD" w:rsidRDefault="000D4DDE" w:rsidP="000D4DDE">
      <w:pPr>
        <w:pStyle w:val="NCLBodyText"/>
      </w:pPr>
      <w:r w:rsidRPr="00E70CFD">
        <w:t xml:space="preserve">Pharmacometric analyses of data from healthy subjects and patients showed that concomitant administration of cenobamate with lamotrigine </w:t>
      </w:r>
      <w:r w:rsidR="005E3554" w:rsidRPr="00E70CFD">
        <w:t>did not affect</w:t>
      </w:r>
      <w:r w:rsidRPr="00E70CFD">
        <w:t xml:space="preserve"> cenobamate exposures</w:t>
      </w:r>
      <w:r w:rsidR="005E3554" w:rsidRPr="00E70CFD">
        <w:t>. Still, they</w:t>
      </w:r>
      <w:r w:rsidRPr="00E70CFD">
        <w:t xml:space="preserve"> resulted in dose-dependent decreases in lamotrigine concentrations</w:t>
      </w:r>
      <w:r w:rsidR="00F52EFA" w:rsidRPr="00E70CFD">
        <w:t>.</w:t>
      </w:r>
      <w:r w:rsidRPr="00E70CFD">
        <w:t xml:space="preserve">  Based on subpopulation analyses of patients taking concomitant lamotrigine, higher doses (200 - 400 mg/day) of cenobamate may be required for efficacy when co-administered with lamotrigine. Depending on individual response, the dose of cenobamate may need to be increased. </w:t>
      </w:r>
      <w:r w:rsidR="00834007" w:rsidRPr="00E70CFD">
        <w:rPr>
          <w:vertAlign w:val="superscript"/>
        </w:rPr>
        <w:t>1</w:t>
      </w:r>
    </w:p>
    <w:p w14:paraId="5D3FE8BF" w14:textId="77777777" w:rsidR="000D4DDE" w:rsidRPr="00E70CFD" w:rsidRDefault="000D4DDE" w:rsidP="000D4DDE">
      <w:pPr>
        <w:pStyle w:val="NCLBodyText"/>
        <w:rPr>
          <w:i/>
          <w:iCs/>
        </w:rPr>
      </w:pPr>
      <w:r w:rsidRPr="00E70CFD">
        <w:rPr>
          <w:i/>
          <w:iCs/>
        </w:rPr>
        <w:t>Carbamazepine</w:t>
      </w:r>
    </w:p>
    <w:p w14:paraId="77D0C02C" w14:textId="1A6D90A6" w:rsidR="000D4DDE" w:rsidRPr="00E70CFD" w:rsidRDefault="002158CD" w:rsidP="000D4DDE">
      <w:pPr>
        <w:pStyle w:val="NCLBodyText"/>
      </w:pPr>
      <w:r w:rsidRPr="00E70CFD">
        <w:t xml:space="preserve">A study </w:t>
      </w:r>
      <w:r w:rsidR="000D4DDE" w:rsidRPr="00E70CFD">
        <w:t xml:space="preserve">in healthy subjects, showed no significant change in </w:t>
      </w:r>
      <w:r w:rsidR="005E3554" w:rsidRPr="00E70CFD">
        <w:t xml:space="preserve">the </w:t>
      </w:r>
      <w:r w:rsidR="000D4DDE" w:rsidRPr="00E70CFD">
        <w:t>exposure of cenobamate</w:t>
      </w:r>
      <w:r w:rsidR="005E3554" w:rsidRPr="00E70CFD">
        <w:t>. Still,</w:t>
      </w:r>
      <w:r w:rsidR="000D4DDE" w:rsidRPr="00E70CFD">
        <w:t xml:space="preserve"> carbamazepine exposures were slightly reduced</w:t>
      </w:r>
      <w:r w:rsidRPr="00E70CFD">
        <w:t>.</w:t>
      </w:r>
      <w:r w:rsidR="000D4DDE" w:rsidRPr="00E70CFD">
        <w:t xml:space="preserve"> No clinically meaningful decreases in efficacy were observed in subpopulation analyses of patients taking concomitant carbamazepine. Therefore, no dose adjustments are required. </w:t>
      </w:r>
      <w:r w:rsidR="00834007" w:rsidRPr="00E70CFD">
        <w:rPr>
          <w:vertAlign w:val="superscript"/>
        </w:rPr>
        <w:t>1</w:t>
      </w:r>
    </w:p>
    <w:p w14:paraId="1E69618E" w14:textId="77777777" w:rsidR="000D4DDE" w:rsidRPr="00E70CFD" w:rsidRDefault="000D4DDE" w:rsidP="000D4DDE">
      <w:pPr>
        <w:pStyle w:val="NCLBodyText"/>
        <w:rPr>
          <w:i/>
          <w:iCs/>
        </w:rPr>
      </w:pPr>
      <w:r w:rsidRPr="00E70CFD">
        <w:rPr>
          <w:i/>
          <w:iCs/>
        </w:rPr>
        <w:t>Valproic acid</w:t>
      </w:r>
    </w:p>
    <w:p w14:paraId="4BD04AF1" w14:textId="5067E966" w:rsidR="000D4DDE" w:rsidRPr="00E70CFD" w:rsidRDefault="00C65D6B" w:rsidP="000D4DDE">
      <w:pPr>
        <w:pStyle w:val="NCLBodyText"/>
        <w:rPr>
          <w:vertAlign w:val="superscript"/>
        </w:rPr>
      </w:pPr>
      <w:r w:rsidRPr="00E70CFD">
        <w:t xml:space="preserve">Pharmacometric analyses of data from healthy subjects and patients indicated that concomitant administration of cenobamate with valproic acid did not affect cenobamate exposures and had no clinically relevant reductions in valproic acid concentration. </w:t>
      </w:r>
      <w:r w:rsidR="000D4DDE" w:rsidRPr="00E70CFD">
        <w:t>No dose adjustments are required.</w:t>
      </w:r>
      <w:r w:rsidR="00834007" w:rsidRPr="00E70CFD">
        <w:rPr>
          <w:vertAlign w:val="superscript"/>
        </w:rPr>
        <w:t xml:space="preserve"> 1</w:t>
      </w:r>
    </w:p>
    <w:p w14:paraId="67134E85" w14:textId="77777777" w:rsidR="00834007" w:rsidRPr="00E70CFD" w:rsidRDefault="00834007" w:rsidP="000D4DDE">
      <w:pPr>
        <w:pStyle w:val="NCLBodyText"/>
      </w:pPr>
    </w:p>
    <w:p w14:paraId="10D7EEE6" w14:textId="77777777" w:rsidR="000D4DDE" w:rsidRPr="00E70CFD" w:rsidRDefault="000D4DDE" w:rsidP="000D4DDE">
      <w:pPr>
        <w:pStyle w:val="NCLBodyText"/>
        <w:rPr>
          <w:b/>
          <w:bCs/>
        </w:rPr>
      </w:pPr>
      <w:r w:rsidRPr="00E70CFD">
        <w:rPr>
          <w:b/>
          <w:bCs/>
        </w:rPr>
        <w:t>Lacosamide, levetiracetam and oxcarbazepine</w:t>
      </w:r>
    </w:p>
    <w:p w14:paraId="2D233581" w14:textId="51DEF754" w:rsidR="000D4DDE" w:rsidRPr="00E70CFD" w:rsidRDefault="00C65D6B" w:rsidP="000D4DDE">
      <w:pPr>
        <w:pStyle w:val="NCLBodyText"/>
      </w:pPr>
      <w:r w:rsidRPr="00E70CFD">
        <w:t xml:space="preserve">Pharmacometrics analyses of data from healthy subjects and patients indicated that concomitant administration with lacosamide, levetiracetam, or oxcarbazepine did not affect the exposure of cenobamate, and cenobamate did not have a clinically relevant effect on exposures of lacosamide, levetiracetam, or oxcarbazepine. </w:t>
      </w:r>
      <w:r w:rsidR="000D4DDE" w:rsidRPr="00E70CFD">
        <w:t xml:space="preserve">No dose adjustments are required for cenobamate, lacosamide, levetiracetam, or oxcarbazepine. </w:t>
      </w:r>
      <w:r w:rsidR="00834007" w:rsidRPr="00E70CFD">
        <w:rPr>
          <w:vertAlign w:val="superscript"/>
        </w:rPr>
        <w:t>1</w:t>
      </w:r>
    </w:p>
    <w:p w14:paraId="2A3A2F69" w14:textId="77777777" w:rsidR="00853DE3" w:rsidRPr="00E70CFD" w:rsidRDefault="00853DE3" w:rsidP="00853DE3">
      <w:pPr>
        <w:pStyle w:val="NCLBodyText"/>
      </w:pPr>
      <w:r w:rsidRPr="00E70CFD">
        <w:lastRenderedPageBreak/>
        <w:t xml:space="preserve">For further information regarding drug interactions, refer to the Manufacturers Summary of Product Characteristics, </w:t>
      </w:r>
      <w:hyperlink r:id="rId14" w:history="1">
        <w:r w:rsidRPr="00E70CFD">
          <w:rPr>
            <w:rStyle w:val="Hyperlink"/>
          </w:rPr>
          <w:t>BNF</w:t>
        </w:r>
      </w:hyperlink>
      <w:r w:rsidRPr="00E70CFD">
        <w:t>,  or the most up to date version of Stockleys’ Drug Interactions.</w:t>
      </w:r>
    </w:p>
    <w:p w14:paraId="7C8533A0" w14:textId="4CE9E8C7" w:rsidR="00592DE9" w:rsidRPr="00E70CFD" w:rsidRDefault="008962F6" w:rsidP="00CC34C1">
      <w:pPr>
        <w:pStyle w:val="NCLHeading1"/>
      </w:pPr>
      <w:bookmarkStart w:id="22" w:name="_Toc112319340"/>
      <w:r w:rsidRPr="00E70CFD">
        <w:t>References</w:t>
      </w:r>
      <w:bookmarkEnd w:id="22"/>
    </w:p>
    <w:p w14:paraId="703BFFBE" w14:textId="77777777" w:rsidR="00701D6D" w:rsidRPr="00E70CFD" w:rsidRDefault="00701D6D" w:rsidP="00701D6D">
      <w:pPr>
        <w:pStyle w:val="NCLBodyText"/>
      </w:pPr>
      <w:r w:rsidRPr="00E70CFD">
        <w:t>Arvelle Therapeutics UK. Summary of Product characteristics. Ontozry 200mg film coated tablets. Date accessed 08/03/22. https://www.medicines.org.uk/emc/product/13012/smpc</w:t>
      </w:r>
    </w:p>
    <w:p w14:paraId="1D1A7FAE" w14:textId="4677A8CC" w:rsidR="008962F6" w:rsidRPr="00E70CFD" w:rsidRDefault="00701D6D" w:rsidP="00701D6D">
      <w:pPr>
        <w:pStyle w:val="NCLBodyText"/>
      </w:pPr>
      <w:r w:rsidRPr="00E70CFD">
        <w:t>NICE. Cenobamate for treating focal onset seizures in epilepsy-Technology appraisal guidance [TA753]Published: 15 December 2021. Date accessed 08/02/22. Overview | Cenobamate for treating focal onset seizures in epilepsy | Guidance | NICE</w:t>
      </w:r>
      <w:r w:rsidR="00FC2C3B" w:rsidRPr="00E70CFD">
        <w:t xml:space="preserve">. </w:t>
      </w:r>
    </w:p>
    <w:p w14:paraId="2F63D832" w14:textId="77777777" w:rsidR="00853DE3" w:rsidRPr="00E70CFD" w:rsidRDefault="00853DE3" w:rsidP="00853DE3">
      <w:pPr>
        <w:pStyle w:val="NCLBodyText"/>
      </w:pPr>
      <w:r w:rsidRPr="00E70CFD">
        <w:t>FDA. Drug Development and Drug Interactions | Table of Substrates, Inhibitors and Inducers. Date accssed 03/10/2020.https://www.fda.gov/drugs/drug-interactions-labeling/drug-development-and-drug-interactions-table-substrates-inhibitors-and-inducers#table3.</w:t>
      </w:r>
    </w:p>
    <w:p w14:paraId="5EEFE089" w14:textId="77777777" w:rsidR="00853DE3" w:rsidRPr="00E70CFD" w:rsidRDefault="00853DE3" w:rsidP="00701D6D">
      <w:pPr>
        <w:pStyle w:val="NCLBodyText"/>
      </w:pPr>
    </w:p>
    <w:p w14:paraId="32FA7E5D" w14:textId="6710D5FA" w:rsidR="00CC34C1" w:rsidRPr="00E70CFD" w:rsidRDefault="00CC34C1" w:rsidP="00CC34C1">
      <w:pPr>
        <w:pStyle w:val="NCLHeading1"/>
      </w:pPr>
      <w:bookmarkStart w:id="23" w:name="_Toc112319341"/>
      <w:r w:rsidRPr="00E70CFD">
        <w:t>Contact Details</w:t>
      </w:r>
      <w:bookmarkEnd w:id="23"/>
    </w:p>
    <w:p w14:paraId="4ECE7732" w14:textId="7CF4AC9B" w:rsidR="00CC34C1" w:rsidRPr="00E70CFD" w:rsidRDefault="00E70CFD" w:rsidP="00CC34C1">
      <w:pPr>
        <w:pStyle w:val="NCLSubsection"/>
      </w:pPr>
      <w:r>
        <w:t xml:space="preserve">National </w:t>
      </w:r>
      <w:r w:rsidR="00CC34C1" w:rsidRPr="00E70CFD">
        <w:t>Hospital</w:t>
      </w:r>
      <w:r>
        <w:t xml:space="preserve"> for Neurology and Neurosurgery</w:t>
      </w:r>
    </w:p>
    <w:tbl>
      <w:tblPr>
        <w:tblStyle w:val="TableGrid"/>
        <w:tblW w:w="0" w:type="auto"/>
        <w:tblLook w:val="04A0" w:firstRow="1" w:lastRow="0" w:firstColumn="1" w:lastColumn="0" w:noHBand="0" w:noVBand="1"/>
      </w:tblPr>
      <w:tblGrid>
        <w:gridCol w:w="4671"/>
        <w:gridCol w:w="4651"/>
      </w:tblGrid>
      <w:tr w:rsidR="00CC34C1" w:rsidRPr="00E70CFD" w14:paraId="6E1CE79F" w14:textId="77777777" w:rsidTr="00E70CFD">
        <w:tc>
          <w:tcPr>
            <w:tcW w:w="4671" w:type="dxa"/>
            <w:shd w:val="clear" w:color="auto" w:fill="D9D9D9" w:themeFill="background1" w:themeFillShade="D9"/>
          </w:tcPr>
          <w:p w14:paraId="61BFA8F5" w14:textId="77777777" w:rsidR="00CC34C1" w:rsidRPr="00E70CFD" w:rsidRDefault="00CC34C1" w:rsidP="008424FD">
            <w:pPr>
              <w:rPr>
                <w:b/>
                <w:bCs/>
              </w:rPr>
            </w:pPr>
            <w:bookmarkStart w:id="24" w:name="_Hlk113270760"/>
            <w:r w:rsidRPr="00E70CFD">
              <w:rPr>
                <w:b/>
                <w:bCs/>
              </w:rPr>
              <w:t>Hospital switchboard:</w:t>
            </w:r>
          </w:p>
        </w:tc>
        <w:tc>
          <w:tcPr>
            <w:tcW w:w="4651" w:type="dxa"/>
          </w:tcPr>
          <w:p w14:paraId="10C19925" w14:textId="4DA1C623" w:rsidR="00CC34C1" w:rsidRPr="00E70CFD" w:rsidRDefault="00E55A5A">
            <w:pPr>
              <w:spacing w:after="200" w:line="276" w:lineRule="auto"/>
            </w:pPr>
            <w:r w:rsidRPr="00C053A1">
              <w:t>020 3448 1901</w:t>
            </w:r>
          </w:p>
        </w:tc>
      </w:tr>
      <w:tr w:rsidR="00CC34C1" w:rsidRPr="00E70CFD" w14:paraId="14673C64" w14:textId="77777777" w:rsidTr="00E70CFD">
        <w:tc>
          <w:tcPr>
            <w:tcW w:w="4671" w:type="dxa"/>
            <w:shd w:val="clear" w:color="auto" w:fill="D9D9D9" w:themeFill="background1" w:themeFillShade="D9"/>
          </w:tcPr>
          <w:p w14:paraId="4C28E31F" w14:textId="661B3047" w:rsidR="006A4CFA" w:rsidRPr="00E70CFD" w:rsidRDefault="00CC34C1" w:rsidP="008424FD">
            <w:pPr>
              <w:rPr>
                <w:b/>
                <w:bCs/>
              </w:rPr>
            </w:pPr>
            <w:r w:rsidRPr="00E70CFD">
              <w:rPr>
                <w:b/>
                <w:bCs/>
              </w:rPr>
              <w:t>Consultant</w:t>
            </w:r>
            <w:r w:rsidR="005E3554" w:rsidRPr="00E70CFD">
              <w:rPr>
                <w:b/>
                <w:bCs/>
              </w:rPr>
              <w:t>s</w:t>
            </w:r>
            <w:r w:rsidRPr="00E70CFD">
              <w:rPr>
                <w:b/>
                <w:bCs/>
              </w:rPr>
              <w:t xml:space="preserve">: </w:t>
            </w:r>
          </w:p>
          <w:p w14:paraId="7711B292" w14:textId="77777777" w:rsidR="00CC34C1" w:rsidRPr="00E70CFD" w:rsidRDefault="006A4CFA" w:rsidP="006A4CFA">
            <w:pPr>
              <w:rPr>
                <w:b/>
                <w:bCs/>
              </w:rPr>
            </w:pPr>
            <w:r w:rsidRPr="00E70CFD">
              <w:rPr>
                <w:b/>
                <w:bCs/>
              </w:rPr>
              <w:t>Dr Sanjeev Rajakulendran</w:t>
            </w:r>
          </w:p>
          <w:p w14:paraId="65EEAE07" w14:textId="025F71B7" w:rsidR="005E3554" w:rsidRPr="00E70CFD" w:rsidRDefault="005E3554" w:rsidP="006A4CFA">
            <w:pPr>
              <w:rPr>
                <w:b/>
                <w:bCs/>
              </w:rPr>
            </w:pPr>
            <w:r w:rsidRPr="00E70CFD">
              <w:rPr>
                <w:b/>
                <w:bCs/>
              </w:rPr>
              <w:t xml:space="preserve">Prof Ley Sander </w:t>
            </w:r>
          </w:p>
        </w:tc>
        <w:tc>
          <w:tcPr>
            <w:tcW w:w="4651" w:type="dxa"/>
          </w:tcPr>
          <w:p w14:paraId="109738B5" w14:textId="2BBA0F84" w:rsidR="005E3554" w:rsidRPr="00E70CFD" w:rsidRDefault="005E3554">
            <w:pPr>
              <w:spacing w:after="200" w:line="276" w:lineRule="auto"/>
            </w:pPr>
            <w:r w:rsidRPr="00E70CFD">
              <w:t>020 3448 8609</w:t>
            </w:r>
          </w:p>
        </w:tc>
      </w:tr>
      <w:tr w:rsidR="00CC34C1" w:rsidRPr="00E70CFD" w14:paraId="2EDBEA30" w14:textId="77777777" w:rsidTr="00E70CFD">
        <w:tc>
          <w:tcPr>
            <w:tcW w:w="4671" w:type="dxa"/>
            <w:shd w:val="clear" w:color="auto" w:fill="D9D9D9" w:themeFill="background1" w:themeFillShade="D9"/>
          </w:tcPr>
          <w:p w14:paraId="57848A7D" w14:textId="40AF4A19" w:rsidR="00CC34C1" w:rsidRPr="00E70CFD" w:rsidRDefault="00E55A5A" w:rsidP="008424FD">
            <w:pPr>
              <w:rPr>
                <w:b/>
                <w:bCs/>
              </w:rPr>
            </w:pPr>
            <w:r w:rsidRPr="00E70CFD">
              <w:rPr>
                <w:b/>
                <w:bCs/>
              </w:rPr>
              <w:t xml:space="preserve">Epilepsy Nurse specialists </w:t>
            </w:r>
          </w:p>
        </w:tc>
        <w:tc>
          <w:tcPr>
            <w:tcW w:w="4651" w:type="dxa"/>
          </w:tcPr>
          <w:p w14:paraId="12C1C62A" w14:textId="0E1D7532" w:rsidR="00844CBD" w:rsidRPr="00E70CFD" w:rsidRDefault="00844CBD">
            <w:pPr>
              <w:spacing w:after="200" w:line="276" w:lineRule="auto"/>
            </w:pPr>
            <w:r w:rsidRPr="00E70CFD">
              <w:t>020 3448 8627</w:t>
            </w:r>
          </w:p>
        </w:tc>
      </w:tr>
      <w:tr w:rsidR="00CC34C1" w:rsidRPr="00E70CFD" w14:paraId="103D1462" w14:textId="77777777" w:rsidTr="00E70CFD">
        <w:tc>
          <w:tcPr>
            <w:tcW w:w="4671" w:type="dxa"/>
            <w:shd w:val="clear" w:color="auto" w:fill="D9D9D9" w:themeFill="background1" w:themeFillShade="D9"/>
          </w:tcPr>
          <w:p w14:paraId="45B3FE5E" w14:textId="77946709" w:rsidR="00CC34C1" w:rsidRPr="00E70CFD" w:rsidRDefault="00CC34C1" w:rsidP="008424FD">
            <w:pPr>
              <w:rPr>
                <w:b/>
                <w:bCs/>
              </w:rPr>
            </w:pPr>
            <w:r w:rsidRPr="00E70CFD">
              <w:rPr>
                <w:b/>
                <w:bCs/>
              </w:rPr>
              <w:t xml:space="preserve">Specialist or Dept Pharmacist: </w:t>
            </w:r>
            <w:r w:rsidR="00E55A5A" w:rsidRPr="00E70CFD">
              <w:rPr>
                <w:b/>
                <w:bCs/>
              </w:rPr>
              <w:t>NHNN Pharmacy</w:t>
            </w:r>
            <w:r w:rsidR="00E70CFD">
              <w:rPr>
                <w:b/>
                <w:bCs/>
              </w:rPr>
              <w:t>/</w:t>
            </w:r>
            <w:r w:rsidR="006A4CFA" w:rsidRPr="00E70CFD">
              <w:rPr>
                <w:b/>
                <w:bCs/>
              </w:rPr>
              <w:t xml:space="preserve"> Lindsey Stockford</w:t>
            </w:r>
          </w:p>
        </w:tc>
        <w:tc>
          <w:tcPr>
            <w:tcW w:w="4651" w:type="dxa"/>
          </w:tcPr>
          <w:p w14:paraId="25322834" w14:textId="19602AE8" w:rsidR="00CC34C1" w:rsidRPr="00E70CFD" w:rsidRDefault="00CC34C1">
            <w:pPr>
              <w:spacing w:after="200" w:line="276" w:lineRule="auto"/>
            </w:pPr>
            <w:r w:rsidRPr="00E70CFD">
              <w:t xml:space="preserve">ext / </w:t>
            </w:r>
            <w:r w:rsidR="00E55A5A" w:rsidRPr="00E70CFD">
              <w:t>83140</w:t>
            </w:r>
          </w:p>
        </w:tc>
      </w:tr>
      <w:bookmarkEnd w:id="24"/>
    </w:tbl>
    <w:p w14:paraId="11F3A572" w14:textId="77777777" w:rsidR="00CC34C1" w:rsidRPr="00E70CFD" w:rsidRDefault="00CC34C1">
      <w:pPr>
        <w:spacing w:after="200" w:line="276" w:lineRule="auto"/>
        <w:rPr>
          <w:sz w:val="22"/>
          <w:szCs w:val="22"/>
        </w:rPr>
      </w:pPr>
    </w:p>
    <w:p w14:paraId="338BEDB4" w14:textId="61FF0BAB" w:rsidR="00E55A5A" w:rsidRPr="00E70CFD" w:rsidRDefault="00626FCA" w:rsidP="00626FCA">
      <w:pPr>
        <w:pStyle w:val="NCLSubsection"/>
      </w:pPr>
      <w:r>
        <w:t>Royal Free London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71"/>
        <w:gridCol w:w="4651"/>
      </w:tblGrid>
      <w:tr w:rsidR="00626FCA" w14:paraId="3337B598" w14:textId="77777777" w:rsidTr="00626FCA">
        <w:tc>
          <w:tcPr>
            <w:tcW w:w="4671" w:type="dxa"/>
            <w:shd w:val="clear" w:color="auto" w:fill="D9D9D9"/>
            <w:tcMar>
              <w:top w:w="0" w:type="dxa"/>
              <w:left w:w="108" w:type="dxa"/>
              <w:bottom w:w="0" w:type="dxa"/>
              <w:right w:w="108" w:type="dxa"/>
            </w:tcMar>
            <w:hideMark/>
          </w:tcPr>
          <w:p w14:paraId="1397D821" w14:textId="77777777" w:rsidR="00626FCA" w:rsidRPr="00501602" w:rsidRDefault="00626FCA" w:rsidP="00501602">
            <w:pPr>
              <w:rPr>
                <w:b/>
                <w:bCs/>
              </w:rPr>
            </w:pPr>
            <w:r w:rsidRPr="00501602">
              <w:rPr>
                <w:b/>
                <w:bCs/>
              </w:rPr>
              <w:t>Hospital switchboard:</w:t>
            </w:r>
          </w:p>
        </w:tc>
        <w:tc>
          <w:tcPr>
            <w:tcW w:w="4651" w:type="dxa"/>
            <w:shd w:val="clear" w:color="auto" w:fill="FFFFFF"/>
            <w:tcMar>
              <w:top w:w="0" w:type="dxa"/>
              <w:left w:w="108" w:type="dxa"/>
              <w:bottom w:w="0" w:type="dxa"/>
              <w:right w:w="108" w:type="dxa"/>
            </w:tcMar>
            <w:hideMark/>
          </w:tcPr>
          <w:p w14:paraId="434B1A2B" w14:textId="2F2854C9" w:rsidR="00626FCA" w:rsidRDefault="00626FCA" w:rsidP="00501602">
            <w:pPr>
              <w:pStyle w:val="xmsonormal"/>
              <w:spacing w:after="120" w:line="253" w:lineRule="atLeast"/>
            </w:pPr>
            <w:r>
              <w:rPr>
                <w:color w:val="000000"/>
                <w:sz w:val="20"/>
                <w:szCs w:val="20"/>
              </w:rPr>
              <w:t>020 7794 0500</w:t>
            </w:r>
          </w:p>
        </w:tc>
      </w:tr>
      <w:tr w:rsidR="00626FCA" w14:paraId="70FF988C" w14:textId="77777777" w:rsidTr="00626FCA">
        <w:tc>
          <w:tcPr>
            <w:tcW w:w="4671" w:type="dxa"/>
            <w:shd w:val="clear" w:color="auto" w:fill="D9D9D9"/>
            <w:tcMar>
              <w:top w:w="0" w:type="dxa"/>
              <w:left w:w="108" w:type="dxa"/>
              <w:bottom w:w="0" w:type="dxa"/>
              <w:right w:w="108" w:type="dxa"/>
            </w:tcMar>
            <w:hideMark/>
          </w:tcPr>
          <w:p w14:paraId="7B3E571D" w14:textId="77777777" w:rsidR="00626FCA" w:rsidRPr="00501602" w:rsidRDefault="00626FCA" w:rsidP="00501602">
            <w:pPr>
              <w:rPr>
                <w:b/>
                <w:bCs/>
              </w:rPr>
            </w:pPr>
            <w:r w:rsidRPr="00501602">
              <w:rPr>
                <w:b/>
                <w:bCs/>
              </w:rPr>
              <w:t>Consultants:</w:t>
            </w:r>
          </w:p>
          <w:p w14:paraId="19BF9AB3" w14:textId="6C759103" w:rsidR="008078F9" w:rsidRPr="008078F9" w:rsidRDefault="008078F9" w:rsidP="008078F9">
            <w:pPr>
              <w:rPr>
                <w:b/>
                <w:bCs/>
              </w:rPr>
            </w:pPr>
            <w:r w:rsidRPr="008078F9">
              <w:rPr>
                <w:b/>
                <w:bCs/>
              </w:rPr>
              <w:t>Dr Heather Angus-Leppan</w:t>
            </w:r>
          </w:p>
          <w:p w14:paraId="21A0FE01" w14:textId="669E92E0" w:rsidR="00626FCA" w:rsidRPr="00501602" w:rsidRDefault="008078F9" w:rsidP="008078F9">
            <w:pPr>
              <w:rPr>
                <w:b/>
                <w:bCs/>
              </w:rPr>
            </w:pPr>
            <w:r w:rsidRPr="008078F9">
              <w:rPr>
                <w:b/>
                <w:bCs/>
              </w:rPr>
              <w:t>Dr Rebecca Liu</w:t>
            </w:r>
          </w:p>
        </w:tc>
        <w:tc>
          <w:tcPr>
            <w:tcW w:w="4651" w:type="dxa"/>
            <w:shd w:val="clear" w:color="auto" w:fill="FFFFFF"/>
            <w:tcMar>
              <w:top w:w="0" w:type="dxa"/>
              <w:left w:w="108" w:type="dxa"/>
              <w:bottom w:w="0" w:type="dxa"/>
              <w:right w:w="108" w:type="dxa"/>
            </w:tcMar>
            <w:hideMark/>
          </w:tcPr>
          <w:p w14:paraId="0CABA592" w14:textId="77777777" w:rsidR="008078F9" w:rsidRDefault="00626FCA" w:rsidP="00501602">
            <w:pPr>
              <w:pStyle w:val="xmsonormal"/>
              <w:spacing w:after="120" w:line="253" w:lineRule="atLeast"/>
              <w:rPr>
                <w:color w:val="000000"/>
                <w:sz w:val="20"/>
                <w:szCs w:val="20"/>
              </w:rPr>
            </w:pPr>
            <w:r>
              <w:rPr>
                <w:color w:val="000000"/>
                <w:sz w:val="20"/>
                <w:szCs w:val="20"/>
              </w:rPr>
              <w:t xml:space="preserve">(Clinical Pathway Administrator: Ext: 34365 </w:t>
            </w:r>
          </w:p>
          <w:p w14:paraId="415B9212" w14:textId="24BD08D3" w:rsidR="00626FCA" w:rsidRDefault="00626FCA" w:rsidP="00501602">
            <w:pPr>
              <w:pStyle w:val="xmsonormal"/>
              <w:spacing w:after="120" w:line="253" w:lineRule="atLeast"/>
              <w:rPr>
                <w:sz w:val="20"/>
                <w:szCs w:val="20"/>
              </w:rPr>
            </w:pPr>
            <w:r>
              <w:rPr>
                <w:color w:val="000000"/>
                <w:sz w:val="20"/>
                <w:szCs w:val="20"/>
              </w:rPr>
              <w:t>020</w:t>
            </w:r>
            <w:r w:rsidR="008078F9">
              <w:rPr>
                <w:color w:val="000000"/>
                <w:sz w:val="20"/>
                <w:szCs w:val="20"/>
              </w:rPr>
              <w:t xml:space="preserve"> </w:t>
            </w:r>
            <w:r>
              <w:rPr>
                <w:color w:val="000000"/>
                <w:sz w:val="20"/>
                <w:szCs w:val="20"/>
              </w:rPr>
              <w:t>7830</w:t>
            </w:r>
            <w:r w:rsidR="008078F9">
              <w:rPr>
                <w:color w:val="000000"/>
                <w:sz w:val="20"/>
                <w:szCs w:val="20"/>
              </w:rPr>
              <w:t xml:space="preserve"> </w:t>
            </w:r>
            <w:r>
              <w:rPr>
                <w:color w:val="000000"/>
                <w:sz w:val="20"/>
                <w:szCs w:val="20"/>
              </w:rPr>
              <w:t>2864</w:t>
            </w:r>
          </w:p>
        </w:tc>
      </w:tr>
      <w:tr w:rsidR="00626FCA" w14:paraId="1641E940" w14:textId="77777777" w:rsidTr="00626FCA">
        <w:tc>
          <w:tcPr>
            <w:tcW w:w="4671" w:type="dxa"/>
            <w:shd w:val="clear" w:color="auto" w:fill="D9D9D9"/>
            <w:tcMar>
              <w:top w:w="0" w:type="dxa"/>
              <w:left w:w="108" w:type="dxa"/>
              <w:bottom w:w="0" w:type="dxa"/>
              <w:right w:w="108" w:type="dxa"/>
            </w:tcMar>
            <w:hideMark/>
          </w:tcPr>
          <w:p w14:paraId="188C352A" w14:textId="77777777" w:rsidR="00626FCA" w:rsidRPr="00501602" w:rsidRDefault="00626FCA" w:rsidP="00501602">
            <w:pPr>
              <w:rPr>
                <w:b/>
                <w:bCs/>
              </w:rPr>
            </w:pPr>
            <w:r w:rsidRPr="00501602">
              <w:rPr>
                <w:b/>
                <w:bCs/>
              </w:rPr>
              <w:t>Epilepsy Nurse specialists</w:t>
            </w:r>
          </w:p>
        </w:tc>
        <w:tc>
          <w:tcPr>
            <w:tcW w:w="4651" w:type="dxa"/>
            <w:shd w:val="clear" w:color="auto" w:fill="FFFFFF"/>
            <w:tcMar>
              <w:top w:w="0" w:type="dxa"/>
              <w:left w:w="108" w:type="dxa"/>
              <w:bottom w:w="0" w:type="dxa"/>
              <w:right w:w="108" w:type="dxa"/>
            </w:tcMar>
            <w:hideMark/>
          </w:tcPr>
          <w:p w14:paraId="55E03AF0" w14:textId="776DA2D2" w:rsidR="00626FCA" w:rsidRDefault="00626FCA" w:rsidP="00501602">
            <w:pPr>
              <w:pStyle w:val="xmsonormal"/>
              <w:spacing w:after="120" w:line="253" w:lineRule="atLeast"/>
            </w:pPr>
            <w:r>
              <w:rPr>
                <w:color w:val="000000"/>
                <w:sz w:val="20"/>
                <w:szCs w:val="20"/>
              </w:rPr>
              <w:t>Joana Popo (Ext: 36113, M: 07985 360348)</w:t>
            </w:r>
          </w:p>
        </w:tc>
      </w:tr>
      <w:tr w:rsidR="00626FCA" w14:paraId="43572391" w14:textId="77777777" w:rsidTr="00626FCA">
        <w:tc>
          <w:tcPr>
            <w:tcW w:w="4671" w:type="dxa"/>
            <w:shd w:val="clear" w:color="auto" w:fill="D9D9D9"/>
            <w:tcMar>
              <w:top w:w="0" w:type="dxa"/>
              <w:left w:w="108" w:type="dxa"/>
              <w:bottom w:w="0" w:type="dxa"/>
              <w:right w:w="108" w:type="dxa"/>
            </w:tcMar>
            <w:hideMark/>
          </w:tcPr>
          <w:p w14:paraId="799DEA7A" w14:textId="77777777" w:rsidR="00626FCA" w:rsidRPr="00501602" w:rsidRDefault="00626FCA" w:rsidP="00501602">
            <w:pPr>
              <w:rPr>
                <w:b/>
                <w:bCs/>
              </w:rPr>
            </w:pPr>
            <w:r w:rsidRPr="00501602">
              <w:rPr>
                <w:b/>
                <w:bCs/>
              </w:rPr>
              <w:t>Specialist or Dept Pharmacist:</w:t>
            </w:r>
          </w:p>
        </w:tc>
        <w:tc>
          <w:tcPr>
            <w:tcW w:w="4651" w:type="dxa"/>
            <w:shd w:val="clear" w:color="auto" w:fill="FFFFFF"/>
            <w:tcMar>
              <w:top w:w="0" w:type="dxa"/>
              <w:left w:w="108" w:type="dxa"/>
              <w:bottom w:w="0" w:type="dxa"/>
              <w:right w:w="108" w:type="dxa"/>
            </w:tcMar>
            <w:hideMark/>
          </w:tcPr>
          <w:p w14:paraId="3A394D4C" w14:textId="440C5497" w:rsidR="00626FCA" w:rsidRDefault="00626FCA" w:rsidP="00501602">
            <w:pPr>
              <w:pStyle w:val="xmsonormal"/>
              <w:spacing w:after="120" w:line="253" w:lineRule="atLeast"/>
            </w:pPr>
            <w:r>
              <w:rPr>
                <w:color w:val="000000"/>
                <w:sz w:val="20"/>
                <w:szCs w:val="20"/>
              </w:rPr>
              <w:t xml:space="preserve">Huei Ling Yeoh (Bleep 2750, E: </w:t>
            </w:r>
            <w:hyperlink r:id="rId15" w:history="1">
              <w:r>
                <w:rPr>
                  <w:rStyle w:val="Hyperlink"/>
                  <w:sz w:val="20"/>
                  <w:szCs w:val="20"/>
                </w:rPr>
                <w:t>huei.yeoh@nhs.net</w:t>
              </w:r>
            </w:hyperlink>
            <w:r>
              <w:rPr>
                <w:color w:val="000000"/>
                <w:sz w:val="20"/>
                <w:szCs w:val="20"/>
              </w:rPr>
              <w:t>)</w:t>
            </w:r>
          </w:p>
        </w:tc>
      </w:tr>
    </w:tbl>
    <w:p w14:paraId="6E15D862" w14:textId="77777777" w:rsidR="000903FA" w:rsidRDefault="000903FA">
      <w:pPr>
        <w:spacing w:after="200" w:line="276" w:lineRule="auto"/>
      </w:pPr>
    </w:p>
    <w:p w14:paraId="571B178C" w14:textId="5F587D3C" w:rsidR="000903FA" w:rsidRPr="00E70CFD" w:rsidRDefault="000903FA" w:rsidP="000903FA">
      <w:pPr>
        <w:pStyle w:val="NCLSubsection"/>
      </w:pPr>
      <w:r>
        <w:t>North Middlesex University Hospital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71"/>
        <w:gridCol w:w="4651"/>
      </w:tblGrid>
      <w:tr w:rsidR="000903FA" w14:paraId="189F5CF3" w14:textId="77777777" w:rsidTr="00A735E9">
        <w:tc>
          <w:tcPr>
            <w:tcW w:w="4671" w:type="dxa"/>
            <w:shd w:val="clear" w:color="auto" w:fill="D9D9D9"/>
            <w:tcMar>
              <w:top w:w="0" w:type="dxa"/>
              <w:left w:w="108" w:type="dxa"/>
              <w:bottom w:w="0" w:type="dxa"/>
              <w:right w:w="108" w:type="dxa"/>
            </w:tcMar>
            <w:hideMark/>
          </w:tcPr>
          <w:p w14:paraId="45632EA6" w14:textId="77777777" w:rsidR="000903FA" w:rsidRPr="00501602" w:rsidRDefault="000903FA" w:rsidP="00D644FA">
            <w:pPr>
              <w:rPr>
                <w:b/>
                <w:bCs/>
              </w:rPr>
            </w:pPr>
            <w:r w:rsidRPr="00501602">
              <w:rPr>
                <w:b/>
                <w:bCs/>
              </w:rPr>
              <w:t>Hospital switchboard:</w:t>
            </w:r>
          </w:p>
        </w:tc>
        <w:tc>
          <w:tcPr>
            <w:tcW w:w="4651" w:type="dxa"/>
            <w:shd w:val="clear" w:color="auto" w:fill="FFFFFF"/>
            <w:tcMar>
              <w:top w:w="0" w:type="dxa"/>
              <w:left w:w="108" w:type="dxa"/>
              <w:bottom w:w="0" w:type="dxa"/>
              <w:right w:w="108" w:type="dxa"/>
            </w:tcMar>
          </w:tcPr>
          <w:p w14:paraId="09017983" w14:textId="1450914A" w:rsidR="000903FA" w:rsidRPr="00183D76" w:rsidRDefault="00183D76" w:rsidP="00D644FA">
            <w:pPr>
              <w:pStyle w:val="xmsonormal"/>
              <w:spacing w:after="120" w:line="253" w:lineRule="atLeast"/>
              <w:rPr>
                <w:sz w:val="20"/>
                <w:szCs w:val="20"/>
              </w:rPr>
            </w:pPr>
            <w:r w:rsidRPr="00B40A4C">
              <w:rPr>
                <w:sz w:val="20"/>
                <w:szCs w:val="20"/>
              </w:rPr>
              <w:t>020 8887 2000</w:t>
            </w:r>
          </w:p>
        </w:tc>
      </w:tr>
      <w:tr w:rsidR="000903FA" w14:paraId="2ED13AD5" w14:textId="77777777" w:rsidTr="00A735E9">
        <w:tc>
          <w:tcPr>
            <w:tcW w:w="4671" w:type="dxa"/>
            <w:shd w:val="clear" w:color="auto" w:fill="D9D9D9"/>
            <w:tcMar>
              <w:top w:w="0" w:type="dxa"/>
              <w:left w:w="108" w:type="dxa"/>
              <w:bottom w:w="0" w:type="dxa"/>
              <w:right w:w="108" w:type="dxa"/>
            </w:tcMar>
            <w:hideMark/>
          </w:tcPr>
          <w:p w14:paraId="34BD9F42" w14:textId="77777777" w:rsidR="000903FA" w:rsidRPr="00501602" w:rsidRDefault="000903FA" w:rsidP="00D644FA">
            <w:pPr>
              <w:rPr>
                <w:b/>
                <w:bCs/>
              </w:rPr>
            </w:pPr>
            <w:r w:rsidRPr="00501602">
              <w:rPr>
                <w:b/>
                <w:bCs/>
              </w:rPr>
              <w:t>Consultants:</w:t>
            </w:r>
          </w:p>
          <w:p w14:paraId="06F3F148" w14:textId="77777777" w:rsidR="005F2E9C" w:rsidRPr="00E70CFD" w:rsidRDefault="005F2E9C" w:rsidP="005F2E9C">
            <w:pPr>
              <w:rPr>
                <w:b/>
                <w:bCs/>
              </w:rPr>
            </w:pPr>
            <w:r w:rsidRPr="00E70CFD">
              <w:rPr>
                <w:b/>
                <w:bCs/>
              </w:rPr>
              <w:t>Dr Sanjeev Rajakulendran</w:t>
            </w:r>
          </w:p>
          <w:p w14:paraId="5A48E907" w14:textId="246D0F80" w:rsidR="000903FA" w:rsidRPr="00501602" w:rsidRDefault="000903FA" w:rsidP="00D644FA">
            <w:pPr>
              <w:rPr>
                <w:b/>
                <w:bCs/>
              </w:rPr>
            </w:pPr>
          </w:p>
        </w:tc>
        <w:tc>
          <w:tcPr>
            <w:tcW w:w="4651" w:type="dxa"/>
            <w:shd w:val="clear" w:color="auto" w:fill="FFFFFF"/>
            <w:tcMar>
              <w:top w:w="0" w:type="dxa"/>
              <w:left w:w="108" w:type="dxa"/>
              <w:bottom w:w="0" w:type="dxa"/>
              <w:right w:w="108" w:type="dxa"/>
            </w:tcMar>
          </w:tcPr>
          <w:p w14:paraId="1A8AD942" w14:textId="3DCEE516" w:rsidR="00183D76" w:rsidRDefault="00CB005E" w:rsidP="00D644FA">
            <w:pPr>
              <w:pStyle w:val="xmsonormal"/>
              <w:spacing w:after="120" w:line="253" w:lineRule="atLeast"/>
              <w:rPr>
                <w:sz w:val="20"/>
                <w:szCs w:val="20"/>
              </w:rPr>
            </w:pPr>
            <w:r w:rsidRPr="00CB005E">
              <w:rPr>
                <w:sz w:val="20"/>
                <w:szCs w:val="20"/>
              </w:rPr>
              <w:t>0208 887 2444</w:t>
            </w:r>
          </w:p>
          <w:p w14:paraId="106FDF2B" w14:textId="6B9B0F7E" w:rsidR="005F2E9C" w:rsidRDefault="003C0738" w:rsidP="00D644FA">
            <w:pPr>
              <w:pStyle w:val="xmsonormal"/>
              <w:spacing w:after="120" w:line="253" w:lineRule="atLeast"/>
              <w:rPr>
                <w:sz w:val="20"/>
                <w:szCs w:val="20"/>
              </w:rPr>
            </w:pPr>
            <w:hyperlink r:id="rId16" w:history="1">
              <w:r w:rsidR="00183D76" w:rsidRPr="00290207">
                <w:rPr>
                  <w:rStyle w:val="Hyperlink"/>
                  <w:sz w:val="20"/>
                  <w:szCs w:val="20"/>
                </w:rPr>
                <w:t>northmid.neurology@nhs.net</w:t>
              </w:r>
            </w:hyperlink>
            <w:r w:rsidR="005F2E9C">
              <w:rPr>
                <w:sz w:val="20"/>
                <w:szCs w:val="20"/>
              </w:rPr>
              <w:t xml:space="preserve"> </w:t>
            </w:r>
          </w:p>
        </w:tc>
      </w:tr>
    </w:tbl>
    <w:p w14:paraId="4B1EC188" w14:textId="02B4D32B" w:rsidR="00D46B50" w:rsidRPr="00E70CFD" w:rsidRDefault="00D46B50">
      <w:pPr>
        <w:spacing w:after="200" w:line="276" w:lineRule="auto"/>
      </w:pPr>
      <w:r w:rsidRPr="00E70CFD">
        <w:br w:type="page"/>
      </w:r>
    </w:p>
    <w:p w14:paraId="75F3644E" w14:textId="77777777" w:rsidR="00D46B50" w:rsidRPr="00E70CFD" w:rsidRDefault="00D46B50" w:rsidP="00D46B50">
      <w:pPr>
        <w:pStyle w:val="NCLBodyText"/>
        <w:spacing w:before="240" w:after="120"/>
        <w:rPr>
          <w:b/>
          <w:sz w:val="28"/>
        </w:rPr>
      </w:pPr>
      <w:r w:rsidRPr="00E70CFD">
        <w:rPr>
          <w:b/>
          <w:sz w:val="28"/>
        </w:rPr>
        <w:lastRenderedPageBreak/>
        <w:t>Document control</w:t>
      </w:r>
    </w:p>
    <w:tbl>
      <w:tblPr>
        <w:tblStyle w:val="ReportTable"/>
        <w:tblW w:w="0" w:type="auto"/>
        <w:tblLook w:val="04A0" w:firstRow="1" w:lastRow="0" w:firstColumn="1" w:lastColumn="0" w:noHBand="0" w:noVBand="1"/>
      </w:tblPr>
      <w:tblGrid>
        <w:gridCol w:w="1240"/>
        <w:gridCol w:w="851"/>
        <w:gridCol w:w="7231"/>
      </w:tblGrid>
      <w:tr w:rsidR="00D46B50" w:rsidRPr="00E70CFD" w14:paraId="7D4E8F6D" w14:textId="77777777" w:rsidTr="00D337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14:paraId="155C05BD" w14:textId="77777777" w:rsidR="00D46B50" w:rsidRPr="00E70CFD" w:rsidRDefault="00D46B50" w:rsidP="008424FD">
            <w:pPr>
              <w:pStyle w:val="NCLTableText"/>
            </w:pPr>
            <w:r w:rsidRPr="00E70CFD">
              <w:t>Date</w:t>
            </w:r>
          </w:p>
        </w:tc>
        <w:tc>
          <w:tcPr>
            <w:tcW w:w="851" w:type="dxa"/>
          </w:tcPr>
          <w:p w14:paraId="0654F1D0" w14:textId="77777777" w:rsidR="00D46B50" w:rsidRPr="00E70CFD" w:rsidRDefault="00D46B50" w:rsidP="008424FD">
            <w:pPr>
              <w:pStyle w:val="NCLTableText"/>
              <w:cnfStyle w:val="100000000000" w:firstRow="1" w:lastRow="0" w:firstColumn="0" w:lastColumn="0" w:oddVBand="0" w:evenVBand="0" w:oddHBand="0" w:evenHBand="0" w:firstRowFirstColumn="0" w:firstRowLastColumn="0" w:lastRowFirstColumn="0" w:lastRowLastColumn="0"/>
            </w:pPr>
            <w:r w:rsidRPr="00E70CFD">
              <w:t>Version</w:t>
            </w:r>
          </w:p>
        </w:tc>
        <w:tc>
          <w:tcPr>
            <w:tcW w:w="7231" w:type="dxa"/>
          </w:tcPr>
          <w:p w14:paraId="03CD7D5A" w14:textId="77777777" w:rsidR="00D46B50" w:rsidRPr="00E70CFD" w:rsidRDefault="00D46B50" w:rsidP="008424FD">
            <w:pPr>
              <w:pStyle w:val="NCLTableText"/>
              <w:cnfStyle w:val="100000000000" w:firstRow="1" w:lastRow="0" w:firstColumn="0" w:lastColumn="0" w:oddVBand="0" w:evenVBand="0" w:oddHBand="0" w:evenHBand="0" w:firstRowFirstColumn="0" w:firstRowLastColumn="0" w:lastRowFirstColumn="0" w:lastRowLastColumn="0"/>
            </w:pPr>
            <w:r w:rsidRPr="00E70CFD">
              <w:t>Amendments</w:t>
            </w:r>
          </w:p>
        </w:tc>
      </w:tr>
      <w:tr w:rsidR="00D46B50" w:rsidRPr="00E70CFD" w14:paraId="0AF2B1A7" w14:textId="77777777" w:rsidTr="00D33768">
        <w:tc>
          <w:tcPr>
            <w:cnfStyle w:val="001000000000" w:firstRow="0" w:lastRow="0" w:firstColumn="1" w:lastColumn="0" w:oddVBand="0" w:evenVBand="0" w:oddHBand="0" w:evenHBand="0" w:firstRowFirstColumn="0" w:firstRowLastColumn="0" w:lastRowFirstColumn="0" w:lastRowLastColumn="0"/>
            <w:tcW w:w="1240" w:type="dxa"/>
          </w:tcPr>
          <w:p w14:paraId="49E14F78" w14:textId="0DA66602" w:rsidR="00D46B50" w:rsidRPr="00E70CFD" w:rsidRDefault="00C053A1" w:rsidP="008424FD">
            <w:pPr>
              <w:pStyle w:val="NCLTableText"/>
            </w:pPr>
            <w:r>
              <w:t>24/08/2022</w:t>
            </w:r>
          </w:p>
        </w:tc>
        <w:tc>
          <w:tcPr>
            <w:tcW w:w="851" w:type="dxa"/>
          </w:tcPr>
          <w:p w14:paraId="63B286A2" w14:textId="39101EBA" w:rsidR="00D46B50" w:rsidRPr="00E70CFD" w:rsidRDefault="00C053A1" w:rsidP="008424FD">
            <w:pPr>
              <w:pStyle w:val="NCLTableText"/>
              <w:cnfStyle w:val="000000000000" w:firstRow="0" w:lastRow="0" w:firstColumn="0" w:lastColumn="0" w:oddVBand="0" w:evenVBand="0" w:oddHBand="0" w:evenHBand="0" w:firstRowFirstColumn="0" w:firstRowLastColumn="0" w:lastRowFirstColumn="0" w:lastRowLastColumn="0"/>
            </w:pPr>
            <w:r>
              <w:t>1.0</w:t>
            </w:r>
          </w:p>
        </w:tc>
        <w:tc>
          <w:tcPr>
            <w:tcW w:w="7231" w:type="dxa"/>
          </w:tcPr>
          <w:p w14:paraId="52E3DF19" w14:textId="7DA2124F" w:rsidR="00D46B50" w:rsidRPr="00E70CFD" w:rsidRDefault="00C053A1" w:rsidP="008424FD">
            <w:pPr>
              <w:pStyle w:val="NCLTableText"/>
              <w:cnfStyle w:val="000000000000" w:firstRow="0" w:lastRow="0" w:firstColumn="0" w:lastColumn="0" w:oddVBand="0" w:evenVBand="0" w:oddHBand="0" w:evenHBand="0" w:firstRowFirstColumn="0" w:firstRowLastColumn="0" w:lastRowFirstColumn="0" w:lastRowLastColumn="0"/>
            </w:pPr>
            <w:r>
              <w:t>New shared care document</w:t>
            </w:r>
          </w:p>
        </w:tc>
      </w:tr>
      <w:tr w:rsidR="00C41159" w:rsidRPr="00E70CFD" w14:paraId="72E0823E" w14:textId="77777777" w:rsidTr="00D33768">
        <w:tc>
          <w:tcPr>
            <w:cnfStyle w:val="001000000000" w:firstRow="0" w:lastRow="0" w:firstColumn="1" w:lastColumn="0" w:oddVBand="0" w:evenVBand="0" w:oddHBand="0" w:evenHBand="0" w:firstRowFirstColumn="0" w:firstRowLastColumn="0" w:lastRowFirstColumn="0" w:lastRowLastColumn="0"/>
            <w:tcW w:w="1240" w:type="dxa"/>
          </w:tcPr>
          <w:p w14:paraId="0B15FA90" w14:textId="260E7912" w:rsidR="00C41159" w:rsidRDefault="00065709" w:rsidP="008424FD">
            <w:pPr>
              <w:pStyle w:val="NCLTableText"/>
            </w:pPr>
            <w:r>
              <w:t>03/03/2023</w:t>
            </w:r>
          </w:p>
        </w:tc>
        <w:tc>
          <w:tcPr>
            <w:tcW w:w="851" w:type="dxa"/>
          </w:tcPr>
          <w:p w14:paraId="653A1E0F" w14:textId="2E1EE629" w:rsidR="00C41159" w:rsidRDefault="00065709" w:rsidP="008424FD">
            <w:pPr>
              <w:pStyle w:val="NCLTableText"/>
              <w:cnfStyle w:val="000000000000" w:firstRow="0" w:lastRow="0" w:firstColumn="0" w:lastColumn="0" w:oddVBand="0" w:evenVBand="0" w:oddHBand="0" w:evenHBand="0" w:firstRowFirstColumn="0" w:firstRowLastColumn="0" w:lastRowFirstColumn="0" w:lastRowLastColumn="0"/>
            </w:pPr>
            <w:r>
              <w:t>1.1</w:t>
            </w:r>
          </w:p>
        </w:tc>
        <w:tc>
          <w:tcPr>
            <w:tcW w:w="7231" w:type="dxa"/>
          </w:tcPr>
          <w:p w14:paraId="01A004B0" w14:textId="4BB70B34" w:rsidR="00C41159" w:rsidRDefault="00065709" w:rsidP="008424FD">
            <w:pPr>
              <w:pStyle w:val="NCLTableText"/>
              <w:cnfStyle w:val="000000000000" w:firstRow="0" w:lastRow="0" w:firstColumn="0" w:lastColumn="0" w:oddVBand="0" w:evenVBand="0" w:oddHBand="0" w:evenHBand="0" w:firstRowFirstColumn="0" w:firstRowLastColumn="0" w:lastRowFirstColumn="0" w:lastRowLastColumn="0"/>
            </w:pPr>
            <w:r>
              <w:t>Updated with NMUH contact information</w:t>
            </w:r>
          </w:p>
        </w:tc>
      </w:tr>
      <w:tr w:rsidR="00641719" w:rsidRPr="00E70CFD" w14:paraId="1A15D6BF" w14:textId="77777777" w:rsidTr="00D33768">
        <w:tc>
          <w:tcPr>
            <w:cnfStyle w:val="001000000000" w:firstRow="0" w:lastRow="0" w:firstColumn="1" w:lastColumn="0" w:oddVBand="0" w:evenVBand="0" w:oddHBand="0" w:evenHBand="0" w:firstRowFirstColumn="0" w:firstRowLastColumn="0" w:lastRowFirstColumn="0" w:lastRowLastColumn="0"/>
            <w:tcW w:w="1240" w:type="dxa"/>
          </w:tcPr>
          <w:p w14:paraId="6F30FBCA" w14:textId="0E65BCD2" w:rsidR="00641719" w:rsidRDefault="00641719" w:rsidP="008424FD">
            <w:pPr>
              <w:pStyle w:val="NCLTableText"/>
            </w:pPr>
            <w:r>
              <w:t>21/08/2025</w:t>
            </w:r>
          </w:p>
        </w:tc>
        <w:tc>
          <w:tcPr>
            <w:tcW w:w="851" w:type="dxa"/>
          </w:tcPr>
          <w:p w14:paraId="45386C1E" w14:textId="74369DB8" w:rsidR="00641719" w:rsidRDefault="00641719" w:rsidP="008424FD">
            <w:pPr>
              <w:pStyle w:val="NCLTableText"/>
              <w:cnfStyle w:val="000000000000" w:firstRow="0" w:lastRow="0" w:firstColumn="0" w:lastColumn="0" w:oddVBand="0" w:evenVBand="0" w:oddHBand="0" w:evenHBand="0" w:firstRowFirstColumn="0" w:firstRowLastColumn="0" w:lastRowFirstColumn="0" w:lastRowLastColumn="0"/>
            </w:pPr>
            <w:r>
              <w:t>1.2</w:t>
            </w:r>
          </w:p>
        </w:tc>
        <w:tc>
          <w:tcPr>
            <w:tcW w:w="7231" w:type="dxa"/>
          </w:tcPr>
          <w:p w14:paraId="20989EEE" w14:textId="4267BA31" w:rsidR="00641719" w:rsidRDefault="00641719" w:rsidP="008424FD">
            <w:pPr>
              <w:pStyle w:val="NCLTableText"/>
              <w:cnfStyle w:val="000000000000" w:firstRow="0" w:lastRow="0" w:firstColumn="0" w:lastColumn="0" w:oddVBand="0" w:evenVBand="0" w:oddHBand="0" w:evenHBand="0" w:firstRowFirstColumn="0" w:firstRowLastColumn="0" w:lastRowFirstColumn="0" w:lastRowLastColumn="0"/>
            </w:pPr>
            <w:r>
              <w:t>Updated with extended review date to 31/12/2025</w:t>
            </w:r>
          </w:p>
        </w:tc>
      </w:tr>
      <w:tr w:rsidR="00D33768" w:rsidRPr="00E70CFD" w14:paraId="3668FEEF" w14:textId="77777777" w:rsidTr="00D33768">
        <w:tc>
          <w:tcPr>
            <w:cnfStyle w:val="001000000000" w:firstRow="0" w:lastRow="0" w:firstColumn="1" w:lastColumn="0" w:oddVBand="0" w:evenVBand="0" w:oddHBand="0" w:evenHBand="0" w:firstRowFirstColumn="0" w:firstRowLastColumn="0" w:lastRowFirstColumn="0" w:lastRowLastColumn="0"/>
            <w:tcW w:w="1240" w:type="dxa"/>
          </w:tcPr>
          <w:p w14:paraId="7D0096EA" w14:textId="2D7F4CE7" w:rsidR="00D33768" w:rsidRDefault="00D33768" w:rsidP="00D33768">
            <w:pPr>
              <w:pStyle w:val="NCLTableText"/>
            </w:pPr>
            <w:r>
              <w:t>21/11/2025</w:t>
            </w:r>
          </w:p>
        </w:tc>
        <w:tc>
          <w:tcPr>
            <w:tcW w:w="851" w:type="dxa"/>
          </w:tcPr>
          <w:p w14:paraId="1AAA8BD7" w14:textId="75CE7436" w:rsidR="00D33768" w:rsidRDefault="00D33768" w:rsidP="00D33768">
            <w:pPr>
              <w:pStyle w:val="NCLTableText"/>
              <w:cnfStyle w:val="000000000000" w:firstRow="0" w:lastRow="0" w:firstColumn="0" w:lastColumn="0" w:oddVBand="0" w:evenVBand="0" w:oddHBand="0" w:evenHBand="0" w:firstRowFirstColumn="0" w:firstRowLastColumn="0" w:lastRowFirstColumn="0" w:lastRowLastColumn="0"/>
            </w:pPr>
            <w:r>
              <w:t>1.3</w:t>
            </w:r>
          </w:p>
        </w:tc>
        <w:tc>
          <w:tcPr>
            <w:tcW w:w="7231" w:type="dxa"/>
          </w:tcPr>
          <w:p w14:paraId="1BC38243" w14:textId="0130AAEA" w:rsidR="00D33768" w:rsidRDefault="00D33768" w:rsidP="00D33768">
            <w:pPr>
              <w:pStyle w:val="NCLTableText"/>
              <w:cnfStyle w:val="000000000000" w:firstRow="0" w:lastRow="0" w:firstColumn="0" w:lastColumn="0" w:oddVBand="0" w:evenVBand="0" w:oddHBand="0" w:evenHBand="0" w:firstRowFirstColumn="0" w:firstRowLastColumn="0" w:lastRowFirstColumn="0" w:lastRowLastColumn="0"/>
            </w:pPr>
            <w:r>
              <w:t>Updated with extended review date to 31/03/2026</w:t>
            </w:r>
          </w:p>
        </w:tc>
      </w:tr>
      <w:tr w:rsidR="00053CB2" w:rsidRPr="00E70CFD" w14:paraId="43EF9FD2" w14:textId="77777777" w:rsidTr="00D33768">
        <w:tc>
          <w:tcPr>
            <w:cnfStyle w:val="001000000000" w:firstRow="0" w:lastRow="0" w:firstColumn="1" w:lastColumn="0" w:oddVBand="0" w:evenVBand="0" w:oddHBand="0" w:evenHBand="0" w:firstRowFirstColumn="0" w:firstRowLastColumn="0" w:lastRowFirstColumn="0" w:lastRowLastColumn="0"/>
            <w:tcW w:w="1240" w:type="dxa"/>
          </w:tcPr>
          <w:p w14:paraId="58E8F4BC" w14:textId="635582E8" w:rsidR="00053CB2" w:rsidRDefault="00053CB2" w:rsidP="00D33768">
            <w:pPr>
              <w:pStyle w:val="NCLTableText"/>
            </w:pPr>
            <w:r>
              <w:t>26/03/2026</w:t>
            </w:r>
          </w:p>
        </w:tc>
        <w:tc>
          <w:tcPr>
            <w:tcW w:w="851" w:type="dxa"/>
          </w:tcPr>
          <w:p w14:paraId="7C01AC9B" w14:textId="26F10EC3" w:rsidR="00053CB2" w:rsidRDefault="00053CB2" w:rsidP="00D33768">
            <w:pPr>
              <w:pStyle w:val="NCLTableText"/>
              <w:cnfStyle w:val="000000000000" w:firstRow="0" w:lastRow="0" w:firstColumn="0" w:lastColumn="0" w:oddVBand="0" w:evenVBand="0" w:oddHBand="0" w:evenHBand="0" w:firstRowFirstColumn="0" w:firstRowLastColumn="0" w:lastRowFirstColumn="0" w:lastRowLastColumn="0"/>
            </w:pPr>
            <w:r>
              <w:t>1.4</w:t>
            </w:r>
          </w:p>
        </w:tc>
        <w:tc>
          <w:tcPr>
            <w:tcW w:w="7231" w:type="dxa"/>
          </w:tcPr>
          <w:p w14:paraId="6747AE1E" w14:textId="6EB8DA45" w:rsidR="00053CB2" w:rsidRDefault="00053CB2" w:rsidP="00D33768">
            <w:pPr>
              <w:pStyle w:val="NCLTableText"/>
              <w:cnfStyle w:val="000000000000" w:firstRow="0" w:lastRow="0" w:firstColumn="0" w:lastColumn="0" w:oddVBand="0" w:evenVBand="0" w:oddHBand="0" w:evenHBand="0" w:firstRowFirstColumn="0" w:firstRowLastColumn="0" w:lastRowFirstColumn="0" w:lastRowLastColumn="0"/>
            </w:pPr>
            <w:r>
              <w:t>Updated with extended review date to 3</w:t>
            </w:r>
            <w:r w:rsidR="000D2F52">
              <w:t>0</w:t>
            </w:r>
            <w:r>
              <w:t>/06/2026</w:t>
            </w:r>
          </w:p>
        </w:tc>
      </w:tr>
    </w:tbl>
    <w:p w14:paraId="1B9618E7" w14:textId="77777777" w:rsidR="00D46B50" w:rsidRPr="00E70CFD" w:rsidRDefault="00D46B50" w:rsidP="00D46B50">
      <w:pPr>
        <w:pStyle w:val="NCLBodyText"/>
      </w:pPr>
    </w:p>
    <w:p w14:paraId="7D2535ED" w14:textId="77777777" w:rsidR="00D46B50" w:rsidRPr="00E70CFD" w:rsidRDefault="00D46B50" w:rsidP="00D46B50">
      <w:pPr>
        <w:pStyle w:val="NCLBodyText"/>
      </w:pPr>
    </w:p>
    <w:tbl>
      <w:tblPr>
        <w:tblStyle w:val="TableGrid"/>
        <w:tblW w:w="0" w:type="auto"/>
        <w:tblLook w:val="04A0" w:firstRow="1" w:lastRow="0" w:firstColumn="1" w:lastColumn="0" w:noHBand="0" w:noVBand="1"/>
      </w:tblPr>
      <w:tblGrid>
        <w:gridCol w:w="4393"/>
        <w:gridCol w:w="4929"/>
      </w:tblGrid>
      <w:tr w:rsidR="00D46B50" w:rsidRPr="00E70CFD" w14:paraId="735214EC" w14:textId="77777777" w:rsidTr="008424FD">
        <w:tc>
          <w:tcPr>
            <w:tcW w:w="4503" w:type="dxa"/>
          </w:tcPr>
          <w:p w14:paraId="1792BA70" w14:textId="77777777" w:rsidR="00D46B50" w:rsidRPr="00E70CFD" w:rsidRDefault="00D46B50" w:rsidP="008424FD">
            <w:pPr>
              <w:pStyle w:val="NCLTableText"/>
            </w:pPr>
            <w:r w:rsidRPr="00E70CFD">
              <w:t>Groups / Individuals who have overseen the development of this guidance:</w:t>
            </w:r>
          </w:p>
        </w:tc>
        <w:tc>
          <w:tcPr>
            <w:tcW w:w="5045" w:type="dxa"/>
          </w:tcPr>
          <w:p w14:paraId="5CC2348D" w14:textId="77777777" w:rsidR="00D46B50" w:rsidRDefault="000B42D0" w:rsidP="008424FD">
            <w:pPr>
              <w:pStyle w:val="NCLTableText"/>
            </w:pPr>
            <w:r>
              <w:t>Ms Lindsey Stockford</w:t>
            </w:r>
          </w:p>
          <w:p w14:paraId="6D57559A" w14:textId="77777777" w:rsidR="000B42D0" w:rsidRDefault="000B42D0" w:rsidP="008424FD">
            <w:pPr>
              <w:pStyle w:val="NCLTableText"/>
            </w:pPr>
            <w:r>
              <w:t>Prof. Ley Sander</w:t>
            </w:r>
          </w:p>
          <w:p w14:paraId="07494211" w14:textId="2644BB02" w:rsidR="000B42D0" w:rsidRDefault="00D1076F" w:rsidP="008424FD">
            <w:pPr>
              <w:pStyle w:val="NCLTableText"/>
            </w:pPr>
            <w:r>
              <w:t>Dr</w:t>
            </w:r>
            <w:r w:rsidR="000B42D0">
              <w:t>. Sanjeev Rajakulendran</w:t>
            </w:r>
          </w:p>
          <w:p w14:paraId="1BF3A3F4" w14:textId="77777777" w:rsidR="005E101F" w:rsidRDefault="005E101F" w:rsidP="008424FD">
            <w:pPr>
              <w:pStyle w:val="NCLTableText"/>
            </w:pPr>
            <w:r>
              <w:t>Ms Sasha Mon</w:t>
            </w:r>
            <w:r w:rsidR="00E72BDE">
              <w:t>aghan</w:t>
            </w:r>
          </w:p>
          <w:p w14:paraId="6B0A33A9" w14:textId="7731CA06" w:rsidR="00F771B5" w:rsidRDefault="00F771B5" w:rsidP="008424FD">
            <w:pPr>
              <w:pStyle w:val="NCLTableText"/>
            </w:pPr>
            <w:r>
              <w:t>Ms Evelyn Frank</w:t>
            </w:r>
          </w:p>
          <w:p w14:paraId="0E036DA3" w14:textId="4D71B526" w:rsidR="00402063" w:rsidRDefault="00402063" w:rsidP="008424FD">
            <w:pPr>
              <w:pStyle w:val="NCLTableText"/>
            </w:pPr>
            <w:r>
              <w:t>Ms Marwa Awadi</w:t>
            </w:r>
          </w:p>
          <w:p w14:paraId="73071F8B" w14:textId="602BF932" w:rsidR="00402063" w:rsidRPr="00E70CFD" w:rsidRDefault="00402063" w:rsidP="008424FD">
            <w:pPr>
              <w:pStyle w:val="NCLTableText"/>
            </w:pPr>
            <w:r>
              <w:t>Dr Dominic Roberts</w:t>
            </w:r>
          </w:p>
        </w:tc>
      </w:tr>
      <w:tr w:rsidR="00D46B50" w:rsidRPr="00E70CFD" w14:paraId="085CA640" w14:textId="77777777" w:rsidTr="008424FD">
        <w:tc>
          <w:tcPr>
            <w:tcW w:w="4503" w:type="dxa"/>
          </w:tcPr>
          <w:p w14:paraId="2EF9A4A3" w14:textId="77777777" w:rsidR="00D46B50" w:rsidRPr="00E70CFD" w:rsidRDefault="00D46B50" w:rsidP="008424FD">
            <w:pPr>
              <w:pStyle w:val="NCLTableText"/>
            </w:pPr>
            <w:r w:rsidRPr="00E70CFD">
              <w:t>Groups which were consulted and have given approval:</w:t>
            </w:r>
          </w:p>
        </w:tc>
        <w:tc>
          <w:tcPr>
            <w:tcW w:w="5045" w:type="dxa"/>
          </w:tcPr>
          <w:p w14:paraId="4D728334" w14:textId="64C405CE" w:rsidR="003F74F7" w:rsidRDefault="003F74F7" w:rsidP="008424FD">
            <w:pPr>
              <w:pStyle w:val="NCLTableText"/>
            </w:pPr>
            <w:r>
              <w:t xml:space="preserve">NCL </w:t>
            </w:r>
            <w:r w:rsidR="009965C4">
              <w:t>consultants and specialist pharmacists</w:t>
            </w:r>
          </w:p>
          <w:p w14:paraId="3A2DC147" w14:textId="68603231" w:rsidR="00D46B50" w:rsidRPr="00D366D0" w:rsidRDefault="002D04D7" w:rsidP="008424FD">
            <w:pPr>
              <w:pStyle w:val="NCLTableText"/>
            </w:pPr>
            <w:r w:rsidRPr="00D366D0">
              <w:t>NCL Shared Care Group</w:t>
            </w:r>
          </w:p>
        </w:tc>
      </w:tr>
      <w:tr w:rsidR="00D46B50" w:rsidRPr="00E70CFD" w14:paraId="63856031" w14:textId="77777777" w:rsidTr="008424FD">
        <w:tc>
          <w:tcPr>
            <w:tcW w:w="4503" w:type="dxa"/>
          </w:tcPr>
          <w:p w14:paraId="6562967A" w14:textId="77777777" w:rsidR="00D46B50" w:rsidRPr="00E70CFD" w:rsidRDefault="00D46B50" w:rsidP="008424FD">
            <w:pPr>
              <w:pStyle w:val="NCLTableText"/>
            </w:pPr>
            <w:r w:rsidRPr="00E70CFD">
              <w:t>File name:</w:t>
            </w:r>
          </w:p>
        </w:tc>
        <w:tc>
          <w:tcPr>
            <w:tcW w:w="5045" w:type="dxa"/>
          </w:tcPr>
          <w:p w14:paraId="1233AD20" w14:textId="346DBE6E" w:rsidR="00D46B50" w:rsidRPr="00D366D0" w:rsidRDefault="00BD7B31" w:rsidP="008424FD">
            <w:pPr>
              <w:pStyle w:val="NCLTableText"/>
            </w:pPr>
            <w:r w:rsidRPr="00D366D0">
              <w:t>SCG_Cenobama</w:t>
            </w:r>
            <w:r w:rsidR="004A31B5" w:rsidRPr="00D366D0">
              <w:t>te</w:t>
            </w:r>
          </w:p>
        </w:tc>
      </w:tr>
      <w:tr w:rsidR="00D46B50" w:rsidRPr="00E70CFD" w14:paraId="2E3C1A02" w14:textId="77777777" w:rsidTr="008424FD">
        <w:tc>
          <w:tcPr>
            <w:tcW w:w="4503" w:type="dxa"/>
          </w:tcPr>
          <w:p w14:paraId="0EC82127" w14:textId="77777777" w:rsidR="00D46B50" w:rsidRPr="00E70CFD" w:rsidRDefault="00D46B50" w:rsidP="008424FD">
            <w:pPr>
              <w:pStyle w:val="NCLTableText"/>
            </w:pPr>
            <w:r w:rsidRPr="00E70CFD">
              <w:t>Version number:</w:t>
            </w:r>
          </w:p>
        </w:tc>
        <w:tc>
          <w:tcPr>
            <w:tcW w:w="5045" w:type="dxa"/>
          </w:tcPr>
          <w:p w14:paraId="2EAC977B" w14:textId="762C7DD9" w:rsidR="00D46B50" w:rsidRPr="00E70CFD" w:rsidRDefault="00D22F05" w:rsidP="008424FD">
            <w:pPr>
              <w:pStyle w:val="NCLTableText"/>
            </w:pPr>
            <w:r>
              <w:t>1.</w:t>
            </w:r>
            <w:r w:rsidR="000D2F52">
              <w:t>4</w:t>
            </w:r>
          </w:p>
        </w:tc>
      </w:tr>
      <w:tr w:rsidR="00D46B50" w:rsidRPr="00E70CFD" w14:paraId="25B0D378" w14:textId="77777777" w:rsidTr="008424FD">
        <w:tc>
          <w:tcPr>
            <w:tcW w:w="4503" w:type="dxa"/>
          </w:tcPr>
          <w:p w14:paraId="52BE8DC6" w14:textId="77777777" w:rsidR="00D46B50" w:rsidRPr="00E70CFD" w:rsidRDefault="00D46B50" w:rsidP="008424FD">
            <w:pPr>
              <w:pStyle w:val="NCLTableText"/>
            </w:pPr>
            <w:r w:rsidRPr="00E70CFD">
              <w:t>Available on:</w:t>
            </w:r>
          </w:p>
        </w:tc>
        <w:tc>
          <w:tcPr>
            <w:tcW w:w="5045" w:type="dxa"/>
          </w:tcPr>
          <w:p w14:paraId="7351D6F8" w14:textId="2B6D5DA5" w:rsidR="00D46B50" w:rsidRPr="00E70CFD" w:rsidRDefault="003C0738" w:rsidP="008424FD">
            <w:pPr>
              <w:pStyle w:val="NCLTableText"/>
            </w:pPr>
            <w:hyperlink r:id="rId17" w:history="1">
              <w:r w:rsidR="005F2E9C" w:rsidRPr="00290207">
                <w:rPr>
                  <w:rStyle w:val="Hyperlink"/>
                </w:rPr>
                <w:t>www.ncl-mon.nhs.uk</w:t>
              </w:r>
            </w:hyperlink>
            <w:r w:rsidR="00970FE3">
              <w:t xml:space="preserve"> </w:t>
            </w:r>
          </w:p>
        </w:tc>
      </w:tr>
      <w:tr w:rsidR="00D46B50" w:rsidRPr="00E70CFD" w14:paraId="2828769C" w14:textId="77777777" w:rsidTr="008424FD">
        <w:tc>
          <w:tcPr>
            <w:tcW w:w="4503" w:type="dxa"/>
          </w:tcPr>
          <w:p w14:paraId="0BAD6150" w14:textId="77777777" w:rsidR="00D46B50" w:rsidRPr="00E70CFD" w:rsidRDefault="00D46B50" w:rsidP="008424FD">
            <w:pPr>
              <w:pStyle w:val="NCLTableText"/>
            </w:pPr>
            <w:r w:rsidRPr="00E70CFD">
              <w:t>Disseminated to:</w:t>
            </w:r>
          </w:p>
        </w:tc>
        <w:tc>
          <w:tcPr>
            <w:tcW w:w="5045" w:type="dxa"/>
          </w:tcPr>
          <w:p w14:paraId="157AEED1" w14:textId="762FF5F7" w:rsidR="00D46B50" w:rsidRPr="00E70CFD" w:rsidRDefault="00970FE3" w:rsidP="008424FD">
            <w:pPr>
              <w:pStyle w:val="NCLTableText"/>
            </w:pPr>
            <w:r>
              <w:t>NCL formulary pharmacists and commissioners</w:t>
            </w:r>
          </w:p>
        </w:tc>
      </w:tr>
      <w:tr w:rsidR="00D46B50" w:rsidRPr="00E70CFD" w14:paraId="76310FA2" w14:textId="77777777" w:rsidTr="008424FD">
        <w:tc>
          <w:tcPr>
            <w:tcW w:w="4503" w:type="dxa"/>
          </w:tcPr>
          <w:p w14:paraId="335AF85E" w14:textId="77777777" w:rsidR="00D46B50" w:rsidRPr="00E70CFD" w:rsidRDefault="00D46B50" w:rsidP="008424FD">
            <w:pPr>
              <w:pStyle w:val="NCLTableText"/>
            </w:pPr>
            <w:r w:rsidRPr="00E70CFD">
              <w:t>Equality impact assessment:</w:t>
            </w:r>
          </w:p>
        </w:tc>
        <w:tc>
          <w:tcPr>
            <w:tcW w:w="5045" w:type="dxa"/>
          </w:tcPr>
          <w:p w14:paraId="43F702BE" w14:textId="377767CD" w:rsidR="00D46B50" w:rsidRPr="00E70CFD" w:rsidRDefault="00494472" w:rsidP="008424FD">
            <w:pPr>
              <w:pStyle w:val="NCLTableText"/>
            </w:pPr>
            <w:r>
              <w:t>Low</w:t>
            </w:r>
          </w:p>
        </w:tc>
      </w:tr>
      <w:tr w:rsidR="00D46B50" w:rsidRPr="00E70CFD" w14:paraId="67609B4A" w14:textId="77777777" w:rsidTr="008424FD">
        <w:tc>
          <w:tcPr>
            <w:tcW w:w="4503" w:type="dxa"/>
          </w:tcPr>
          <w:p w14:paraId="5331A72C" w14:textId="3E936D51" w:rsidR="00D46B50" w:rsidRPr="00E70CFD" w:rsidRDefault="00D46B50" w:rsidP="008424FD">
            <w:pPr>
              <w:pStyle w:val="NCLTableText"/>
            </w:pPr>
            <w:r w:rsidRPr="00E70CFD">
              <w:t xml:space="preserve">NCL </w:t>
            </w:r>
            <w:r w:rsidR="00642983">
              <w:t xml:space="preserve">Shared Care Group </w:t>
            </w:r>
            <w:r w:rsidRPr="00E70CFD">
              <w:t>Approval date:</w:t>
            </w:r>
          </w:p>
        </w:tc>
        <w:tc>
          <w:tcPr>
            <w:tcW w:w="5045" w:type="dxa"/>
          </w:tcPr>
          <w:p w14:paraId="32E71D6D" w14:textId="2D9E6225" w:rsidR="00D46B50" w:rsidRPr="00E70CFD" w:rsidRDefault="00065709" w:rsidP="008424FD">
            <w:pPr>
              <w:pStyle w:val="NCLTableText"/>
            </w:pPr>
            <w:r>
              <w:t>03/03/2023</w:t>
            </w:r>
          </w:p>
        </w:tc>
      </w:tr>
      <w:tr w:rsidR="00D46B50" w:rsidRPr="00E70CFD" w14:paraId="2C8276EA" w14:textId="77777777" w:rsidTr="008424FD">
        <w:tc>
          <w:tcPr>
            <w:tcW w:w="4503" w:type="dxa"/>
          </w:tcPr>
          <w:p w14:paraId="003244AC" w14:textId="77777777" w:rsidR="00D46B50" w:rsidRPr="00E70CFD" w:rsidRDefault="00D46B50" w:rsidP="008424FD">
            <w:pPr>
              <w:pStyle w:val="NCLTableText"/>
            </w:pPr>
            <w:r w:rsidRPr="00E70CFD">
              <w:t>Review date:</w:t>
            </w:r>
          </w:p>
        </w:tc>
        <w:tc>
          <w:tcPr>
            <w:tcW w:w="5045" w:type="dxa"/>
          </w:tcPr>
          <w:p w14:paraId="23812558" w14:textId="55ACBE87" w:rsidR="00D46B50" w:rsidRPr="00E70CFD" w:rsidRDefault="007C1694" w:rsidP="008424FD">
            <w:pPr>
              <w:pStyle w:val="NCLTableText"/>
            </w:pPr>
            <w:r>
              <w:t>3</w:t>
            </w:r>
            <w:r w:rsidR="000D2F52">
              <w:t>0</w:t>
            </w:r>
            <w:r w:rsidR="00642983">
              <w:t>/0</w:t>
            </w:r>
            <w:r w:rsidR="00AA243B">
              <w:t>6</w:t>
            </w:r>
            <w:r w:rsidR="00642983">
              <w:t>/202</w:t>
            </w:r>
            <w:r>
              <w:t>6</w:t>
            </w:r>
          </w:p>
        </w:tc>
      </w:tr>
    </w:tbl>
    <w:p w14:paraId="2418BDFC" w14:textId="77777777" w:rsidR="00D46B50" w:rsidRPr="00E70CFD" w:rsidRDefault="00D46B50" w:rsidP="00D46B50">
      <w:pPr>
        <w:pStyle w:val="NCLBodyText"/>
      </w:pPr>
      <w:r w:rsidRPr="00E70CFD">
        <w:br w:type="page"/>
      </w:r>
    </w:p>
    <w:p w14:paraId="643D3141" w14:textId="275DEFB5" w:rsidR="00DF3C38" w:rsidRPr="00E70CFD" w:rsidRDefault="00DF3C38" w:rsidP="00DF3C38">
      <w:pPr>
        <w:pStyle w:val="NCLAppendix"/>
      </w:pPr>
      <w:bookmarkStart w:id="25" w:name="_Toc112319342"/>
      <w:r w:rsidRPr="00E70CFD">
        <w:lastRenderedPageBreak/>
        <w:t xml:space="preserve">Appendix </w:t>
      </w:r>
      <w:r w:rsidR="00856B53" w:rsidRPr="00E70CFD">
        <w:rPr>
          <w:noProof/>
        </w:rPr>
        <w:t>1</w:t>
      </w:r>
      <w:r w:rsidRPr="00E70CFD">
        <w:t xml:space="preserve">: </w:t>
      </w:r>
      <w:r w:rsidR="006F54F7" w:rsidRPr="00E70CFD">
        <w:t>Cenobamate</w:t>
      </w:r>
      <w:r w:rsidRPr="00E70CFD">
        <w:t xml:space="preserve"> transfer form: from [Trust] to GP practice</w:t>
      </w:r>
      <w:bookmarkEnd w:id="25"/>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4"/>
        <w:gridCol w:w="1600"/>
        <w:gridCol w:w="380"/>
        <w:gridCol w:w="639"/>
        <w:gridCol w:w="257"/>
        <w:gridCol w:w="242"/>
        <w:gridCol w:w="842"/>
        <w:gridCol w:w="1134"/>
        <w:gridCol w:w="875"/>
        <w:gridCol w:w="1920"/>
      </w:tblGrid>
      <w:tr w:rsidR="00DF3C38" w:rsidRPr="00E70CFD" w14:paraId="165F5C78" w14:textId="77777777" w:rsidTr="008424FD">
        <w:trPr>
          <w:cantSplit/>
          <w:trHeight w:val="482"/>
        </w:trPr>
        <w:tc>
          <w:tcPr>
            <w:tcW w:w="10363" w:type="dxa"/>
            <w:gridSpan w:val="10"/>
            <w:tcBorders>
              <w:top w:val="nil"/>
              <w:left w:val="nil"/>
              <w:bottom w:val="nil"/>
              <w:right w:val="nil"/>
            </w:tcBorders>
            <w:vAlign w:val="center"/>
          </w:tcPr>
          <w:p w14:paraId="1A977A1C" w14:textId="77777777" w:rsidR="00DF3C38" w:rsidRPr="00E70CFD" w:rsidRDefault="00DF3C38" w:rsidP="008424FD">
            <w:pPr>
              <w:pStyle w:val="BodyText"/>
              <w:tabs>
                <w:tab w:val="left" w:pos="-174"/>
                <w:tab w:val="left" w:pos="4860"/>
                <w:tab w:val="left" w:pos="6660"/>
                <w:tab w:val="left" w:pos="7740"/>
                <w:tab w:val="right" w:pos="8820"/>
              </w:tabs>
              <w:spacing w:after="240"/>
              <w:ind w:left="-174" w:right="-516" w:firstLine="66"/>
              <w:rPr>
                <w:rFonts w:ascii="Arial" w:hAnsi="Arial" w:cs="Arial"/>
                <w:b/>
                <w:iCs/>
              </w:rPr>
            </w:pPr>
          </w:p>
          <w:p w14:paraId="40344270" w14:textId="2C1374CF" w:rsidR="00DF3C38" w:rsidRPr="00E70CFD" w:rsidRDefault="00DF3C38" w:rsidP="008424FD">
            <w:pPr>
              <w:pStyle w:val="BodyText"/>
              <w:tabs>
                <w:tab w:val="left" w:pos="-174"/>
                <w:tab w:val="left" w:pos="4860"/>
                <w:tab w:val="left" w:pos="6660"/>
                <w:tab w:val="left" w:pos="7740"/>
                <w:tab w:val="right" w:pos="8820"/>
              </w:tabs>
              <w:spacing w:after="240"/>
              <w:ind w:left="-174" w:right="-516" w:firstLine="66"/>
              <w:rPr>
                <w:rFonts w:ascii="Arial" w:hAnsi="Arial" w:cs="Arial"/>
                <w:bCs/>
                <w:i/>
              </w:rPr>
            </w:pPr>
            <w:r w:rsidRPr="00E70CFD">
              <w:rPr>
                <w:rFonts w:ascii="Arial" w:hAnsi="Arial" w:cs="Arial"/>
                <w:b/>
                <w:iCs/>
              </w:rPr>
              <w:t xml:space="preserve">Section A: to be completed by secondary care </w:t>
            </w:r>
            <w:r w:rsidR="00EB29E6" w:rsidRPr="00E70CFD">
              <w:rPr>
                <w:rFonts w:ascii="Arial" w:hAnsi="Arial" w:cs="Arial"/>
                <w:bCs/>
                <w:i/>
              </w:rPr>
              <w:t>Send to</w:t>
            </w:r>
            <w:r w:rsidRPr="00E70CFD">
              <w:rPr>
                <w:rFonts w:ascii="Arial" w:hAnsi="Arial" w:cs="Arial"/>
                <w:bCs/>
                <w:i/>
              </w:rPr>
              <w:t xml:space="preserve"> practice</w:t>
            </w:r>
          </w:p>
          <w:p w14:paraId="2FE59A5B" w14:textId="1E96746F" w:rsidR="00DF3C38" w:rsidRPr="00E70CFD" w:rsidRDefault="00DF3C38" w:rsidP="008424FD">
            <w:pPr>
              <w:pStyle w:val="BodyText"/>
              <w:tabs>
                <w:tab w:val="left" w:pos="-540"/>
                <w:tab w:val="left" w:pos="4860"/>
                <w:tab w:val="left" w:pos="6660"/>
                <w:tab w:val="left" w:pos="7740"/>
                <w:tab w:val="right" w:pos="8820"/>
              </w:tabs>
              <w:spacing w:after="240"/>
              <w:ind w:left="-108" w:right="-516"/>
              <w:rPr>
                <w:rFonts w:ascii="Arial" w:hAnsi="Arial" w:cs="Arial"/>
                <w:bCs/>
                <w:iCs/>
              </w:rPr>
            </w:pPr>
            <w:r w:rsidRPr="00E70CFD">
              <w:rPr>
                <w:rFonts w:ascii="Arial" w:hAnsi="Arial" w:cs="Arial"/>
                <w:bCs/>
                <w:i/>
              </w:rPr>
              <w:t>This document is to request the shared care pathway of your patient and comprises an agreement between the GP and named consultant. The patient will continue to be seen by the named consultant as regular follow up.</w:t>
            </w:r>
          </w:p>
        </w:tc>
      </w:tr>
      <w:tr w:rsidR="00DF3C38" w:rsidRPr="00E70CFD" w14:paraId="5D363CF3" w14:textId="77777777" w:rsidTr="008424FD">
        <w:trPr>
          <w:cantSplit/>
          <w:trHeight w:val="586"/>
        </w:trPr>
        <w:tc>
          <w:tcPr>
            <w:tcW w:w="5350" w:type="dxa"/>
            <w:gridSpan w:val="5"/>
            <w:vMerge w:val="restart"/>
            <w:tcBorders>
              <w:top w:val="single" w:sz="4" w:space="0" w:color="auto"/>
              <w:left w:val="single" w:sz="4" w:space="0" w:color="auto"/>
              <w:right w:val="single" w:sz="4" w:space="0" w:color="auto"/>
            </w:tcBorders>
          </w:tcPr>
          <w:p w14:paraId="636B1F0A" w14:textId="77777777" w:rsidR="00DF3C38" w:rsidRPr="00E70CFD" w:rsidRDefault="00DF3C38" w:rsidP="008424FD">
            <w:pPr>
              <w:pStyle w:val="BodyText"/>
              <w:tabs>
                <w:tab w:val="left" w:pos="-540"/>
                <w:tab w:val="left" w:pos="4860"/>
                <w:tab w:val="left" w:pos="6660"/>
                <w:tab w:val="left" w:pos="7740"/>
                <w:tab w:val="right" w:pos="8820"/>
              </w:tabs>
              <w:spacing w:before="120"/>
              <w:ind w:right="-516" w:firstLine="74"/>
              <w:rPr>
                <w:rFonts w:ascii="Arial" w:hAnsi="Arial" w:cs="Arial"/>
                <w:bCs/>
                <w:i/>
              </w:rPr>
            </w:pPr>
            <w:r w:rsidRPr="00E70CFD">
              <w:rPr>
                <w:rFonts w:ascii="Arial" w:hAnsi="Arial" w:cs="Arial"/>
                <w:bCs/>
                <w:i/>
              </w:rPr>
              <w:t>Fix address label here (ensure NHS no.on)</w:t>
            </w:r>
          </w:p>
        </w:tc>
        <w:tc>
          <w:tcPr>
            <w:tcW w:w="242" w:type="dxa"/>
            <w:tcBorders>
              <w:top w:val="nil"/>
              <w:left w:val="single" w:sz="4" w:space="0" w:color="auto"/>
              <w:bottom w:val="nil"/>
              <w:right w:val="nil"/>
            </w:tcBorders>
          </w:tcPr>
          <w:p w14:paraId="1F92AC5C" w14:textId="77777777" w:rsidR="00DF3C38" w:rsidRPr="00E70CFD"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val="restart"/>
            <w:tcBorders>
              <w:top w:val="single" w:sz="4" w:space="0" w:color="auto"/>
              <w:left w:val="single" w:sz="4" w:space="0" w:color="auto"/>
              <w:right w:val="single" w:sz="4" w:space="0" w:color="auto"/>
            </w:tcBorders>
          </w:tcPr>
          <w:p w14:paraId="58EB0436" w14:textId="77777777" w:rsidR="00DF3C38" w:rsidRPr="00E70CFD"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Cs/>
                <w:i/>
              </w:rPr>
            </w:pPr>
            <w:r w:rsidRPr="00E70CFD">
              <w:rPr>
                <w:rFonts w:ascii="Arial" w:hAnsi="Arial" w:cs="Arial"/>
                <w:bCs/>
                <w:iCs/>
              </w:rPr>
              <w:t xml:space="preserve">Clinic stamp </w:t>
            </w:r>
            <w:r w:rsidRPr="00E70CFD">
              <w:rPr>
                <w:rFonts w:ascii="Arial" w:hAnsi="Arial" w:cs="Arial"/>
                <w:bCs/>
                <w:i/>
              </w:rPr>
              <w:t>or give details below</w:t>
            </w:r>
          </w:p>
          <w:p w14:paraId="4B0D6DB3" w14:textId="77777777" w:rsidR="00DF3C38" w:rsidRPr="00E70CFD"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
                <w:bCs/>
                <w:iCs/>
              </w:rPr>
            </w:pPr>
          </w:p>
        </w:tc>
      </w:tr>
      <w:tr w:rsidR="00DF3C38" w:rsidRPr="00E70CFD" w14:paraId="75BB8E07" w14:textId="77777777" w:rsidTr="008424FD">
        <w:trPr>
          <w:cantSplit/>
          <w:trHeight w:val="145"/>
        </w:trPr>
        <w:tc>
          <w:tcPr>
            <w:tcW w:w="5350" w:type="dxa"/>
            <w:gridSpan w:val="5"/>
            <w:vMerge/>
            <w:tcBorders>
              <w:left w:val="single" w:sz="4" w:space="0" w:color="auto"/>
              <w:right w:val="single" w:sz="4" w:space="0" w:color="auto"/>
            </w:tcBorders>
          </w:tcPr>
          <w:p w14:paraId="04CD16B7" w14:textId="77777777" w:rsidR="00DF3C38" w:rsidRPr="00E70CFD"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42" w:type="dxa"/>
            <w:tcBorders>
              <w:top w:val="nil"/>
              <w:left w:val="single" w:sz="4" w:space="0" w:color="auto"/>
              <w:bottom w:val="nil"/>
              <w:right w:val="nil"/>
            </w:tcBorders>
          </w:tcPr>
          <w:p w14:paraId="4AED1530" w14:textId="77777777" w:rsidR="00DF3C38" w:rsidRPr="00E70CFD"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tcBorders>
              <w:left w:val="single" w:sz="4" w:space="0" w:color="auto"/>
              <w:right w:val="single" w:sz="4" w:space="0" w:color="auto"/>
            </w:tcBorders>
          </w:tcPr>
          <w:p w14:paraId="0452C0D0" w14:textId="77777777" w:rsidR="00DF3C38" w:rsidRPr="00E70CFD"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rsidRPr="00E70CFD" w14:paraId="1F659CFE" w14:textId="77777777" w:rsidTr="008424FD">
        <w:trPr>
          <w:cantSplit/>
          <w:trHeight w:val="113"/>
        </w:trPr>
        <w:tc>
          <w:tcPr>
            <w:tcW w:w="5350" w:type="dxa"/>
            <w:gridSpan w:val="5"/>
            <w:vMerge/>
            <w:tcBorders>
              <w:left w:val="single" w:sz="4" w:space="0" w:color="auto"/>
              <w:bottom w:val="single" w:sz="4" w:space="0" w:color="auto"/>
              <w:right w:val="single" w:sz="4" w:space="0" w:color="auto"/>
            </w:tcBorders>
          </w:tcPr>
          <w:p w14:paraId="374491AA" w14:textId="77777777" w:rsidR="00DF3C38" w:rsidRPr="00E70CFD"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42" w:type="dxa"/>
            <w:tcBorders>
              <w:top w:val="nil"/>
              <w:left w:val="single" w:sz="4" w:space="0" w:color="auto"/>
              <w:bottom w:val="nil"/>
              <w:right w:val="nil"/>
            </w:tcBorders>
          </w:tcPr>
          <w:p w14:paraId="5C94E89E" w14:textId="77777777" w:rsidR="00DF3C38" w:rsidRPr="00E70CFD"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tcBorders>
              <w:left w:val="single" w:sz="4" w:space="0" w:color="auto"/>
              <w:bottom w:val="single" w:sz="4" w:space="0" w:color="auto"/>
              <w:right w:val="single" w:sz="4" w:space="0" w:color="auto"/>
            </w:tcBorders>
          </w:tcPr>
          <w:p w14:paraId="57ACE8A3" w14:textId="77777777" w:rsidR="00DF3C38" w:rsidRPr="00E70CFD"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rsidRPr="00E70CFD" w14:paraId="17CA2488" w14:textId="77777777" w:rsidTr="008424FD">
        <w:trPr>
          <w:cantSplit/>
          <w:trHeight w:val="90"/>
        </w:trPr>
        <w:tc>
          <w:tcPr>
            <w:tcW w:w="10363" w:type="dxa"/>
            <w:gridSpan w:val="10"/>
            <w:tcBorders>
              <w:top w:val="nil"/>
              <w:left w:val="nil"/>
              <w:bottom w:val="nil"/>
              <w:right w:val="nil"/>
            </w:tcBorders>
          </w:tcPr>
          <w:p w14:paraId="184485B5" w14:textId="77777777" w:rsidR="00DF3C38" w:rsidRPr="00E70CFD" w:rsidRDefault="00DF3C38" w:rsidP="008424FD">
            <w:pPr>
              <w:pStyle w:val="BodyText"/>
              <w:tabs>
                <w:tab w:val="left" w:pos="-540"/>
                <w:tab w:val="left" w:pos="4860"/>
                <w:tab w:val="left" w:pos="6660"/>
                <w:tab w:val="left" w:pos="7740"/>
                <w:tab w:val="right" w:pos="8820"/>
              </w:tabs>
              <w:ind w:right="-516" w:firstLine="51"/>
              <w:rPr>
                <w:rFonts w:ascii="Arial" w:hAnsi="Arial" w:cs="Arial"/>
                <w:bCs/>
                <w:iCs/>
                <w:sz w:val="16"/>
              </w:rPr>
            </w:pPr>
          </w:p>
        </w:tc>
      </w:tr>
      <w:tr w:rsidR="00DF3C38" w:rsidRPr="00E70CFD" w14:paraId="12CDDF41" w14:textId="77777777" w:rsidTr="008424FD">
        <w:trPr>
          <w:cantSplit/>
          <w:trHeight w:val="468"/>
        </w:trPr>
        <w:tc>
          <w:tcPr>
            <w:tcW w:w="2474" w:type="dxa"/>
            <w:tcBorders>
              <w:top w:val="nil"/>
              <w:left w:val="nil"/>
              <w:bottom w:val="nil"/>
              <w:right w:val="single" w:sz="4" w:space="0" w:color="auto"/>
            </w:tcBorders>
            <w:vAlign w:val="center"/>
          </w:tcPr>
          <w:p w14:paraId="40E83C97" w14:textId="77777777" w:rsidR="00DF3C38" w:rsidRPr="00E70CFD"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sidRPr="00E70CFD">
              <w:rPr>
                <w:rFonts w:ascii="Arial" w:hAnsi="Arial" w:cs="Arial"/>
                <w:bCs/>
                <w:iCs/>
              </w:rPr>
              <w:t xml:space="preserve"> Department</w:t>
            </w:r>
          </w:p>
        </w:tc>
        <w:tc>
          <w:tcPr>
            <w:tcW w:w="2876" w:type="dxa"/>
            <w:gridSpan w:val="4"/>
            <w:tcBorders>
              <w:top w:val="single" w:sz="4" w:space="0" w:color="auto"/>
              <w:left w:val="single" w:sz="4" w:space="0" w:color="auto"/>
              <w:bottom w:val="single" w:sz="4" w:space="0" w:color="auto"/>
              <w:right w:val="nil"/>
            </w:tcBorders>
            <w:vAlign w:val="center"/>
          </w:tcPr>
          <w:p w14:paraId="286935C3"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42" w:type="dxa"/>
            <w:tcBorders>
              <w:top w:val="nil"/>
              <w:left w:val="single" w:sz="4" w:space="0" w:color="auto"/>
              <w:bottom w:val="nil"/>
              <w:right w:val="nil"/>
            </w:tcBorders>
            <w:vAlign w:val="center"/>
          </w:tcPr>
          <w:p w14:paraId="67404990"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771" w:type="dxa"/>
            <w:gridSpan w:val="4"/>
            <w:tcBorders>
              <w:top w:val="nil"/>
              <w:left w:val="nil"/>
              <w:bottom w:val="nil"/>
              <w:right w:val="nil"/>
            </w:tcBorders>
            <w:vAlign w:val="center"/>
          </w:tcPr>
          <w:p w14:paraId="2852FD58"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E70CFD" w14:paraId="11B3ECB9" w14:textId="77777777" w:rsidTr="008424FD">
        <w:trPr>
          <w:cantSplit/>
          <w:trHeight w:val="300"/>
        </w:trPr>
        <w:tc>
          <w:tcPr>
            <w:tcW w:w="5592" w:type="dxa"/>
            <w:gridSpan w:val="6"/>
            <w:tcBorders>
              <w:top w:val="nil"/>
              <w:left w:val="nil"/>
              <w:bottom w:val="nil"/>
              <w:right w:val="nil"/>
            </w:tcBorders>
          </w:tcPr>
          <w:p w14:paraId="7EFA829F" w14:textId="77777777" w:rsidR="00DF3C38" w:rsidRPr="00E70CFD"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771" w:type="dxa"/>
            <w:gridSpan w:val="4"/>
            <w:tcBorders>
              <w:top w:val="nil"/>
              <w:left w:val="nil"/>
              <w:bottom w:val="nil"/>
              <w:right w:val="nil"/>
            </w:tcBorders>
          </w:tcPr>
          <w:p w14:paraId="6B720EF0" w14:textId="77777777" w:rsidR="00DF3C38" w:rsidRPr="00E70CFD"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rsidRPr="00E70CFD" w14:paraId="383C4029" w14:textId="77777777" w:rsidTr="007B67B8">
        <w:trPr>
          <w:cantSplit/>
          <w:trHeight w:val="468"/>
        </w:trPr>
        <w:tc>
          <w:tcPr>
            <w:tcW w:w="2474" w:type="dxa"/>
            <w:tcBorders>
              <w:top w:val="nil"/>
              <w:left w:val="nil"/>
              <w:bottom w:val="nil"/>
              <w:right w:val="single" w:sz="4" w:space="0" w:color="auto"/>
            </w:tcBorders>
            <w:vAlign w:val="center"/>
          </w:tcPr>
          <w:p w14:paraId="3E8D3F76" w14:textId="77777777" w:rsidR="00DF3C38" w:rsidRPr="00E70CFD"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E70CFD">
              <w:rPr>
                <w:rFonts w:ascii="Arial" w:hAnsi="Arial" w:cs="Arial"/>
                <w:bCs/>
                <w:iCs/>
              </w:rPr>
              <w:t xml:space="preserve">Clinic phone </w:t>
            </w:r>
          </w:p>
          <w:p w14:paraId="4BC86BEE" w14:textId="77777777" w:rsidR="00DF3C38" w:rsidRPr="00E70CFD"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p>
        </w:tc>
        <w:tc>
          <w:tcPr>
            <w:tcW w:w="2876" w:type="dxa"/>
            <w:gridSpan w:val="4"/>
            <w:tcBorders>
              <w:top w:val="single" w:sz="4" w:space="0" w:color="auto"/>
              <w:left w:val="single" w:sz="4" w:space="0" w:color="auto"/>
              <w:bottom w:val="single" w:sz="4" w:space="0" w:color="auto"/>
              <w:right w:val="nil"/>
            </w:tcBorders>
            <w:vAlign w:val="center"/>
          </w:tcPr>
          <w:p w14:paraId="62E17009"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42" w:type="dxa"/>
            <w:tcBorders>
              <w:top w:val="nil"/>
              <w:left w:val="single" w:sz="4" w:space="0" w:color="auto"/>
              <w:bottom w:val="nil"/>
              <w:right w:val="nil"/>
            </w:tcBorders>
            <w:vAlign w:val="center"/>
          </w:tcPr>
          <w:p w14:paraId="7D93FCA8"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r w:rsidRPr="00E70CFD">
              <w:rPr>
                <w:rFonts w:ascii="Arial" w:hAnsi="Arial" w:cs="Arial"/>
                <w:bCs/>
                <w:iCs/>
              </w:rPr>
              <w:t xml:space="preserve"> </w:t>
            </w:r>
          </w:p>
        </w:tc>
        <w:tc>
          <w:tcPr>
            <w:tcW w:w="842" w:type="dxa"/>
            <w:tcBorders>
              <w:top w:val="nil"/>
              <w:left w:val="nil"/>
              <w:bottom w:val="nil"/>
              <w:right w:val="nil"/>
            </w:tcBorders>
            <w:vAlign w:val="center"/>
          </w:tcPr>
          <w:p w14:paraId="3150AEBF" w14:textId="77777777" w:rsidR="00DF3C38" w:rsidRPr="00E70CFD" w:rsidRDefault="00DF3C38" w:rsidP="007B67B8">
            <w:pPr>
              <w:pStyle w:val="BodyText"/>
              <w:tabs>
                <w:tab w:val="left" w:pos="-540"/>
                <w:tab w:val="left" w:pos="4860"/>
                <w:tab w:val="left" w:pos="6660"/>
                <w:tab w:val="left" w:pos="7740"/>
                <w:tab w:val="right" w:pos="8820"/>
              </w:tabs>
              <w:spacing w:before="120"/>
              <w:ind w:right="-516" w:hanging="128"/>
              <w:rPr>
                <w:rFonts w:ascii="Arial" w:hAnsi="Arial" w:cs="Arial"/>
                <w:bCs/>
                <w:iCs/>
              </w:rPr>
            </w:pPr>
            <w:r w:rsidRPr="00E70CFD">
              <w:rPr>
                <w:rFonts w:ascii="Arial" w:hAnsi="Arial" w:cs="Arial"/>
                <w:bCs/>
                <w:iCs/>
              </w:rPr>
              <w:t xml:space="preserve">     </w:t>
            </w:r>
          </w:p>
        </w:tc>
        <w:tc>
          <w:tcPr>
            <w:tcW w:w="3929" w:type="dxa"/>
            <w:gridSpan w:val="3"/>
            <w:tcBorders>
              <w:top w:val="nil"/>
              <w:left w:val="nil"/>
              <w:bottom w:val="nil"/>
              <w:right w:val="nil"/>
            </w:tcBorders>
            <w:vAlign w:val="center"/>
          </w:tcPr>
          <w:p w14:paraId="7F4C96A5"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rsidRPr="00E70CFD" w14:paraId="3B2895F3" w14:textId="77777777" w:rsidTr="008424FD">
        <w:trPr>
          <w:cantSplit/>
          <w:trHeight w:val="300"/>
        </w:trPr>
        <w:tc>
          <w:tcPr>
            <w:tcW w:w="5592" w:type="dxa"/>
            <w:gridSpan w:val="6"/>
            <w:tcBorders>
              <w:top w:val="nil"/>
              <w:left w:val="nil"/>
              <w:bottom w:val="nil"/>
              <w:right w:val="nil"/>
            </w:tcBorders>
          </w:tcPr>
          <w:p w14:paraId="7A76476C" w14:textId="77777777" w:rsidR="00DF3C38" w:rsidRPr="00E70CFD"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771" w:type="dxa"/>
            <w:gridSpan w:val="4"/>
            <w:tcBorders>
              <w:top w:val="nil"/>
              <w:left w:val="nil"/>
              <w:bottom w:val="nil"/>
              <w:right w:val="nil"/>
            </w:tcBorders>
          </w:tcPr>
          <w:p w14:paraId="269EF4F8" w14:textId="77777777" w:rsidR="00DF3C38" w:rsidRPr="00E70CFD" w:rsidRDefault="00DF3C38" w:rsidP="008424FD">
            <w:pPr>
              <w:pStyle w:val="BodyText"/>
              <w:tabs>
                <w:tab w:val="left" w:pos="-540"/>
                <w:tab w:val="left" w:pos="4860"/>
                <w:tab w:val="left" w:pos="6660"/>
                <w:tab w:val="left" w:pos="7740"/>
                <w:tab w:val="right" w:pos="8820"/>
              </w:tabs>
              <w:ind w:right="-516" w:hanging="128"/>
              <w:rPr>
                <w:rFonts w:ascii="Arial" w:hAnsi="Arial" w:cs="Arial"/>
                <w:bCs/>
                <w:iCs/>
                <w:sz w:val="16"/>
              </w:rPr>
            </w:pPr>
          </w:p>
        </w:tc>
      </w:tr>
      <w:tr w:rsidR="00DF3C38" w:rsidRPr="00E70CFD" w14:paraId="4AF479AA" w14:textId="77777777" w:rsidTr="008424FD">
        <w:trPr>
          <w:cantSplit/>
          <w:trHeight w:val="468"/>
        </w:trPr>
        <w:tc>
          <w:tcPr>
            <w:tcW w:w="2474" w:type="dxa"/>
            <w:tcBorders>
              <w:top w:val="nil"/>
              <w:left w:val="nil"/>
              <w:bottom w:val="nil"/>
              <w:right w:val="single" w:sz="4" w:space="0" w:color="auto"/>
            </w:tcBorders>
            <w:vAlign w:val="center"/>
          </w:tcPr>
          <w:p w14:paraId="1F0D6C89" w14:textId="77777777" w:rsidR="00DF3C38" w:rsidRPr="00E70CFD"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E70CFD">
              <w:rPr>
                <w:rFonts w:ascii="Arial" w:hAnsi="Arial" w:cs="Arial"/>
                <w:bCs/>
                <w:iCs/>
              </w:rPr>
              <w:t>Consultant</w:t>
            </w:r>
          </w:p>
        </w:tc>
        <w:tc>
          <w:tcPr>
            <w:tcW w:w="2876" w:type="dxa"/>
            <w:gridSpan w:val="4"/>
            <w:tcBorders>
              <w:top w:val="single" w:sz="4" w:space="0" w:color="auto"/>
              <w:left w:val="single" w:sz="4" w:space="0" w:color="auto"/>
              <w:bottom w:val="single" w:sz="4" w:space="0" w:color="auto"/>
              <w:right w:val="nil"/>
            </w:tcBorders>
            <w:vAlign w:val="center"/>
          </w:tcPr>
          <w:p w14:paraId="610994C4"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vAlign w:val="center"/>
          </w:tcPr>
          <w:p w14:paraId="479D0A9B" w14:textId="77777777" w:rsidR="00DF3C38" w:rsidRPr="00E70CFD"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E70CFD">
              <w:rPr>
                <w:rFonts w:ascii="Arial" w:hAnsi="Arial" w:cs="Arial"/>
                <w:bCs/>
                <w:iCs/>
              </w:rPr>
              <w:t xml:space="preserve">  </w:t>
            </w:r>
          </w:p>
        </w:tc>
        <w:tc>
          <w:tcPr>
            <w:tcW w:w="842" w:type="dxa"/>
            <w:tcBorders>
              <w:top w:val="nil"/>
              <w:left w:val="nil"/>
              <w:bottom w:val="nil"/>
              <w:right w:val="nil"/>
            </w:tcBorders>
            <w:vAlign w:val="center"/>
          </w:tcPr>
          <w:p w14:paraId="6EACA942" w14:textId="77777777" w:rsidR="00DF3C38" w:rsidRPr="00E70CFD" w:rsidRDefault="00DF3C38" w:rsidP="008424FD">
            <w:pPr>
              <w:pStyle w:val="BodyText"/>
              <w:tabs>
                <w:tab w:val="left" w:pos="-540"/>
                <w:tab w:val="left" w:pos="4860"/>
                <w:tab w:val="left" w:pos="6660"/>
                <w:tab w:val="left" w:pos="7740"/>
                <w:tab w:val="right" w:pos="8820"/>
              </w:tabs>
              <w:spacing w:before="120"/>
              <w:ind w:right="-516" w:hanging="128"/>
              <w:rPr>
                <w:rFonts w:ascii="Arial" w:hAnsi="Arial" w:cs="Arial"/>
                <w:bCs/>
                <w:iCs/>
              </w:rPr>
            </w:pPr>
            <w:r w:rsidRPr="00E70CFD">
              <w:rPr>
                <w:rFonts w:ascii="Arial" w:hAnsi="Arial" w:cs="Arial"/>
                <w:bCs/>
                <w:iCs/>
              </w:rPr>
              <w:t xml:space="preserve">  Email</w:t>
            </w:r>
          </w:p>
        </w:tc>
        <w:tc>
          <w:tcPr>
            <w:tcW w:w="3929" w:type="dxa"/>
            <w:gridSpan w:val="3"/>
            <w:tcBorders>
              <w:top w:val="single" w:sz="4" w:space="0" w:color="auto"/>
              <w:left w:val="single" w:sz="4" w:space="0" w:color="auto"/>
              <w:bottom w:val="single" w:sz="4" w:space="0" w:color="auto"/>
              <w:right w:val="single" w:sz="4" w:space="0" w:color="auto"/>
            </w:tcBorders>
            <w:vAlign w:val="center"/>
          </w:tcPr>
          <w:p w14:paraId="70E637B8"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rsidRPr="00E70CFD" w14:paraId="48DD4DE8" w14:textId="77777777" w:rsidTr="008424FD">
        <w:trPr>
          <w:cantSplit/>
          <w:trHeight w:val="287"/>
        </w:trPr>
        <w:tc>
          <w:tcPr>
            <w:tcW w:w="10363" w:type="dxa"/>
            <w:gridSpan w:val="10"/>
            <w:tcBorders>
              <w:top w:val="nil"/>
              <w:left w:val="nil"/>
              <w:bottom w:val="nil"/>
              <w:right w:val="nil"/>
            </w:tcBorders>
          </w:tcPr>
          <w:p w14:paraId="1FEC5749" w14:textId="77777777" w:rsidR="00DF3C38" w:rsidRPr="00E70CFD"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rsidRPr="00E70CFD" w14:paraId="0C3606EF" w14:textId="77777777" w:rsidTr="008424FD">
        <w:trPr>
          <w:cantSplit/>
          <w:trHeight w:val="403"/>
        </w:trPr>
        <w:tc>
          <w:tcPr>
            <w:tcW w:w="2474" w:type="dxa"/>
            <w:tcBorders>
              <w:top w:val="nil"/>
              <w:left w:val="nil"/>
              <w:bottom w:val="nil"/>
              <w:right w:val="single" w:sz="4" w:space="0" w:color="auto"/>
            </w:tcBorders>
            <w:vAlign w:val="center"/>
          </w:tcPr>
          <w:p w14:paraId="6D029492" w14:textId="77777777" w:rsidR="00DF3C38" w:rsidRPr="00E70CFD"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sidRPr="00E70CFD">
              <w:rPr>
                <w:rFonts w:ascii="Arial" w:hAnsi="Arial" w:cs="Arial"/>
                <w:bCs/>
                <w:iCs/>
              </w:rPr>
              <w:t>Indication for prescription</w:t>
            </w:r>
          </w:p>
        </w:tc>
        <w:tc>
          <w:tcPr>
            <w:tcW w:w="7889" w:type="dxa"/>
            <w:gridSpan w:val="9"/>
            <w:tcBorders>
              <w:top w:val="single" w:sz="4" w:space="0" w:color="auto"/>
              <w:left w:val="nil"/>
              <w:bottom w:val="single" w:sz="4" w:space="0" w:color="auto"/>
              <w:right w:val="single" w:sz="4" w:space="0" w:color="auto"/>
            </w:tcBorders>
            <w:vAlign w:val="center"/>
          </w:tcPr>
          <w:p w14:paraId="170A9655"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E70CFD" w14:paraId="24428D76" w14:textId="77777777" w:rsidTr="008424FD">
        <w:trPr>
          <w:cantSplit/>
          <w:trHeight w:val="300"/>
        </w:trPr>
        <w:tc>
          <w:tcPr>
            <w:tcW w:w="10363" w:type="dxa"/>
            <w:gridSpan w:val="10"/>
            <w:tcBorders>
              <w:top w:val="nil"/>
              <w:left w:val="nil"/>
              <w:bottom w:val="nil"/>
              <w:right w:val="nil"/>
            </w:tcBorders>
          </w:tcPr>
          <w:p w14:paraId="0FB4C051"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rsidRPr="00E70CFD" w14:paraId="26342C91" w14:textId="77777777" w:rsidTr="008424FD">
        <w:trPr>
          <w:cantSplit/>
          <w:trHeight w:val="403"/>
        </w:trPr>
        <w:tc>
          <w:tcPr>
            <w:tcW w:w="2474" w:type="dxa"/>
            <w:tcBorders>
              <w:top w:val="nil"/>
              <w:left w:val="nil"/>
              <w:bottom w:val="nil"/>
              <w:right w:val="single" w:sz="4" w:space="0" w:color="auto"/>
            </w:tcBorders>
            <w:vAlign w:val="center"/>
          </w:tcPr>
          <w:p w14:paraId="2839BDE3" w14:textId="77777777" w:rsidR="00DF3C38" w:rsidRPr="00E70CFD"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sidRPr="00E70CFD">
              <w:rPr>
                <w:rFonts w:ascii="Arial" w:hAnsi="Arial" w:cs="Arial"/>
                <w:bCs/>
                <w:iCs/>
              </w:rPr>
              <w:t>Drug prescribed</w:t>
            </w:r>
          </w:p>
        </w:tc>
        <w:tc>
          <w:tcPr>
            <w:tcW w:w="7889" w:type="dxa"/>
            <w:gridSpan w:val="9"/>
            <w:tcBorders>
              <w:top w:val="single" w:sz="4" w:space="0" w:color="auto"/>
              <w:left w:val="nil"/>
              <w:bottom w:val="single" w:sz="4" w:space="0" w:color="auto"/>
              <w:right w:val="single" w:sz="4" w:space="0" w:color="auto"/>
            </w:tcBorders>
            <w:vAlign w:val="center"/>
          </w:tcPr>
          <w:p w14:paraId="4A367505"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E70CFD" w14:paraId="6B805EA5" w14:textId="77777777" w:rsidTr="008424FD">
        <w:trPr>
          <w:cantSplit/>
          <w:trHeight w:val="300"/>
        </w:trPr>
        <w:tc>
          <w:tcPr>
            <w:tcW w:w="10363" w:type="dxa"/>
            <w:gridSpan w:val="10"/>
            <w:tcBorders>
              <w:top w:val="nil"/>
              <w:left w:val="nil"/>
              <w:bottom w:val="nil"/>
              <w:right w:val="nil"/>
            </w:tcBorders>
          </w:tcPr>
          <w:p w14:paraId="3A9E71CB"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rsidRPr="00E70CFD" w14:paraId="4D10A921" w14:textId="77777777" w:rsidTr="008424FD">
        <w:trPr>
          <w:cantSplit/>
          <w:trHeight w:val="462"/>
        </w:trPr>
        <w:tc>
          <w:tcPr>
            <w:tcW w:w="4074" w:type="dxa"/>
            <w:gridSpan w:val="2"/>
            <w:tcBorders>
              <w:top w:val="nil"/>
              <w:left w:val="nil"/>
              <w:bottom w:val="nil"/>
              <w:right w:val="single" w:sz="4" w:space="0" w:color="auto"/>
            </w:tcBorders>
          </w:tcPr>
          <w:p w14:paraId="36BBE158" w14:textId="77777777" w:rsidR="00DF3C38" w:rsidRPr="00E70CFD" w:rsidRDefault="00DF3C38" w:rsidP="00D831A5">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E70CFD">
              <w:rPr>
                <w:rFonts w:ascii="Arial" w:hAnsi="Arial" w:cs="Arial"/>
                <w:bCs/>
                <w:iCs/>
              </w:rPr>
              <w:t>Date                                     Drug started</w:t>
            </w:r>
          </w:p>
        </w:tc>
        <w:tc>
          <w:tcPr>
            <w:tcW w:w="1019" w:type="dxa"/>
            <w:gridSpan w:val="2"/>
            <w:tcBorders>
              <w:top w:val="single" w:sz="4" w:space="0" w:color="auto"/>
              <w:left w:val="nil"/>
              <w:bottom w:val="single" w:sz="4" w:space="0" w:color="auto"/>
              <w:right w:val="single" w:sz="4" w:space="0" w:color="auto"/>
            </w:tcBorders>
          </w:tcPr>
          <w:p w14:paraId="60C0BB1E"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75" w:type="dxa"/>
            <w:gridSpan w:val="4"/>
            <w:tcBorders>
              <w:top w:val="nil"/>
              <w:left w:val="nil"/>
              <w:bottom w:val="nil"/>
              <w:right w:val="single" w:sz="4" w:space="0" w:color="auto"/>
            </w:tcBorders>
          </w:tcPr>
          <w:p w14:paraId="5CD7590B" w14:textId="77777777" w:rsidR="00DF3C38" w:rsidRPr="00E70CFD" w:rsidRDefault="00DF3C38" w:rsidP="00D831A5">
            <w:pPr>
              <w:pStyle w:val="BodyText"/>
              <w:tabs>
                <w:tab w:val="left" w:pos="-540"/>
                <w:tab w:val="left" w:pos="4860"/>
                <w:tab w:val="left" w:pos="6660"/>
                <w:tab w:val="left" w:pos="7740"/>
                <w:tab w:val="right" w:pos="8820"/>
              </w:tabs>
              <w:spacing w:before="120"/>
              <w:ind w:right="-516"/>
              <w:rPr>
                <w:rFonts w:ascii="Arial" w:hAnsi="Arial" w:cs="Arial"/>
                <w:bCs/>
                <w:iCs/>
              </w:rPr>
            </w:pPr>
            <w:r w:rsidRPr="00E70CFD">
              <w:rPr>
                <w:rFonts w:ascii="Arial" w:hAnsi="Arial" w:cs="Arial"/>
                <w:bCs/>
                <w:iCs/>
              </w:rPr>
              <w:t xml:space="preserve">              Current dose</w:t>
            </w:r>
          </w:p>
        </w:tc>
        <w:tc>
          <w:tcPr>
            <w:tcW w:w="875" w:type="dxa"/>
            <w:tcBorders>
              <w:top w:val="single" w:sz="4" w:space="0" w:color="auto"/>
              <w:left w:val="single" w:sz="4" w:space="0" w:color="auto"/>
              <w:bottom w:val="single" w:sz="4" w:space="0" w:color="auto"/>
              <w:right w:val="single" w:sz="4" w:space="0" w:color="auto"/>
            </w:tcBorders>
          </w:tcPr>
          <w:p w14:paraId="4C7FF175"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1920" w:type="dxa"/>
            <w:tcBorders>
              <w:top w:val="nil"/>
              <w:left w:val="single" w:sz="4" w:space="0" w:color="auto"/>
              <w:bottom w:val="nil"/>
              <w:right w:val="nil"/>
            </w:tcBorders>
          </w:tcPr>
          <w:p w14:paraId="635EF602"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E70CFD" w14:paraId="7D148A5D" w14:textId="77777777" w:rsidTr="008424FD">
        <w:trPr>
          <w:cantSplit/>
          <w:trHeight w:val="300"/>
        </w:trPr>
        <w:tc>
          <w:tcPr>
            <w:tcW w:w="10363" w:type="dxa"/>
            <w:gridSpan w:val="10"/>
            <w:tcBorders>
              <w:top w:val="nil"/>
              <w:left w:val="nil"/>
              <w:bottom w:val="nil"/>
              <w:right w:val="nil"/>
            </w:tcBorders>
          </w:tcPr>
          <w:p w14:paraId="1335413D" w14:textId="77777777" w:rsidR="00DF3C38" w:rsidRPr="00E70CFD"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rsidRPr="00E70CFD" w14:paraId="457EB596" w14:textId="77777777" w:rsidTr="008424FD">
        <w:trPr>
          <w:cantSplit/>
          <w:trHeight w:val="468"/>
        </w:trPr>
        <w:tc>
          <w:tcPr>
            <w:tcW w:w="2474" w:type="dxa"/>
            <w:tcBorders>
              <w:top w:val="nil"/>
              <w:left w:val="nil"/>
              <w:bottom w:val="nil"/>
              <w:right w:val="single" w:sz="4" w:space="0" w:color="auto"/>
            </w:tcBorders>
          </w:tcPr>
          <w:p w14:paraId="180CFD63" w14:textId="77777777" w:rsidR="00DF3C38" w:rsidRPr="00E70CFD"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E70CFD">
              <w:rPr>
                <w:rFonts w:ascii="Arial" w:hAnsi="Arial" w:cs="Arial"/>
                <w:bCs/>
                <w:iCs/>
              </w:rPr>
              <w:t xml:space="preserve">Relevant conditions </w:t>
            </w:r>
          </w:p>
        </w:tc>
        <w:tc>
          <w:tcPr>
            <w:tcW w:w="7889" w:type="dxa"/>
            <w:gridSpan w:val="9"/>
            <w:tcBorders>
              <w:top w:val="single" w:sz="4" w:space="0" w:color="auto"/>
              <w:left w:val="single" w:sz="4" w:space="0" w:color="auto"/>
              <w:bottom w:val="single" w:sz="4" w:space="0" w:color="auto"/>
              <w:right w:val="single" w:sz="4" w:space="0" w:color="auto"/>
            </w:tcBorders>
          </w:tcPr>
          <w:p w14:paraId="45616C26"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E70CFD" w14:paraId="5C956EC6" w14:textId="77777777" w:rsidTr="008424FD">
        <w:trPr>
          <w:cantSplit/>
          <w:trHeight w:val="300"/>
        </w:trPr>
        <w:tc>
          <w:tcPr>
            <w:tcW w:w="10363" w:type="dxa"/>
            <w:gridSpan w:val="10"/>
            <w:tcBorders>
              <w:top w:val="nil"/>
              <w:left w:val="nil"/>
              <w:bottom w:val="nil"/>
              <w:right w:val="nil"/>
            </w:tcBorders>
          </w:tcPr>
          <w:p w14:paraId="290915C8"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rsidRPr="00E70CFD" w14:paraId="3D38F875" w14:textId="77777777" w:rsidTr="008424FD">
        <w:trPr>
          <w:cantSplit/>
          <w:trHeight w:val="468"/>
        </w:trPr>
        <w:tc>
          <w:tcPr>
            <w:tcW w:w="2474" w:type="dxa"/>
            <w:tcBorders>
              <w:top w:val="nil"/>
              <w:left w:val="nil"/>
              <w:bottom w:val="nil"/>
              <w:right w:val="single" w:sz="4" w:space="0" w:color="auto"/>
            </w:tcBorders>
          </w:tcPr>
          <w:p w14:paraId="6BC788F4" w14:textId="77777777" w:rsidR="00DF3C38" w:rsidRPr="00E70CFD"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E70CFD">
              <w:rPr>
                <w:rFonts w:ascii="Arial" w:hAnsi="Arial" w:cs="Arial"/>
                <w:bCs/>
                <w:iCs/>
              </w:rPr>
              <w:t>Monitoring variations</w:t>
            </w:r>
          </w:p>
        </w:tc>
        <w:tc>
          <w:tcPr>
            <w:tcW w:w="7889" w:type="dxa"/>
            <w:gridSpan w:val="9"/>
            <w:tcBorders>
              <w:top w:val="single" w:sz="4" w:space="0" w:color="auto"/>
              <w:left w:val="single" w:sz="4" w:space="0" w:color="auto"/>
              <w:bottom w:val="single" w:sz="4" w:space="0" w:color="auto"/>
              <w:right w:val="single" w:sz="4" w:space="0" w:color="auto"/>
            </w:tcBorders>
          </w:tcPr>
          <w:p w14:paraId="60DDEF7A"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E70CFD" w14:paraId="1F3D8242" w14:textId="77777777" w:rsidTr="008424FD">
        <w:trPr>
          <w:cantSplit/>
          <w:trHeight w:val="300"/>
        </w:trPr>
        <w:tc>
          <w:tcPr>
            <w:tcW w:w="10363" w:type="dxa"/>
            <w:gridSpan w:val="10"/>
            <w:tcBorders>
              <w:top w:val="nil"/>
              <w:left w:val="nil"/>
              <w:bottom w:val="nil"/>
              <w:right w:val="nil"/>
            </w:tcBorders>
          </w:tcPr>
          <w:p w14:paraId="4DA071E0" w14:textId="77777777" w:rsidR="00DF3C38" w:rsidRPr="00E70CFD" w:rsidRDefault="00DF3C38" w:rsidP="008424FD">
            <w:pPr>
              <w:pStyle w:val="BodyText"/>
              <w:tabs>
                <w:tab w:val="left" w:pos="-540"/>
                <w:tab w:val="left" w:pos="5112"/>
                <w:tab w:val="left" w:pos="6660"/>
                <w:tab w:val="left" w:pos="7740"/>
                <w:tab w:val="right" w:pos="8820"/>
              </w:tabs>
              <w:ind w:right="-516" w:hanging="108"/>
              <w:rPr>
                <w:rFonts w:ascii="Arial" w:hAnsi="Arial" w:cs="Arial"/>
                <w:bCs/>
                <w:iCs/>
                <w:sz w:val="16"/>
              </w:rPr>
            </w:pPr>
          </w:p>
        </w:tc>
      </w:tr>
      <w:tr w:rsidR="00DF3C38" w:rsidRPr="00E70CFD" w14:paraId="5FF00A50" w14:textId="77777777" w:rsidTr="008424FD">
        <w:trPr>
          <w:cantSplit/>
          <w:trHeight w:val="468"/>
        </w:trPr>
        <w:tc>
          <w:tcPr>
            <w:tcW w:w="2474" w:type="dxa"/>
            <w:tcBorders>
              <w:top w:val="nil"/>
              <w:left w:val="nil"/>
              <w:bottom w:val="nil"/>
              <w:right w:val="single" w:sz="4" w:space="0" w:color="auto"/>
            </w:tcBorders>
          </w:tcPr>
          <w:p w14:paraId="15BAD653" w14:textId="77777777" w:rsidR="00DF3C38" w:rsidRPr="00E70CFD" w:rsidRDefault="00DF3C38" w:rsidP="008424FD">
            <w:pPr>
              <w:pStyle w:val="BodyText"/>
              <w:tabs>
                <w:tab w:val="left" w:pos="-540"/>
                <w:tab w:val="left" w:pos="5112"/>
                <w:tab w:val="left" w:pos="6660"/>
                <w:tab w:val="left" w:pos="7740"/>
                <w:tab w:val="right" w:pos="8820"/>
              </w:tabs>
              <w:spacing w:before="120"/>
              <w:ind w:right="-516" w:hanging="108"/>
              <w:rPr>
                <w:rFonts w:ascii="Arial" w:hAnsi="Arial" w:cs="Arial"/>
                <w:bCs/>
                <w:iCs/>
              </w:rPr>
            </w:pPr>
            <w:r w:rsidRPr="00E70CFD">
              <w:rPr>
                <w:rFonts w:ascii="Arial" w:hAnsi="Arial" w:cs="Arial"/>
                <w:bCs/>
                <w:iCs/>
              </w:rPr>
              <w:t xml:space="preserve">Date next blood test </w:t>
            </w:r>
          </w:p>
        </w:tc>
        <w:tc>
          <w:tcPr>
            <w:tcW w:w="1980" w:type="dxa"/>
            <w:gridSpan w:val="2"/>
            <w:tcBorders>
              <w:top w:val="single" w:sz="4" w:space="0" w:color="auto"/>
              <w:left w:val="single" w:sz="4" w:space="0" w:color="auto"/>
              <w:bottom w:val="single" w:sz="4" w:space="0" w:color="auto"/>
              <w:right w:val="nil"/>
            </w:tcBorders>
          </w:tcPr>
          <w:p w14:paraId="3BBCF868" w14:textId="77777777" w:rsidR="00DF3C38" w:rsidRPr="00E70CFD"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3114" w:type="dxa"/>
            <w:gridSpan w:val="5"/>
            <w:tcBorders>
              <w:top w:val="nil"/>
              <w:left w:val="single" w:sz="4" w:space="0" w:color="auto"/>
              <w:bottom w:val="nil"/>
              <w:right w:val="single" w:sz="4" w:space="0" w:color="auto"/>
            </w:tcBorders>
          </w:tcPr>
          <w:p w14:paraId="5B9287D8" w14:textId="77777777" w:rsidR="00DF3C38" w:rsidRPr="00E70CFD" w:rsidRDefault="00DF3C38" w:rsidP="008424FD">
            <w:pPr>
              <w:pStyle w:val="BodyText"/>
              <w:tabs>
                <w:tab w:val="left" w:pos="-540"/>
                <w:tab w:val="left" w:pos="5112"/>
                <w:tab w:val="left" w:pos="6660"/>
                <w:tab w:val="left" w:pos="7740"/>
                <w:tab w:val="right" w:pos="8820"/>
              </w:tabs>
              <w:spacing w:before="120"/>
              <w:ind w:right="-516" w:hanging="149"/>
              <w:rPr>
                <w:rFonts w:ascii="Arial" w:hAnsi="Arial" w:cs="Arial"/>
                <w:bCs/>
                <w:iCs/>
              </w:rPr>
            </w:pPr>
            <w:r w:rsidRPr="00E70CFD">
              <w:rPr>
                <w:rFonts w:ascii="Arial" w:hAnsi="Arial" w:cs="Arial"/>
                <w:bCs/>
                <w:iCs/>
              </w:rPr>
              <w:t xml:space="preserve">      Next disease review due in </w:t>
            </w:r>
          </w:p>
        </w:tc>
        <w:tc>
          <w:tcPr>
            <w:tcW w:w="875" w:type="dxa"/>
            <w:tcBorders>
              <w:top w:val="single" w:sz="4" w:space="0" w:color="auto"/>
              <w:left w:val="single" w:sz="4" w:space="0" w:color="auto"/>
              <w:bottom w:val="single" w:sz="4" w:space="0" w:color="auto"/>
              <w:right w:val="single" w:sz="4" w:space="0" w:color="auto"/>
            </w:tcBorders>
          </w:tcPr>
          <w:p w14:paraId="1F72500C" w14:textId="77777777" w:rsidR="00DF3C38" w:rsidRPr="00E70CFD"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1920" w:type="dxa"/>
            <w:tcBorders>
              <w:top w:val="nil"/>
              <w:left w:val="single" w:sz="4" w:space="0" w:color="auto"/>
              <w:bottom w:val="nil"/>
              <w:right w:val="nil"/>
            </w:tcBorders>
          </w:tcPr>
          <w:p w14:paraId="7F75A962" w14:textId="77777777" w:rsidR="00DF3C38" w:rsidRPr="00E70CFD"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r w:rsidRPr="00E70CFD">
              <w:rPr>
                <w:rFonts w:ascii="Arial" w:hAnsi="Arial" w:cs="Arial"/>
                <w:bCs/>
                <w:iCs/>
              </w:rPr>
              <w:t>months’ time.</w:t>
            </w:r>
          </w:p>
        </w:tc>
      </w:tr>
      <w:tr w:rsidR="00DF3C38" w:rsidRPr="00E70CFD" w14:paraId="25E3EFCC" w14:textId="77777777" w:rsidTr="008424FD">
        <w:trPr>
          <w:cantSplit/>
          <w:trHeight w:val="300"/>
        </w:trPr>
        <w:tc>
          <w:tcPr>
            <w:tcW w:w="10363" w:type="dxa"/>
            <w:gridSpan w:val="10"/>
            <w:tcBorders>
              <w:top w:val="nil"/>
              <w:left w:val="nil"/>
              <w:bottom w:val="nil"/>
              <w:right w:val="nil"/>
            </w:tcBorders>
          </w:tcPr>
          <w:p w14:paraId="16C886B1" w14:textId="77777777" w:rsidR="00DF3C38" w:rsidRPr="00E70CFD" w:rsidRDefault="00DF3C38" w:rsidP="008424FD">
            <w:pPr>
              <w:pStyle w:val="BodyText"/>
              <w:tabs>
                <w:tab w:val="left" w:pos="-540"/>
                <w:tab w:val="left" w:pos="5112"/>
                <w:tab w:val="left" w:pos="6660"/>
                <w:tab w:val="left" w:pos="7740"/>
                <w:tab w:val="right" w:pos="8820"/>
              </w:tabs>
              <w:ind w:right="-516"/>
              <w:rPr>
                <w:rFonts w:ascii="Arial" w:hAnsi="Arial" w:cs="Arial"/>
                <w:bCs/>
                <w:iCs/>
                <w:sz w:val="16"/>
              </w:rPr>
            </w:pPr>
          </w:p>
        </w:tc>
      </w:tr>
    </w:tbl>
    <w:p w14:paraId="34732121" w14:textId="77777777" w:rsidR="00DF3C38" w:rsidRPr="00E70CFD" w:rsidRDefault="00DF3C38" w:rsidP="00801EDB">
      <w:pPr>
        <w:spacing w:after="200" w:line="276" w:lineRule="auto"/>
        <w:rPr>
          <w:rFonts w:eastAsiaTheme="minorHAnsi" w:cs="Calibri"/>
          <w:sz w:val="22"/>
          <w:szCs w:val="22"/>
        </w:rPr>
      </w:pPr>
    </w:p>
    <w:p w14:paraId="3FCAB56C" w14:textId="77777777" w:rsidR="00DF3C38" w:rsidRPr="00E70CFD" w:rsidRDefault="00DF3C38">
      <w:pPr>
        <w:spacing w:after="200" w:line="276" w:lineRule="auto"/>
        <w:rPr>
          <w:rFonts w:eastAsiaTheme="minorHAnsi" w:cs="Calibri"/>
          <w:sz w:val="22"/>
          <w:szCs w:val="22"/>
        </w:rPr>
      </w:pPr>
      <w:r w:rsidRPr="00E70CFD">
        <w:rPr>
          <w:rFonts w:eastAsiaTheme="minorHAnsi" w:cs="Calibri"/>
          <w:sz w:val="22"/>
          <w:szCs w:val="22"/>
        </w:rPr>
        <w:br w:type="page"/>
      </w:r>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422"/>
        <w:gridCol w:w="2546"/>
        <w:gridCol w:w="242"/>
        <w:gridCol w:w="4373"/>
      </w:tblGrid>
      <w:tr w:rsidR="00DF3C38" w:rsidRPr="00E70CFD" w14:paraId="228FA33A" w14:textId="77777777" w:rsidTr="008424FD">
        <w:trPr>
          <w:cantSplit/>
          <w:trHeight w:val="789"/>
        </w:trPr>
        <w:tc>
          <w:tcPr>
            <w:tcW w:w="10363" w:type="dxa"/>
            <w:gridSpan w:val="5"/>
            <w:tcBorders>
              <w:top w:val="nil"/>
              <w:left w:val="nil"/>
              <w:bottom w:val="nil"/>
              <w:right w:val="nil"/>
            </w:tcBorders>
          </w:tcPr>
          <w:p w14:paraId="5E9EC02E" w14:textId="77777777" w:rsidR="00DF3C38" w:rsidRPr="00E70CFD" w:rsidRDefault="00DF3C38" w:rsidP="008424FD">
            <w:pPr>
              <w:pStyle w:val="BodyText"/>
              <w:tabs>
                <w:tab w:val="left" w:pos="-540"/>
                <w:tab w:val="left" w:pos="4860"/>
                <w:tab w:val="left" w:pos="6660"/>
                <w:tab w:val="left" w:pos="7740"/>
                <w:tab w:val="right" w:pos="8820"/>
              </w:tabs>
              <w:spacing w:before="240"/>
              <w:ind w:left="-108" w:right="-516"/>
              <w:rPr>
                <w:rFonts w:ascii="Arial" w:hAnsi="Arial" w:cs="Arial"/>
                <w:bCs/>
                <w:iCs/>
              </w:rPr>
            </w:pPr>
            <w:r w:rsidRPr="00E70CFD">
              <w:rPr>
                <w:rFonts w:ascii="Arial" w:hAnsi="Arial" w:cs="Arial"/>
                <w:b/>
                <w:iCs/>
              </w:rPr>
              <w:lastRenderedPageBreak/>
              <w:t xml:space="preserve">Section B: [Accept Shared Care] to be completed by practice </w:t>
            </w:r>
            <w:r w:rsidRPr="00E70CFD">
              <w:rPr>
                <w:rFonts w:ascii="Arial" w:hAnsi="Arial" w:cs="Arial"/>
                <w:bCs/>
                <w:i/>
              </w:rPr>
              <w:t xml:space="preserve">Send back </w:t>
            </w:r>
            <w:r w:rsidRPr="00E70CFD">
              <w:rPr>
                <w:rFonts w:ascii="Arial" w:hAnsi="Arial" w:cs="Arial"/>
                <w:b/>
                <w:i/>
              </w:rPr>
              <w:t>FAO referring consultant</w:t>
            </w:r>
            <w:r w:rsidRPr="00E70CFD">
              <w:rPr>
                <w:rFonts w:ascii="Arial" w:hAnsi="Arial" w:cs="Arial"/>
                <w:bCs/>
                <w:i/>
              </w:rPr>
              <w:t xml:space="preserve"> above</w:t>
            </w:r>
          </w:p>
          <w:p w14:paraId="0B3F9DA6" w14:textId="77777777" w:rsidR="00DF3C38" w:rsidRPr="00E70CFD"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sidRPr="00E70CFD">
              <w:rPr>
                <w:rFonts w:ascii="Arial" w:hAnsi="Arial" w:cs="Arial"/>
                <w:bCs/>
                <w:iCs/>
              </w:rPr>
              <w:t>The above patient has been accepted into our monitoring service.</w:t>
            </w:r>
          </w:p>
        </w:tc>
      </w:tr>
      <w:tr w:rsidR="00DF3C38" w:rsidRPr="00E70CFD" w14:paraId="6C06BDE0" w14:textId="77777777" w:rsidTr="008424FD">
        <w:trPr>
          <w:cantSplit/>
          <w:trHeight w:val="468"/>
        </w:trPr>
        <w:tc>
          <w:tcPr>
            <w:tcW w:w="3202" w:type="dxa"/>
            <w:gridSpan w:val="2"/>
            <w:tcBorders>
              <w:top w:val="nil"/>
              <w:left w:val="nil"/>
              <w:bottom w:val="nil"/>
              <w:right w:val="single" w:sz="4" w:space="0" w:color="auto"/>
            </w:tcBorders>
          </w:tcPr>
          <w:p w14:paraId="7B75AB34" w14:textId="77777777" w:rsidR="00DF3C38" w:rsidRPr="00E70CFD"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E70CFD">
              <w:rPr>
                <w:rFonts w:ascii="Arial" w:hAnsi="Arial" w:cs="Arial"/>
                <w:bCs/>
                <w:iCs/>
              </w:rPr>
              <w:t>Practice date for next blood test</w:t>
            </w:r>
          </w:p>
        </w:tc>
        <w:tc>
          <w:tcPr>
            <w:tcW w:w="2546" w:type="dxa"/>
            <w:tcBorders>
              <w:top w:val="single" w:sz="4" w:space="0" w:color="auto"/>
              <w:left w:val="single" w:sz="4" w:space="0" w:color="auto"/>
              <w:bottom w:val="single" w:sz="4" w:space="0" w:color="auto"/>
              <w:right w:val="single" w:sz="4" w:space="0" w:color="auto"/>
            </w:tcBorders>
          </w:tcPr>
          <w:p w14:paraId="6C35E080"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69F27D04"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val="restart"/>
            <w:tcBorders>
              <w:top w:val="single" w:sz="4" w:space="0" w:color="auto"/>
              <w:left w:val="single" w:sz="4" w:space="0" w:color="auto"/>
              <w:bottom w:val="single" w:sz="4" w:space="0" w:color="auto"/>
              <w:right w:val="single" w:sz="4" w:space="0" w:color="auto"/>
            </w:tcBorders>
          </w:tcPr>
          <w:p w14:paraId="16B2FFA9" w14:textId="77777777" w:rsidR="00DF3C38" w:rsidRPr="00E70CFD"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sidRPr="00E70CFD">
              <w:rPr>
                <w:rFonts w:ascii="Arial" w:hAnsi="Arial" w:cs="Arial"/>
                <w:bCs/>
                <w:iCs/>
              </w:rPr>
              <w:t xml:space="preserve">Practice stamp </w:t>
            </w:r>
          </w:p>
        </w:tc>
      </w:tr>
      <w:tr w:rsidR="00DF3C38" w:rsidRPr="00E70CFD" w14:paraId="6B84C02B" w14:textId="77777777" w:rsidTr="008424FD">
        <w:trPr>
          <w:cantSplit/>
          <w:trHeight w:val="300"/>
        </w:trPr>
        <w:tc>
          <w:tcPr>
            <w:tcW w:w="5748" w:type="dxa"/>
            <w:gridSpan w:val="3"/>
            <w:tcBorders>
              <w:top w:val="nil"/>
              <w:left w:val="nil"/>
              <w:bottom w:val="nil"/>
              <w:right w:val="nil"/>
            </w:tcBorders>
          </w:tcPr>
          <w:p w14:paraId="59AF1F27"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42" w:type="dxa"/>
            <w:tcBorders>
              <w:top w:val="nil"/>
              <w:left w:val="nil"/>
              <w:bottom w:val="nil"/>
              <w:right w:val="nil"/>
            </w:tcBorders>
          </w:tcPr>
          <w:p w14:paraId="2E4B00D9"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Borders>
              <w:left w:val="single" w:sz="4" w:space="0" w:color="auto"/>
              <w:bottom w:val="single" w:sz="4" w:space="0" w:color="auto"/>
              <w:right w:val="single" w:sz="4" w:space="0" w:color="auto"/>
            </w:tcBorders>
          </w:tcPr>
          <w:p w14:paraId="0E6C4AF8"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rsidRPr="00E70CFD" w14:paraId="28C1C121" w14:textId="77777777" w:rsidTr="008424FD">
        <w:trPr>
          <w:cantSplit/>
          <w:trHeight w:val="468"/>
        </w:trPr>
        <w:tc>
          <w:tcPr>
            <w:tcW w:w="1780" w:type="dxa"/>
            <w:tcBorders>
              <w:top w:val="nil"/>
              <w:left w:val="nil"/>
              <w:bottom w:val="nil"/>
              <w:right w:val="single" w:sz="4" w:space="0" w:color="auto"/>
            </w:tcBorders>
          </w:tcPr>
          <w:p w14:paraId="5ECD14AD" w14:textId="77777777" w:rsidR="00DF3C38" w:rsidRPr="00E70CFD"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sidRPr="00E70CFD">
              <w:rPr>
                <w:rFonts w:ascii="Arial" w:hAnsi="Arial" w:cs="Arial"/>
                <w:bCs/>
                <w:iCs/>
              </w:rPr>
              <w:t>Signed /</w:t>
            </w:r>
          </w:p>
          <w:p w14:paraId="7C9F0FC7" w14:textId="77777777" w:rsidR="00DF3C38" w:rsidRPr="00E70CFD"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E70CFD">
              <w:rPr>
                <w:rFonts w:ascii="Arial" w:hAnsi="Arial" w:cs="Arial"/>
                <w:bCs/>
                <w:iCs/>
              </w:rPr>
              <w:t>Designation</w:t>
            </w:r>
          </w:p>
        </w:tc>
        <w:tc>
          <w:tcPr>
            <w:tcW w:w="3968" w:type="dxa"/>
            <w:gridSpan w:val="2"/>
            <w:tcBorders>
              <w:top w:val="single" w:sz="4" w:space="0" w:color="auto"/>
              <w:left w:val="single" w:sz="4" w:space="0" w:color="auto"/>
              <w:bottom w:val="single" w:sz="4" w:space="0" w:color="auto"/>
              <w:right w:val="single" w:sz="4" w:space="0" w:color="auto"/>
            </w:tcBorders>
          </w:tcPr>
          <w:p w14:paraId="7D2D4AD0"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4D9C01C7"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tcBorders>
              <w:left w:val="single" w:sz="4" w:space="0" w:color="auto"/>
              <w:bottom w:val="single" w:sz="4" w:space="0" w:color="auto"/>
              <w:right w:val="single" w:sz="4" w:space="0" w:color="auto"/>
            </w:tcBorders>
          </w:tcPr>
          <w:p w14:paraId="74FCFEA4"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E70CFD" w14:paraId="0FBD5FC7" w14:textId="77777777" w:rsidTr="008424FD">
        <w:trPr>
          <w:cantSplit/>
          <w:trHeight w:val="71"/>
        </w:trPr>
        <w:tc>
          <w:tcPr>
            <w:tcW w:w="5748" w:type="dxa"/>
            <w:gridSpan w:val="3"/>
            <w:tcBorders>
              <w:top w:val="nil"/>
              <w:left w:val="nil"/>
              <w:bottom w:val="nil"/>
              <w:right w:val="nil"/>
            </w:tcBorders>
          </w:tcPr>
          <w:p w14:paraId="2C1AEA07"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rPr>
            </w:pPr>
            <w:r w:rsidRPr="00E70CFD">
              <w:rPr>
                <w:rFonts w:ascii="Arial" w:hAnsi="Arial" w:cs="Arial"/>
                <w:bCs/>
                <w:iCs/>
                <w:noProof/>
                <w:lang w:eastAsia="en-GB"/>
              </w:rPr>
              <mc:AlternateContent>
                <mc:Choice Requires="wps">
                  <w:drawing>
                    <wp:anchor distT="0" distB="0" distL="114300" distR="114300" simplePos="0" relativeHeight="251657216" behindDoc="0" locked="0" layoutInCell="1" allowOverlap="1" wp14:anchorId="33345C18" wp14:editId="7ABDC89A">
                      <wp:simplePos x="0" y="0"/>
                      <wp:positionH relativeFrom="column">
                        <wp:posOffset>1068705</wp:posOffset>
                      </wp:positionH>
                      <wp:positionV relativeFrom="paragraph">
                        <wp:posOffset>146846</wp:posOffset>
                      </wp:positionV>
                      <wp:extent cx="2504364" cy="259308"/>
                      <wp:effectExtent l="0" t="0" r="10795" b="26670"/>
                      <wp:wrapNone/>
                      <wp:docPr id="3" name="Rectangle 3"/>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48931" id="Rectangle 3" o:spid="_x0000_s1026" style="position:absolute;margin-left:84.15pt;margin-top:11.55pt;width:197.2pt;height:20.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filled="f" strokecolor="black [3213]" strokeweight=".25pt"/>
                  </w:pict>
                </mc:Fallback>
              </mc:AlternateContent>
            </w:r>
          </w:p>
          <w:p w14:paraId="1F90DC9F" w14:textId="77777777" w:rsidR="00DF3C38" w:rsidRPr="00E70CFD"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E70CFD">
              <w:rPr>
                <w:rFonts w:ascii="Arial" w:hAnsi="Arial" w:cs="Arial"/>
                <w:bCs/>
                <w:iCs/>
              </w:rPr>
              <w:t xml:space="preserve">Date </w:t>
            </w:r>
          </w:p>
          <w:p w14:paraId="136C7D95"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42" w:type="dxa"/>
            <w:tcBorders>
              <w:top w:val="nil"/>
              <w:left w:val="nil"/>
              <w:bottom w:val="nil"/>
              <w:right w:val="nil"/>
            </w:tcBorders>
          </w:tcPr>
          <w:p w14:paraId="441A6AFC"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Borders>
              <w:left w:val="single" w:sz="4" w:space="0" w:color="auto"/>
              <w:bottom w:val="single" w:sz="4" w:space="0" w:color="auto"/>
              <w:right w:val="single" w:sz="4" w:space="0" w:color="auto"/>
            </w:tcBorders>
          </w:tcPr>
          <w:p w14:paraId="448725AE"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6F10076B" w14:textId="77777777" w:rsidR="00801EDB" w:rsidRPr="00E70CFD" w:rsidRDefault="00801EDB" w:rsidP="00801EDB">
      <w:pPr>
        <w:spacing w:after="200" w:line="276" w:lineRule="auto"/>
        <w:rPr>
          <w:rFonts w:eastAsiaTheme="minorHAnsi" w:cs="Calibri"/>
          <w:sz w:val="22"/>
          <w:szCs w:val="22"/>
        </w:rPr>
      </w:pPr>
    </w:p>
    <w:p w14:paraId="54F98191" w14:textId="77777777" w:rsidR="00DF3C38" w:rsidRPr="00E70CFD" w:rsidRDefault="00DF3C38" w:rsidP="00801EDB">
      <w:pPr>
        <w:spacing w:after="200" w:line="276" w:lineRule="auto"/>
        <w:rPr>
          <w:rFonts w:eastAsiaTheme="minorHAnsi" w:cs="Calibri"/>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64"/>
        <w:gridCol w:w="3827"/>
        <w:gridCol w:w="284"/>
        <w:gridCol w:w="4394"/>
      </w:tblGrid>
      <w:tr w:rsidR="00DF3C38" w:rsidRPr="00E70CFD" w14:paraId="3BC395E4" w14:textId="77777777" w:rsidTr="008424FD">
        <w:trPr>
          <w:cantSplit/>
          <w:trHeight w:val="789"/>
        </w:trPr>
        <w:tc>
          <w:tcPr>
            <w:tcW w:w="10349" w:type="dxa"/>
            <w:gridSpan w:val="5"/>
            <w:tcBorders>
              <w:top w:val="nil"/>
              <w:left w:val="nil"/>
              <w:bottom w:val="nil"/>
              <w:right w:val="nil"/>
            </w:tcBorders>
          </w:tcPr>
          <w:p w14:paraId="02EC6E86" w14:textId="77777777" w:rsidR="00DF3C38" w:rsidRPr="00E70CFD" w:rsidRDefault="00DF3C38" w:rsidP="008424FD">
            <w:pPr>
              <w:pStyle w:val="BodyText"/>
              <w:tabs>
                <w:tab w:val="left" w:pos="-540"/>
                <w:tab w:val="left" w:pos="4860"/>
                <w:tab w:val="left" w:pos="6660"/>
                <w:tab w:val="left" w:pos="7740"/>
                <w:tab w:val="right" w:pos="8820"/>
              </w:tabs>
              <w:spacing w:before="240"/>
              <w:ind w:left="-108" w:right="-516"/>
              <w:rPr>
                <w:rFonts w:ascii="Arial" w:hAnsi="Arial" w:cs="Arial"/>
                <w:bCs/>
                <w:iCs/>
              </w:rPr>
            </w:pPr>
            <w:r w:rsidRPr="00E70CFD">
              <w:rPr>
                <w:rFonts w:ascii="Arial" w:hAnsi="Arial" w:cs="Arial"/>
                <w:b/>
                <w:iCs/>
              </w:rPr>
              <w:t xml:space="preserve">Section B: [Reject Shared Care] to be completed by practice </w:t>
            </w:r>
            <w:r w:rsidRPr="00E70CFD">
              <w:rPr>
                <w:rFonts w:ascii="Arial" w:hAnsi="Arial" w:cs="Arial"/>
                <w:bCs/>
                <w:i/>
              </w:rPr>
              <w:t xml:space="preserve">Send back </w:t>
            </w:r>
            <w:r w:rsidRPr="00E70CFD">
              <w:rPr>
                <w:rFonts w:ascii="Arial" w:hAnsi="Arial" w:cs="Arial"/>
                <w:b/>
                <w:i/>
              </w:rPr>
              <w:t>FAO referring consultant</w:t>
            </w:r>
            <w:r w:rsidRPr="00E70CFD">
              <w:rPr>
                <w:rFonts w:ascii="Arial" w:hAnsi="Arial" w:cs="Arial"/>
                <w:bCs/>
                <w:i/>
              </w:rPr>
              <w:t xml:space="preserve"> </w:t>
            </w:r>
            <w:r w:rsidR="00D831A5" w:rsidRPr="00E70CFD">
              <w:rPr>
                <w:rFonts w:ascii="Arial" w:hAnsi="Arial" w:cs="Arial"/>
                <w:bCs/>
                <w:i/>
              </w:rPr>
              <w:t xml:space="preserve">     </w:t>
            </w:r>
            <w:r w:rsidRPr="00E70CFD">
              <w:rPr>
                <w:rFonts w:ascii="Arial" w:hAnsi="Arial" w:cs="Arial"/>
                <w:bCs/>
                <w:i/>
              </w:rPr>
              <w:t>above</w:t>
            </w:r>
          </w:p>
          <w:p w14:paraId="4358ABCC" w14:textId="77777777" w:rsidR="00DF3C38" w:rsidRPr="00E70CFD"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sidRPr="00E70CFD">
              <w:rPr>
                <w:rFonts w:ascii="Arial" w:hAnsi="Arial" w:cs="Arial"/>
                <w:bCs/>
                <w:iCs/>
              </w:rPr>
              <w:t>The above patient has not been accepted into our monitoring service.</w:t>
            </w:r>
          </w:p>
        </w:tc>
      </w:tr>
      <w:tr w:rsidR="00DF3C38" w:rsidRPr="00E70CFD" w14:paraId="33F2E994" w14:textId="77777777" w:rsidTr="008424FD">
        <w:trPr>
          <w:cantSplit/>
          <w:trHeight w:val="468"/>
        </w:trPr>
        <w:tc>
          <w:tcPr>
            <w:tcW w:w="1844" w:type="dxa"/>
            <w:gridSpan w:val="2"/>
            <w:tcBorders>
              <w:top w:val="nil"/>
              <w:left w:val="nil"/>
              <w:bottom w:val="nil"/>
              <w:right w:val="single" w:sz="4" w:space="0" w:color="auto"/>
            </w:tcBorders>
          </w:tcPr>
          <w:p w14:paraId="595A2212" w14:textId="77777777" w:rsidR="00DF3C38" w:rsidRPr="00E70CFD"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E70CFD">
              <w:rPr>
                <w:rFonts w:ascii="Arial" w:hAnsi="Arial" w:cs="Arial"/>
                <w:bCs/>
                <w:iCs/>
              </w:rPr>
              <w:t>Reason</w:t>
            </w:r>
          </w:p>
        </w:tc>
        <w:tc>
          <w:tcPr>
            <w:tcW w:w="3827" w:type="dxa"/>
            <w:tcBorders>
              <w:top w:val="single" w:sz="4" w:space="0" w:color="auto"/>
              <w:left w:val="single" w:sz="4" w:space="0" w:color="auto"/>
              <w:bottom w:val="single" w:sz="4" w:space="0" w:color="auto"/>
              <w:right w:val="single" w:sz="4" w:space="0" w:color="auto"/>
            </w:tcBorders>
          </w:tcPr>
          <w:p w14:paraId="71D9E8FF"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4FCC8462"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73FF8647"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CCF5A77"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9CE46B2"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697AEEBB"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val="restart"/>
            <w:tcBorders>
              <w:top w:val="single" w:sz="4" w:space="0" w:color="auto"/>
              <w:left w:val="single" w:sz="4" w:space="0" w:color="auto"/>
              <w:bottom w:val="single" w:sz="4" w:space="0" w:color="auto"/>
              <w:right w:val="single" w:sz="4" w:space="0" w:color="auto"/>
            </w:tcBorders>
          </w:tcPr>
          <w:p w14:paraId="2C25747F" w14:textId="77777777" w:rsidR="00DF3C38" w:rsidRPr="00E70CFD"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sidRPr="00E70CFD">
              <w:rPr>
                <w:rFonts w:ascii="Arial" w:hAnsi="Arial" w:cs="Arial"/>
                <w:bCs/>
                <w:iCs/>
              </w:rPr>
              <w:t xml:space="preserve">Practice stamp </w:t>
            </w:r>
          </w:p>
        </w:tc>
      </w:tr>
      <w:tr w:rsidR="00DF3C38" w:rsidRPr="00E70CFD" w14:paraId="2D44ECF4" w14:textId="77777777" w:rsidTr="008424FD">
        <w:trPr>
          <w:cantSplit/>
          <w:trHeight w:val="300"/>
        </w:trPr>
        <w:tc>
          <w:tcPr>
            <w:tcW w:w="5671" w:type="dxa"/>
            <w:gridSpan w:val="3"/>
            <w:tcBorders>
              <w:top w:val="nil"/>
              <w:left w:val="nil"/>
              <w:bottom w:val="nil"/>
              <w:right w:val="nil"/>
            </w:tcBorders>
          </w:tcPr>
          <w:p w14:paraId="08F7AA83"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84" w:type="dxa"/>
            <w:tcBorders>
              <w:top w:val="nil"/>
              <w:left w:val="nil"/>
              <w:bottom w:val="nil"/>
              <w:right w:val="nil"/>
            </w:tcBorders>
          </w:tcPr>
          <w:p w14:paraId="20550B9B"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Borders>
              <w:left w:val="single" w:sz="4" w:space="0" w:color="auto"/>
              <w:bottom w:val="single" w:sz="4" w:space="0" w:color="auto"/>
              <w:right w:val="single" w:sz="4" w:space="0" w:color="auto"/>
            </w:tcBorders>
          </w:tcPr>
          <w:p w14:paraId="79AAECA2"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rsidRPr="00E70CFD" w14:paraId="13685E0E" w14:textId="77777777" w:rsidTr="008424FD">
        <w:trPr>
          <w:cantSplit/>
          <w:trHeight w:val="468"/>
        </w:trPr>
        <w:tc>
          <w:tcPr>
            <w:tcW w:w="1780" w:type="dxa"/>
            <w:tcBorders>
              <w:top w:val="nil"/>
              <w:left w:val="nil"/>
              <w:bottom w:val="nil"/>
              <w:right w:val="single" w:sz="4" w:space="0" w:color="auto"/>
            </w:tcBorders>
          </w:tcPr>
          <w:p w14:paraId="484307E9" w14:textId="77777777" w:rsidR="00DF3C38" w:rsidRPr="00E70CFD"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sidRPr="00E70CFD">
              <w:rPr>
                <w:rFonts w:ascii="Arial" w:hAnsi="Arial" w:cs="Arial"/>
                <w:bCs/>
                <w:iCs/>
              </w:rPr>
              <w:t>Signed /</w:t>
            </w:r>
          </w:p>
          <w:p w14:paraId="4E93431F" w14:textId="77777777" w:rsidR="00DF3C38" w:rsidRPr="00E70CFD"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E70CFD">
              <w:rPr>
                <w:rFonts w:ascii="Arial" w:hAnsi="Arial" w:cs="Arial"/>
                <w:bCs/>
                <w:iCs/>
              </w:rPr>
              <w:t>Designation</w:t>
            </w:r>
          </w:p>
        </w:tc>
        <w:tc>
          <w:tcPr>
            <w:tcW w:w="3891" w:type="dxa"/>
            <w:gridSpan w:val="2"/>
            <w:tcBorders>
              <w:top w:val="single" w:sz="4" w:space="0" w:color="auto"/>
              <w:left w:val="single" w:sz="4" w:space="0" w:color="auto"/>
              <w:bottom w:val="single" w:sz="4" w:space="0" w:color="auto"/>
              <w:right w:val="single" w:sz="4" w:space="0" w:color="auto"/>
            </w:tcBorders>
          </w:tcPr>
          <w:p w14:paraId="0282CF10"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6F4E4145"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tcBorders>
              <w:left w:val="single" w:sz="4" w:space="0" w:color="auto"/>
              <w:bottom w:val="single" w:sz="4" w:space="0" w:color="auto"/>
              <w:right w:val="single" w:sz="4" w:space="0" w:color="auto"/>
            </w:tcBorders>
          </w:tcPr>
          <w:p w14:paraId="282AF792" w14:textId="77777777" w:rsidR="00DF3C38" w:rsidRPr="00E70CFD"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E70CFD" w14:paraId="16EE89F9" w14:textId="77777777" w:rsidTr="008424FD">
        <w:trPr>
          <w:cantSplit/>
          <w:trHeight w:val="71"/>
        </w:trPr>
        <w:tc>
          <w:tcPr>
            <w:tcW w:w="5671" w:type="dxa"/>
            <w:gridSpan w:val="3"/>
            <w:tcBorders>
              <w:top w:val="nil"/>
              <w:left w:val="nil"/>
              <w:bottom w:val="nil"/>
              <w:right w:val="nil"/>
            </w:tcBorders>
          </w:tcPr>
          <w:p w14:paraId="25ECF38A"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rPr>
            </w:pPr>
            <w:r w:rsidRPr="00E70CFD">
              <w:rPr>
                <w:rFonts w:ascii="Arial" w:hAnsi="Arial" w:cs="Arial"/>
                <w:bCs/>
                <w:iCs/>
                <w:noProof/>
                <w:lang w:eastAsia="en-GB"/>
              </w:rPr>
              <mc:AlternateContent>
                <mc:Choice Requires="wps">
                  <w:drawing>
                    <wp:anchor distT="0" distB="0" distL="114300" distR="114300" simplePos="0" relativeHeight="251659264" behindDoc="0" locked="0" layoutInCell="1" allowOverlap="1" wp14:anchorId="5DC5B703" wp14:editId="050AE874">
                      <wp:simplePos x="0" y="0"/>
                      <wp:positionH relativeFrom="column">
                        <wp:posOffset>1068705</wp:posOffset>
                      </wp:positionH>
                      <wp:positionV relativeFrom="paragraph">
                        <wp:posOffset>146846</wp:posOffset>
                      </wp:positionV>
                      <wp:extent cx="2504364" cy="259308"/>
                      <wp:effectExtent l="0" t="0" r="10795" b="26670"/>
                      <wp:wrapNone/>
                      <wp:docPr id="4" name="Rectangle 4"/>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2A65E9" id="Rectangle 4" o:spid="_x0000_s1026" style="position:absolute;margin-left:84.15pt;margin-top:11.55pt;width:197.2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filled="f" strokecolor="black [3213]" strokeweight=".25pt"/>
                  </w:pict>
                </mc:Fallback>
              </mc:AlternateContent>
            </w:r>
          </w:p>
          <w:p w14:paraId="0E47AE4E" w14:textId="77777777" w:rsidR="00DF3C38" w:rsidRPr="00E70CFD"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E70CFD">
              <w:rPr>
                <w:rFonts w:ascii="Arial" w:hAnsi="Arial" w:cs="Arial"/>
                <w:bCs/>
                <w:iCs/>
              </w:rPr>
              <w:t xml:space="preserve">Date </w:t>
            </w:r>
          </w:p>
          <w:p w14:paraId="6EF6B083"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84" w:type="dxa"/>
            <w:tcBorders>
              <w:top w:val="nil"/>
              <w:left w:val="nil"/>
              <w:bottom w:val="nil"/>
              <w:right w:val="nil"/>
            </w:tcBorders>
          </w:tcPr>
          <w:p w14:paraId="08DE8B0D"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Borders>
              <w:left w:val="single" w:sz="4" w:space="0" w:color="auto"/>
              <w:bottom w:val="single" w:sz="4" w:space="0" w:color="auto"/>
              <w:right w:val="single" w:sz="4" w:space="0" w:color="auto"/>
            </w:tcBorders>
          </w:tcPr>
          <w:p w14:paraId="5C893621" w14:textId="77777777" w:rsidR="00DF3C38" w:rsidRPr="00E70CFD"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582FE435" w14:textId="77777777" w:rsidR="00DF3C38" w:rsidRPr="00E70CFD" w:rsidRDefault="00DF3C38" w:rsidP="00801EDB">
      <w:pPr>
        <w:spacing w:after="200" w:line="276" w:lineRule="auto"/>
        <w:rPr>
          <w:rFonts w:eastAsiaTheme="minorHAnsi" w:cs="Calibri"/>
          <w:sz w:val="22"/>
          <w:szCs w:val="22"/>
        </w:rPr>
      </w:pPr>
    </w:p>
    <w:p w14:paraId="40529B6C" w14:textId="77777777" w:rsidR="00DF3C38" w:rsidRPr="00E70CFD" w:rsidRDefault="00DF3C38" w:rsidP="00801EDB">
      <w:pPr>
        <w:spacing w:after="200" w:line="276" w:lineRule="auto"/>
        <w:rPr>
          <w:rFonts w:eastAsiaTheme="minorHAnsi" w:cs="Calibri"/>
          <w:sz w:val="22"/>
          <w:szCs w:val="22"/>
        </w:rPr>
      </w:pPr>
    </w:p>
    <w:p w14:paraId="3C2153BA" w14:textId="77777777" w:rsidR="00DF3C38" w:rsidRPr="00E70CFD" w:rsidRDefault="00DF3C38" w:rsidP="00801EDB">
      <w:pPr>
        <w:spacing w:after="200" w:line="276" w:lineRule="auto"/>
        <w:rPr>
          <w:rFonts w:eastAsiaTheme="minorHAnsi" w:cs="Calibri"/>
          <w:sz w:val="22"/>
          <w:szCs w:val="22"/>
        </w:rPr>
      </w:pPr>
    </w:p>
    <w:p w14:paraId="6595EA13" w14:textId="77777777" w:rsidR="00DF3C38" w:rsidRPr="00E70CFD" w:rsidRDefault="00DF3C38" w:rsidP="00801EDB">
      <w:pPr>
        <w:spacing w:after="200" w:line="276" w:lineRule="auto"/>
        <w:rPr>
          <w:rFonts w:eastAsiaTheme="minorHAnsi" w:cs="Calibri"/>
          <w:sz w:val="22"/>
          <w:szCs w:val="22"/>
        </w:rPr>
      </w:pPr>
    </w:p>
    <w:p w14:paraId="4341BD22" w14:textId="77777777" w:rsidR="00DF3C38" w:rsidRPr="00E70CFD" w:rsidRDefault="00DF3C38" w:rsidP="00801EDB">
      <w:pPr>
        <w:spacing w:after="200" w:line="276" w:lineRule="auto"/>
        <w:rPr>
          <w:rFonts w:eastAsiaTheme="minorHAnsi" w:cs="Calibri"/>
          <w:sz w:val="22"/>
          <w:szCs w:val="22"/>
        </w:rPr>
      </w:pPr>
    </w:p>
    <w:p w14:paraId="4C01A036" w14:textId="77777777" w:rsidR="00DF3C38" w:rsidRPr="00E70CFD" w:rsidRDefault="00DF3C38" w:rsidP="00DF3C38">
      <w:pPr>
        <w:rPr>
          <w:rFonts w:ascii="Arial" w:hAnsi="Arial" w:cs="Arial"/>
          <w:b/>
          <w:iCs/>
        </w:rPr>
      </w:pPr>
      <w:r w:rsidRPr="00E70CFD">
        <w:rPr>
          <w:rFonts w:ascii="Arial" w:hAnsi="Arial" w:cs="Arial"/>
          <w:b/>
          <w:iCs/>
        </w:rPr>
        <w:lastRenderedPageBreak/>
        <w:t>Section C: Shared Care Agreement (Trust specific information)</w:t>
      </w:r>
    </w:p>
    <w:p w14:paraId="756C0FCE" w14:textId="77777777" w:rsidR="00DF3C38" w:rsidRPr="00E70CFD" w:rsidRDefault="00DF3C38" w:rsidP="00DF3C38">
      <w:pPr>
        <w:rPr>
          <w:sz w:val="22"/>
          <w:szCs w:val="22"/>
        </w:rPr>
      </w:pPr>
    </w:p>
    <w:p w14:paraId="4DA74A05" w14:textId="77777777" w:rsidR="00DF3C38" w:rsidRPr="00E70CFD" w:rsidRDefault="00DF3C38" w:rsidP="00DF3C38">
      <w:pPr>
        <w:rPr>
          <w:sz w:val="22"/>
          <w:szCs w:val="22"/>
        </w:rPr>
      </w:pPr>
      <w:r w:rsidRPr="00E70CFD">
        <w:rPr>
          <w:i/>
          <w:szCs w:val="22"/>
        </w:rPr>
        <w:t>This section (and reference to it: Consultant Shared Care Responsibilities point 3) can be removed if all Trusts and CCGs have the same contractual arrangements.</w:t>
      </w:r>
      <w:r w:rsidRPr="00E70CFD">
        <w:rPr>
          <w:sz w:val="22"/>
          <w:szCs w:val="22"/>
        </w:rPr>
        <w:t xml:space="preserve"> </w:t>
      </w:r>
    </w:p>
    <w:p w14:paraId="25CF8925" w14:textId="77777777" w:rsidR="00DF3C38" w:rsidRPr="00E70CFD" w:rsidRDefault="00DF3C38" w:rsidP="00DF3C38">
      <w:pPr>
        <w:rPr>
          <w:sz w:val="22"/>
          <w:szCs w:val="22"/>
        </w:rPr>
      </w:pPr>
    </w:p>
    <w:tbl>
      <w:tblPr>
        <w:tblStyle w:val="TableGrid"/>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8" w:space="0" w:color="4F81BD" w:themeColor="accent1"/>
          <w:insideV w:val="single" w:sz="18" w:space="0" w:color="4F81BD" w:themeColor="accent1"/>
        </w:tblBorders>
        <w:tblLook w:val="04A0" w:firstRow="1" w:lastRow="0" w:firstColumn="1" w:lastColumn="0" w:noHBand="0" w:noVBand="1"/>
      </w:tblPr>
      <w:tblGrid>
        <w:gridCol w:w="1809"/>
        <w:gridCol w:w="7433"/>
      </w:tblGrid>
      <w:tr w:rsidR="00DF3C38" w:rsidRPr="00E70CFD" w14:paraId="47E22019" w14:textId="77777777" w:rsidTr="008424FD">
        <w:tc>
          <w:tcPr>
            <w:tcW w:w="9242" w:type="dxa"/>
            <w:gridSpan w:val="2"/>
            <w:tcBorders>
              <w:bottom w:val="single" w:sz="18" w:space="0" w:color="4F81BD" w:themeColor="accent1"/>
            </w:tcBorders>
          </w:tcPr>
          <w:p w14:paraId="25CD166D" w14:textId="77777777" w:rsidR="00DF3C38" w:rsidRPr="00E70CFD" w:rsidRDefault="00DF3C38" w:rsidP="008424FD">
            <w:pPr>
              <w:rPr>
                <w:b/>
              </w:rPr>
            </w:pPr>
            <w:r w:rsidRPr="00E70CFD">
              <w:rPr>
                <w:b/>
              </w:rPr>
              <w:t>Contact details</w:t>
            </w:r>
          </w:p>
        </w:tc>
      </w:tr>
      <w:tr w:rsidR="00DF3C38" w:rsidRPr="00E70CFD" w14:paraId="1A6DB775" w14:textId="77777777" w:rsidTr="008424FD">
        <w:tc>
          <w:tcPr>
            <w:tcW w:w="1809" w:type="dxa"/>
            <w:tcBorders>
              <w:top w:val="single" w:sz="18" w:space="0" w:color="4F81BD" w:themeColor="accent1"/>
              <w:bottom w:val="single" w:sz="8" w:space="0" w:color="4F81BD" w:themeColor="accent1"/>
            </w:tcBorders>
          </w:tcPr>
          <w:p w14:paraId="48F64A61" w14:textId="77777777" w:rsidR="00DF3C38" w:rsidRPr="00E70CFD" w:rsidRDefault="00DF3C38" w:rsidP="008424FD">
            <w:r w:rsidRPr="00E70CFD">
              <w:t xml:space="preserve">Clinic / service </w:t>
            </w:r>
          </w:p>
          <w:p w14:paraId="2B904946" w14:textId="77777777" w:rsidR="00DF3C38" w:rsidRPr="00E70CFD" w:rsidRDefault="00DF3C38" w:rsidP="008424FD"/>
        </w:tc>
        <w:tc>
          <w:tcPr>
            <w:tcW w:w="7433" w:type="dxa"/>
            <w:tcBorders>
              <w:top w:val="single" w:sz="18" w:space="0" w:color="4F81BD" w:themeColor="accent1"/>
              <w:bottom w:val="single" w:sz="8" w:space="0" w:color="4F81BD" w:themeColor="accent1"/>
            </w:tcBorders>
          </w:tcPr>
          <w:p w14:paraId="5957DAB2" w14:textId="77777777" w:rsidR="00DF3C38" w:rsidRPr="00E70CFD" w:rsidRDefault="00DF3C38" w:rsidP="008424FD"/>
        </w:tc>
      </w:tr>
      <w:tr w:rsidR="00DF3C38" w:rsidRPr="00E70CFD" w14:paraId="64FAEFB8" w14:textId="77777777" w:rsidTr="008424FD">
        <w:tc>
          <w:tcPr>
            <w:tcW w:w="1809" w:type="dxa"/>
            <w:tcBorders>
              <w:top w:val="single" w:sz="8" w:space="0" w:color="4F81BD" w:themeColor="accent1"/>
              <w:bottom w:val="single" w:sz="8" w:space="0" w:color="4F81BD" w:themeColor="accent1"/>
            </w:tcBorders>
          </w:tcPr>
          <w:p w14:paraId="7E23C058" w14:textId="77777777" w:rsidR="00DF3C38" w:rsidRPr="00E70CFD" w:rsidRDefault="00DF3C38" w:rsidP="008424FD">
            <w:r w:rsidRPr="00E70CFD">
              <w:t xml:space="preserve">Address </w:t>
            </w:r>
          </w:p>
          <w:p w14:paraId="3C96DCB1" w14:textId="77777777" w:rsidR="00DF3C38" w:rsidRPr="00E70CFD" w:rsidRDefault="00DF3C38" w:rsidP="008424FD"/>
        </w:tc>
        <w:tc>
          <w:tcPr>
            <w:tcW w:w="7433" w:type="dxa"/>
            <w:tcBorders>
              <w:top w:val="single" w:sz="8" w:space="0" w:color="4F81BD" w:themeColor="accent1"/>
              <w:bottom w:val="single" w:sz="8" w:space="0" w:color="4F81BD" w:themeColor="accent1"/>
            </w:tcBorders>
          </w:tcPr>
          <w:p w14:paraId="029D3B5C" w14:textId="77777777" w:rsidR="00DF3C38" w:rsidRPr="00E70CFD" w:rsidRDefault="00DF3C38" w:rsidP="008424FD"/>
        </w:tc>
      </w:tr>
      <w:tr w:rsidR="00DF3C38" w:rsidRPr="00E70CFD" w14:paraId="165453BA" w14:textId="77777777" w:rsidTr="008424FD">
        <w:tc>
          <w:tcPr>
            <w:tcW w:w="1809" w:type="dxa"/>
            <w:tcBorders>
              <w:top w:val="single" w:sz="8" w:space="0" w:color="4F81BD" w:themeColor="accent1"/>
              <w:bottom w:val="single" w:sz="8" w:space="0" w:color="4F81BD" w:themeColor="accent1"/>
            </w:tcBorders>
          </w:tcPr>
          <w:p w14:paraId="09CB41A3" w14:textId="77777777" w:rsidR="00DF3C38" w:rsidRPr="00E70CFD" w:rsidRDefault="00DF3C38" w:rsidP="008424FD">
            <w:r w:rsidRPr="00E70CFD">
              <w:t>Email</w:t>
            </w:r>
          </w:p>
          <w:p w14:paraId="55A1C1E3" w14:textId="77777777" w:rsidR="00DF3C38" w:rsidRPr="00E70CFD" w:rsidRDefault="00DF3C38" w:rsidP="008424FD"/>
        </w:tc>
        <w:tc>
          <w:tcPr>
            <w:tcW w:w="7433" w:type="dxa"/>
            <w:tcBorders>
              <w:top w:val="single" w:sz="8" w:space="0" w:color="4F81BD" w:themeColor="accent1"/>
              <w:bottom w:val="single" w:sz="8" w:space="0" w:color="4F81BD" w:themeColor="accent1"/>
            </w:tcBorders>
          </w:tcPr>
          <w:p w14:paraId="3997F9BB" w14:textId="77777777" w:rsidR="00DF3C38" w:rsidRPr="00E70CFD" w:rsidRDefault="00DF3C38" w:rsidP="008424FD"/>
        </w:tc>
      </w:tr>
      <w:tr w:rsidR="00DF3C38" w:rsidRPr="00E70CFD" w14:paraId="783D672D" w14:textId="77777777" w:rsidTr="008424FD">
        <w:tc>
          <w:tcPr>
            <w:tcW w:w="1809" w:type="dxa"/>
            <w:tcBorders>
              <w:top w:val="single" w:sz="8" w:space="0" w:color="4F81BD" w:themeColor="accent1"/>
              <w:bottom w:val="single" w:sz="18" w:space="0" w:color="4F81BD" w:themeColor="accent1"/>
            </w:tcBorders>
          </w:tcPr>
          <w:p w14:paraId="3C1CC36A" w14:textId="77777777" w:rsidR="00DF3C38" w:rsidRPr="00E70CFD" w:rsidRDefault="00DF3C38" w:rsidP="008424FD">
            <w:r w:rsidRPr="00E70CFD">
              <w:t>Telephone</w:t>
            </w:r>
          </w:p>
          <w:p w14:paraId="36817FDE" w14:textId="77777777" w:rsidR="00DF3C38" w:rsidRPr="00E70CFD" w:rsidRDefault="00DF3C38" w:rsidP="008424FD"/>
        </w:tc>
        <w:tc>
          <w:tcPr>
            <w:tcW w:w="7433" w:type="dxa"/>
            <w:tcBorders>
              <w:top w:val="single" w:sz="8" w:space="0" w:color="4F81BD" w:themeColor="accent1"/>
              <w:bottom w:val="single" w:sz="18" w:space="0" w:color="4F81BD" w:themeColor="accent1"/>
            </w:tcBorders>
          </w:tcPr>
          <w:p w14:paraId="211330A1" w14:textId="77777777" w:rsidR="00DF3C38" w:rsidRPr="00E70CFD" w:rsidRDefault="00DF3C38" w:rsidP="008424FD"/>
        </w:tc>
      </w:tr>
    </w:tbl>
    <w:p w14:paraId="66AC2F9E" w14:textId="77777777" w:rsidR="00DF3C38" w:rsidRPr="00E70CFD" w:rsidRDefault="00DF3C38" w:rsidP="00DF3C38">
      <w:pPr>
        <w:rPr>
          <w:sz w:val="22"/>
          <w:szCs w:val="22"/>
        </w:rPr>
      </w:pPr>
    </w:p>
    <w:p w14:paraId="76ABAD6B" w14:textId="77777777" w:rsidR="00DF3C38" w:rsidRPr="00E70CFD" w:rsidRDefault="00DF3C38" w:rsidP="00DF3C38">
      <w:pPr>
        <w:rPr>
          <w:b/>
          <w:sz w:val="22"/>
          <w:szCs w:val="22"/>
        </w:rPr>
      </w:pPr>
      <w:r w:rsidRPr="00E70CFD">
        <w:rPr>
          <w:b/>
          <w:sz w:val="22"/>
          <w:szCs w:val="22"/>
        </w:rPr>
        <w:t>Contractual details</w:t>
      </w:r>
    </w:p>
    <w:tbl>
      <w:tblPr>
        <w:tblStyle w:val="TableGrid"/>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085"/>
        <w:gridCol w:w="6157"/>
      </w:tblGrid>
      <w:tr w:rsidR="00DF3C38" w:rsidRPr="00E70CFD" w14:paraId="00A3DA72" w14:textId="77777777" w:rsidTr="008424FD">
        <w:tc>
          <w:tcPr>
            <w:tcW w:w="3085" w:type="dxa"/>
          </w:tcPr>
          <w:p w14:paraId="3328C6BA" w14:textId="77777777" w:rsidR="00DF3C38" w:rsidRPr="00E70CFD" w:rsidRDefault="00DF3C38" w:rsidP="008424FD">
            <w:r w:rsidRPr="00E70CFD">
              <w:t>CCG 1</w:t>
            </w:r>
          </w:p>
        </w:tc>
        <w:tc>
          <w:tcPr>
            <w:tcW w:w="6157" w:type="dxa"/>
          </w:tcPr>
          <w:p w14:paraId="3E5C93EE" w14:textId="77777777" w:rsidR="00DF3C38" w:rsidRPr="00E70CFD" w:rsidRDefault="00DF3C38" w:rsidP="008424FD"/>
        </w:tc>
      </w:tr>
      <w:tr w:rsidR="00DF3C38" w:rsidRPr="00E70CFD" w14:paraId="0F9989FD" w14:textId="77777777" w:rsidTr="008424FD">
        <w:tc>
          <w:tcPr>
            <w:tcW w:w="3085" w:type="dxa"/>
          </w:tcPr>
          <w:p w14:paraId="28FFF7BF" w14:textId="77777777" w:rsidR="00DF3C38" w:rsidRPr="00E70CFD" w:rsidRDefault="00DF3C38" w:rsidP="008424FD">
            <w:r w:rsidRPr="00E70CFD">
              <w:t xml:space="preserve">No. weeks Trust to prescribe </w:t>
            </w:r>
          </w:p>
        </w:tc>
        <w:tc>
          <w:tcPr>
            <w:tcW w:w="6157" w:type="dxa"/>
          </w:tcPr>
          <w:p w14:paraId="7ED013EE" w14:textId="77777777" w:rsidR="00DF3C38" w:rsidRPr="00E70CFD" w:rsidRDefault="00DF3C38" w:rsidP="008424FD"/>
        </w:tc>
      </w:tr>
      <w:tr w:rsidR="00DF3C38" w:rsidRPr="00E70CFD" w14:paraId="387365F9" w14:textId="77777777" w:rsidTr="008424FD">
        <w:tc>
          <w:tcPr>
            <w:tcW w:w="3085" w:type="dxa"/>
          </w:tcPr>
          <w:p w14:paraId="104F55CD" w14:textId="77777777" w:rsidR="00DF3C38" w:rsidRPr="00E70CFD" w:rsidRDefault="00DF3C38" w:rsidP="008424FD">
            <w:r w:rsidRPr="00E70CFD">
              <w:t>Treatment reviews to be conducted by trust (frequency)</w:t>
            </w:r>
          </w:p>
        </w:tc>
        <w:tc>
          <w:tcPr>
            <w:tcW w:w="6157" w:type="dxa"/>
          </w:tcPr>
          <w:p w14:paraId="4E9B575D" w14:textId="77777777" w:rsidR="00DF3C38" w:rsidRPr="00E70CFD" w:rsidRDefault="00DF3C38" w:rsidP="008424FD"/>
        </w:tc>
      </w:tr>
    </w:tbl>
    <w:p w14:paraId="3E1BDD78" w14:textId="77777777" w:rsidR="00DF3C38" w:rsidRPr="00E70CFD" w:rsidRDefault="00DF3C38" w:rsidP="00DF3C38">
      <w:pPr>
        <w:rPr>
          <w:sz w:val="22"/>
          <w:szCs w:val="22"/>
        </w:rPr>
      </w:pPr>
    </w:p>
    <w:tbl>
      <w:tblPr>
        <w:tblStyle w:val="TableGrid"/>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085"/>
        <w:gridCol w:w="6157"/>
      </w:tblGrid>
      <w:tr w:rsidR="00DF3C38" w:rsidRPr="00E70CFD" w14:paraId="7F54F9F6" w14:textId="77777777" w:rsidTr="008424FD">
        <w:tc>
          <w:tcPr>
            <w:tcW w:w="3085" w:type="dxa"/>
          </w:tcPr>
          <w:p w14:paraId="4E0C2088" w14:textId="77777777" w:rsidR="00DF3C38" w:rsidRPr="00E70CFD" w:rsidRDefault="00DF3C38" w:rsidP="008424FD">
            <w:r w:rsidRPr="00E70CFD">
              <w:t>CCG 2</w:t>
            </w:r>
          </w:p>
        </w:tc>
        <w:tc>
          <w:tcPr>
            <w:tcW w:w="6157" w:type="dxa"/>
          </w:tcPr>
          <w:p w14:paraId="4248D660" w14:textId="77777777" w:rsidR="00DF3C38" w:rsidRPr="00E70CFD" w:rsidRDefault="00DF3C38" w:rsidP="008424FD"/>
        </w:tc>
      </w:tr>
      <w:tr w:rsidR="00DF3C38" w:rsidRPr="00E70CFD" w14:paraId="4E8EF739" w14:textId="77777777" w:rsidTr="008424FD">
        <w:tc>
          <w:tcPr>
            <w:tcW w:w="3085" w:type="dxa"/>
          </w:tcPr>
          <w:p w14:paraId="7A065171" w14:textId="77777777" w:rsidR="00DF3C38" w:rsidRPr="00E70CFD" w:rsidRDefault="00DF3C38" w:rsidP="008424FD">
            <w:r w:rsidRPr="00E70CFD">
              <w:t xml:space="preserve">No. weeks Trust to prescribe </w:t>
            </w:r>
          </w:p>
        </w:tc>
        <w:tc>
          <w:tcPr>
            <w:tcW w:w="6157" w:type="dxa"/>
          </w:tcPr>
          <w:p w14:paraId="5F6F5EA6" w14:textId="77777777" w:rsidR="00DF3C38" w:rsidRPr="00E70CFD" w:rsidRDefault="00DF3C38" w:rsidP="008424FD"/>
        </w:tc>
      </w:tr>
      <w:tr w:rsidR="00DF3C38" w:rsidRPr="00E70CFD" w14:paraId="706402C6" w14:textId="77777777" w:rsidTr="008424FD">
        <w:tc>
          <w:tcPr>
            <w:tcW w:w="3085" w:type="dxa"/>
          </w:tcPr>
          <w:p w14:paraId="5DAF1548" w14:textId="77777777" w:rsidR="00DF3C38" w:rsidRPr="00E70CFD" w:rsidRDefault="00DF3C38" w:rsidP="008424FD">
            <w:r w:rsidRPr="00E70CFD">
              <w:t>Treatment reviews to be conducted by trust (frequency)</w:t>
            </w:r>
          </w:p>
        </w:tc>
        <w:tc>
          <w:tcPr>
            <w:tcW w:w="6157" w:type="dxa"/>
          </w:tcPr>
          <w:p w14:paraId="20D04140" w14:textId="77777777" w:rsidR="00DF3C38" w:rsidRPr="00E70CFD" w:rsidRDefault="00DF3C38" w:rsidP="008424FD"/>
        </w:tc>
      </w:tr>
    </w:tbl>
    <w:p w14:paraId="47CB4D8E" w14:textId="77777777" w:rsidR="00DF3C38" w:rsidRPr="00E70CFD" w:rsidRDefault="00DF3C38" w:rsidP="00DF3C38">
      <w:pPr>
        <w:rPr>
          <w:sz w:val="22"/>
          <w:szCs w:val="22"/>
        </w:rPr>
      </w:pPr>
    </w:p>
    <w:tbl>
      <w:tblPr>
        <w:tblStyle w:val="TableGrid"/>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085"/>
        <w:gridCol w:w="6157"/>
      </w:tblGrid>
      <w:tr w:rsidR="00DF3C38" w:rsidRPr="00E70CFD" w14:paraId="1F7671A6" w14:textId="77777777" w:rsidTr="008424FD">
        <w:tc>
          <w:tcPr>
            <w:tcW w:w="3085" w:type="dxa"/>
          </w:tcPr>
          <w:p w14:paraId="5D6B2284" w14:textId="77777777" w:rsidR="00DF3C38" w:rsidRPr="00E70CFD" w:rsidRDefault="00DF3C38" w:rsidP="008424FD">
            <w:r w:rsidRPr="00E70CFD">
              <w:t>CCG 3</w:t>
            </w:r>
          </w:p>
        </w:tc>
        <w:tc>
          <w:tcPr>
            <w:tcW w:w="6157" w:type="dxa"/>
          </w:tcPr>
          <w:p w14:paraId="72180B4D" w14:textId="77777777" w:rsidR="00DF3C38" w:rsidRPr="00E70CFD" w:rsidRDefault="00DF3C38" w:rsidP="008424FD"/>
        </w:tc>
      </w:tr>
      <w:tr w:rsidR="00DF3C38" w:rsidRPr="00E70CFD" w14:paraId="1D6C1BB4" w14:textId="77777777" w:rsidTr="008424FD">
        <w:tc>
          <w:tcPr>
            <w:tcW w:w="3085" w:type="dxa"/>
          </w:tcPr>
          <w:p w14:paraId="1DF2BDB5" w14:textId="77777777" w:rsidR="00DF3C38" w:rsidRPr="00E70CFD" w:rsidRDefault="00DF3C38" w:rsidP="008424FD">
            <w:r w:rsidRPr="00E70CFD">
              <w:t xml:space="preserve">No. weeks Trust to prescribe </w:t>
            </w:r>
          </w:p>
        </w:tc>
        <w:tc>
          <w:tcPr>
            <w:tcW w:w="6157" w:type="dxa"/>
          </w:tcPr>
          <w:p w14:paraId="0464786A" w14:textId="77777777" w:rsidR="00DF3C38" w:rsidRPr="00E70CFD" w:rsidRDefault="00DF3C38" w:rsidP="008424FD"/>
        </w:tc>
      </w:tr>
      <w:tr w:rsidR="00DF3C38" w:rsidRPr="00FD024B" w14:paraId="7F2E900B" w14:textId="77777777" w:rsidTr="008424FD">
        <w:tc>
          <w:tcPr>
            <w:tcW w:w="3085" w:type="dxa"/>
          </w:tcPr>
          <w:p w14:paraId="576F8DC6" w14:textId="77777777" w:rsidR="00DF3C38" w:rsidRPr="00FD024B" w:rsidRDefault="00DF3C38" w:rsidP="008424FD">
            <w:r w:rsidRPr="00E70CFD">
              <w:t>Treatment reviews to be conducted by trust (frequency)</w:t>
            </w:r>
          </w:p>
        </w:tc>
        <w:tc>
          <w:tcPr>
            <w:tcW w:w="6157" w:type="dxa"/>
          </w:tcPr>
          <w:p w14:paraId="6D9EC669" w14:textId="77777777" w:rsidR="00DF3C38" w:rsidRPr="00FD024B" w:rsidRDefault="00DF3C38" w:rsidP="008424FD"/>
        </w:tc>
      </w:tr>
    </w:tbl>
    <w:p w14:paraId="3858F766" w14:textId="77777777" w:rsidR="00DF3C38" w:rsidRDefault="00DF3C38" w:rsidP="00DF3C38">
      <w:pPr>
        <w:rPr>
          <w:sz w:val="22"/>
          <w:szCs w:val="22"/>
        </w:rPr>
      </w:pPr>
    </w:p>
    <w:p w14:paraId="4817D234" w14:textId="77777777" w:rsidR="00DF3C38" w:rsidRPr="00FD024B" w:rsidRDefault="00DF3C38" w:rsidP="00DF3C38">
      <w:pPr>
        <w:rPr>
          <w:sz w:val="22"/>
          <w:szCs w:val="22"/>
        </w:rPr>
      </w:pPr>
    </w:p>
    <w:p w14:paraId="54E8000A" w14:textId="77777777" w:rsidR="00DF3C38" w:rsidRPr="00801EDB" w:rsidRDefault="00DF3C38" w:rsidP="00801EDB">
      <w:pPr>
        <w:spacing w:after="200" w:line="276" w:lineRule="auto"/>
        <w:rPr>
          <w:rFonts w:eastAsiaTheme="minorHAnsi" w:cs="Calibri"/>
          <w:sz w:val="22"/>
          <w:szCs w:val="22"/>
        </w:rPr>
      </w:pPr>
    </w:p>
    <w:sectPr w:rsidR="00DF3C38" w:rsidRPr="00801EDB" w:rsidSect="008A5E15">
      <w:footerReference w:type="default" r:id="rId18"/>
      <w:footerReference w:type="first" r:id="rId19"/>
      <w:footnotePr>
        <w:numFmt w:val="lowerLetter"/>
      </w:footnotePr>
      <w:pgSz w:w="11906" w:h="16838"/>
      <w:pgMar w:top="1134" w:right="1440" w:bottom="1440"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EF09A" w14:textId="77777777" w:rsidR="00B95136" w:rsidRDefault="00B95136" w:rsidP="00224B44">
      <w:r>
        <w:separator/>
      </w:r>
    </w:p>
  </w:endnote>
  <w:endnote w:type="continuationSeparator" w:id="0">
    <w:p w14:paraId="22F80FFE" w14:textId="77777777" w:rsidR="00B95136" w:rsidRDefault="00B95136" w:rsidP="0022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aker2Lancet-Regular">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8C38" w14:textId="40DCC34E" w:rsidR="00D978FB" w:rsidRDefault="00D978FB" w:rsidP="00367357">
    <w:pPr>
      <w:pStyle w:val="Footer"/>
      <w:jc w:val="left"/>
      <w:rPr>
        <w:noProof/>
      </w:rPr>
    </w:pPr>
    <w:r>
      <w:t>North Central London Joint Formulary Committee</w:t>
    </w:r>
    <w:r>
      <w:tab/>
    </w:r>
    <w:r>
      <w:tab/>
    </w:r>
    <w:sdt>
      <w:sdtPr>
        <w:rPr>
          <w:noProof/>
        </w:rPr>
        <w:id w:val="-1769616900"/>
        <w:docPartObj>
          <w:docPartGallery w:val="Page Numbers (Top of Page)"/>
          <w:docPartUnique/>
        </w:docPartObj>
      </w:sdtPr>
      <w:sdtEndPr/>
      <w:sdtContent>
        <w:r w:rsidR="00FB0C6B" w:rsidRPr="00FB0C6B">
          <w:rPr>
            <w:noProof/>
          </w:rPr>
          <w:fldChar w:fldCharType="begin"/>
        </w:r>
        <w:r w:rsidR="00FB0C6B" w:rsidRPr="00FB0C6B">
          <w:rPr>
            <w:noProof/>
          </w:rPr>
          <w:instrText xml:space="preserve"> PAGE </w:instrText>
        </w:r>
        <w:r w:rsidR="00FB0C6B" w:rsidRPr="00FB0C6B">
          <w:rPr>
            <w:noProof/>
          </w:rPr>
          <w:fldChar w:fldCharType="separate"/>
        </w:r>
        <w:r w:rsidR="00FB0C6B" w:rsidRPr="00FB0C6B">
          <w:rPr>
            <w:noProof/>
          </w:rPr>
          <w:t>1</w:t>
        </w:r>
        <w:r w:rsidR="00FB0C6B" w:rsidRPr="00FB0C6B">
          <w:rPr>
            <w:noProof/>
          </w:rPr>
          <w:fldChar w:fldCharType="end"/>
        </w:r>
        <w:r w:rsidR="00FB0C6B" w:rsidRPr="00FB0C6B">
          <w:rPr>
            <w:noProof/>
          </w:rPr>
          <w:t xml:space="preserve"> of </w:t>
        </w:r>
        <w:r w:rsidR="00FB0C6B" w:rsidRPr="00FB0C6B">
          <w:rPr>
            <w:noProof/>
          </w:rPr>
          <w:fldChar w:fldCharType="begin"/>
        </w:r>
        <w:r w:rsidR="00FB0C6B" w:rsidRPr="00FB0C6B">
          <w:rPr>
            <w:noProof/>
          </w:rPr>
          <w:instrText xml:space="preserve"> NUMPAGES  </w:instrText>
        </w:r>
        <w:r w:rsidR="00FB0C6B" w:rsidRPr="00FB0C6B">
          <w:rPr>
            <w:noProof/>
          </w:rPr>
          <w:fldChar w:fldCharType="separate"/>
        </w:r>
        <w:r w:rsidR="00FB0C6B" w:rsidRPr="00FB0C6B">
          <w:rPr>
            <w:noProof/>
          </w:rPr>
          <w:t>1</w:t>
        </w:r>
        <w:r w:rsidR="00FB0C6B" w:rsidRPr="00FB0C6B">
          <w:rPr>
            <w:noProof/>
          </w:rPr>
          <w:fldChar w:fldCharType="end"/>
        </w:r>
      </w:sdtContent>
    </w:sdt>
  </w:p>
  <w:p w14:paraId="21FB3300" w14:textId="20A96526" w:rsidR="00D978FB" w:rsidRDefault="00680F2E" w:rsidP="00367357">
    <w:pPr>
      <w:pStyle w:val="Footer"/>
      <w:jc w:val="left"/>
    </w:pPr>
    <w:r>
      <w:t>Treatment of focal seizures with c</w:t>
    </w:r>
    <w:r w:rsidR="00E178BC">
      <w:t xml:space="preserve">enobamate </w:t>
    </w:r>
    <w:r w:rsidR="00D978FB">
      <w:t>(</w:t>
    </w:r>
    <w:r>
      <w:t>Ontozry</w:t>
    </w:r>
    <w:r w:rsidR="00D978FB">
      <w:t>®)</w:t>
    </w:r>
    <w:r w:rsidR="00D978FB">
      <w:tab/>
      <w:t xml:space="preserve">Approval date: </w:t>
    </w:r>
    <w:r w:rsidR="00065709">
      <w:t>03/03/2023</w:t>
    </w:r>
  </w:p>
  <w:p w14:paraId="3CE04138" w14:textId="52C68E9C" w:rsidR="00D978FB" w:rsidRDefault="00D978FB" w:rsidP="00367357">
    <w:pPr>
      <w:pStyle w:val="Footer"/>
      <w:jc w:val="left"/>
    </w:pPr>
    <w:r>
      <w:t>Version</w:t>
    </w:r>
    <w:r w:rsidR="00680F2E">
      <w:t xml:space="preserve"> 1.</w:t>
    </w:r>
    <w:r w:rsidR="00A67EEA">
      <w:t>3</w:t>
    </w:r>
    <w:r>
      <w:tab/>
    </w:r>
    <w:r>
      <w:tab/>
      <w:t>Review date:</w:t>
    </w:r>
    <w:r w:rsidR="00B97684">
      <w:t xml:space="preserve"> </w:t>
    </w:r>
    <w:r w:rsidR="00641719">
      <w:t>3</w:t>
    </w:r>
    <w:r w:rsidR="000D2F52">
      <w:t>0</w:t>
    </w:r>
    <w:r w:rsidR="00B97684">
      <w:t>/</w:t>
    </w:r>
    <w:r w:rsidR="00D33768">
      <w:t>0</w:t>
    </w:r>
    <w:r w:rsidR="00E73922">
      <w:t>6</w:t>
    </w:r>
    <w:r w:rsidR="00B97684">
      <w:t>/202</w:t>
    </w:r>
    <w:r w:rsidR="00D33768">
      <w:t>6</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C2D2" w14:textId="77777777" w:rsidR="00D978FB" w:rsidRDefault="00D978FB" w:rsidP="00367357">
    <w:pPr>
      <w:pStyle w:val="Footer"/>
      <w:jc w:val="left"/>
    </w:pPr>
    <w:r>
      <w:t>North Central London Joint Formulary Committee</w:t>
    </w:r>
    <w:r>
      <w:tab/>
    </w:r>
    <w:r>
      <w:ptab w:relativeTo="margin" w:alignment="center" w:leader="none"/>
    </w:r>
    <w:r>
      <w:tab/>
    </w:r>
    <w:r>
      <w:rPr>
        <w:noProof/>
      </w:rPr>
      <w:t>1</w:t>
    </w:r>
    <w:r>
      <w:t xml:space="preserve"> of </w:t>
    </w:r>
    <w:r>
      <w:rPr>
        <w:noProof/>
      </w:rPr>
      <w:t>3</w:t>
    </w:r>
  </w:p>
  <w:p w14:paraId="479FE23C" w14:textId="77777777" w:rsidR="00D978FB" w:rsidRDefault="00D978FB" w:rsidP="00367357">
    <w:pPr>
      <w:pStyle w:val="Footer"/>
      <w:jc w:val="left"/>
    </w:pPr>
  </w:p>
  <w:p w14:paraId="5BB6F096" w14:textId="77777777" w:rsidR="00D978FB" w:rsidRDefault="00D978FB" w:rsidP="00367357">
    <w:pPr>
      <w:pStyle w:val="Footer"/>
      <w:jc w:val="left"/>
    </w:pPr>
    <w:r>
      <w:t>Document title</w:t>
    </w:r>
  </w:p>
  <w:p w14:paraId="14388DB3" w14:textId="77777777" w:rsidR="00D978FB" w:rsidRDefault="00D978FB" w:rsidP="00367357">
    <w:pPr>
      <w:pStyle w:val="Footer"/>
      <w:jc w:val="left"/>
    </w:pPr>
    <w:r>
      <w:t>Version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BC372" w14:textId="77777777" w:rsidR="00B95136" w:rsidRDefault="00B95136" w:rsidP="00224B44">
      <w:r>
        <w:separator/>
      </w:r>
    </w:p>
  </w:footnote>
  <w:footnote w:type="continuationSeparator" w:id="0">
    <w:p w14:paraId="73ADB323" w14:textId="77777777" w:rsidR="00B95136" w:rsidRDefault="00B95136" w:rsidP="00224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370"/>
    <w:multiLevelType w:val="hybridMultilevel"/>
    <w:tmpl w:val="7C344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C2096D"/>
    <w:multiLevelType w:val="hybridMultilevel"/>
    <w:tmpl w:val="78F6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B6959"/>
    <w:multiLevelType w:val="hybridMultilevel"/>
    <w:tmpl w:val="9848A494"/>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 w15:restartNumberingAfterBreak="0">
    <w:nsid w:val="1B7D35BA"/>
    <w:multiLevelType w:val="multilevel"/>
    <w:tmpl w:val="9C202792"/>
    <w:styleLink w:val="ReportHeadings"/>
    <w:lvl w:ilvl="0">
      <w:start w:val="1"/>
      <w:numFmt w:val="decimal"/>
      <w:pStyle w:val="NCLHeading1"/>
      <w:lvlText w:val="%1."/>
      <w:lvlJc w:val="left"/>
      <w:pPr>
        <w:ind w:left="851" w:hanging="851"/>
      </w:pPr>
      <w:rPr>
        <w:rFonts w:hint="default"/>
      </w:rPr>
    </w:lvl>
    <w:lvl w:ilvl="1">
      <w:start w:val="1"/>
      <w:numFmt w:val="decimal"/>
      <w:pStyle w:val="NCLHeading2"/>
      <w:lvlText w:val="%1.%2."/>
      <w:lvlJc w:val="left"/>
      <w:pPr>
        <w:ind w:left="851" w:hanging="851"/>
      </w:pPr>
      <w:rPr>
        <w:rFonts w:hint="default"/>
      </w:rPr>
    </w:lvl>
    <w:lvl w:ilvl="2">
      <w:start w:val="1"/>
      <w:numFmt w:val="decimal"/>
      <w:pStyle w:val="NCLHeading3"/>
      <w:lvlText w:val="%1.%2.%3."/>
      <w:lvlJc w:val="left"/>
      <w:pPr>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pStyle w:val="NCLTableheading"/>
      <w:suff w:val="nothing"/>
      <w:lvlText w:val=""/>
      <w:lvlJc w:val="left"/>
      <w:pPr>
        <w:ind w:left="0" w:firstLine="0"/>
      </w:pPr>
      <w:rPr>
        <w:rFonts w:hint="default"/>
      </w:rPr>
    </w:lvl>
    <w:lvl w:ilvl="5">
      <w:start w:val="1"/>
      <w:numFmt w:val="none"/>
      <w:pStyle w:val="ReportHeading6"/>
      <w:suff w:val="nothing"/>
      <w:lvlText w:val=""/>
      <w:lvlJc w:val="left"/>
      <w:pPr>
        <w:ind w:left="0" w:firstLine="0"/>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4" w15:restartNumberingAfterBreak="0">
    <w:nsid w:val="1C192BD7"/>
    <w:multiLevelType w:val="singleLevel"/>
    <w:tmpl w:val="1180BBB0"/>
    <w:lvl w:ilvl="0">
      <w:start w:val="1"/>
      <w:numFmt w:val="decimal"/>
      <w:lvlText w:val="%1."/>
      <w:lvlJc w:val="left"/>
      <w:pPr>
        <w:tabs>
          <w:tab w:val="num" w:pos="360"/>
        </w:tabs>
        <w:ind w:left="360" w:hanging="360"/>
      </w:pPr>
      <w:rPr>
        <w:sz w:val="22"/>
        <w:szCs w:val="22"/>
      </w:rPr>
    </w:lvl>
  </w:abstractNum>
  <w:abstractNum w:abstractNumId="5" w15:restartNumberingAfterBreak="0">
    <w:nsid w:val="26C21D3F"/>
    <w:multiLevelType w:val="hybridMultilevel"/>
    <w:tmpl w:val="656A2212"/>
    <w:lvl w:ilvl="0" w:tplc="B7F6E5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D5336"/>
    <w:multiLevelType w:val="hybridMultilevel"/>
    <w:tmpl w:val="E8D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F40B3"/>
    <w:multiLevelType w:val="multilevel"/>
    <w:tmpl w:val="C62AAEC6"/>
    <w:styleLink w:val="ListNumbers"/>
    <w:lvl w:ilvl="0">
      <w:start w:val="1"/>
      <w:numFmt w:val="decimal"/>
      <w:pStyle w:val="ListNumber"/>
      <w:lvlText w:val="%1)"/>
      <w:lvlJc w:val="left"/>
      <w:pPr>
        <w:ind w:left="567" w:hanging="283"/>
      </w:pPr>
      <w:rPr>
        <w:rFonts w:hint="default"/>
      </w:r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8" w15:restartNumberingAfterBreak="0">
    <w:nsid w:val="3ADA6FCC"/>
    <w:multiLevelType w:val="hybridMultilevel"/>
    <w:tmpl w:val="65200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36FD9"/>
    <w:multiLevelType w:val="multilevel"/>
    <w:tmpl w:val="1E6A1538"/>
    <w:lvl w:ilvl="0">
      <w:start w:val="1"/>
      <w:numFmt w:val="decimal"/>
      <w:pStyle w:val="Heading1"/>
      <w:lvlText w:val="%1"/>
      <w:lvlJc w:val="left"/>
      <w:pPr>
        <w:ind w:left="432" w:hanging="432"/>
      </w:pPr>
    </w:lvl>
    <w:lvl w:ilvl="1">
      <w:start w:val="1"/>
      <w:numFmt w:val="upperLetter"/>
      <w:pStyle w:val="Heading2"/>
      <w:lvlText w:val="%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4123539"/>
    <w:multiLevelType w:val="hybridMultilevel"/>
    <w:tmpl w:val="D098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8372B"/>
    <w:multiLevelType w:val="multilevel"/>
    <w:tmpl w:val="092054EE"/>
    <w:styleLink w:val="ListBullets"/>
    <w:lvl w:ilvl="0">
      <w:start w:val="1"/>
      <w:numFmt w:val="bullet"/>
      <w:pStyle w:val="ListBullet"/>
      <w:lvlText w:val=""/>
      <w:lvlJc w:val="left"/>
      <w:pPr>
        <w:ind w:left="567" w:hanging="283"/>
      </w:pPr>
      <w:rPr>
        <w:rFonts w:ascii="Symbol" w:hAnsi="Symbol" w:hint="default"/>
      </w:rPr>
    </w:lvl>
    <w:lvl w:ilvl="1">
      <w:start w:val="1"/>
      <w:numFmt w:val="bullet"/>
      <w:pStyle w:val="ListBullet2"/>
      <w:lvlText w:val="o"/>
      <w:lvlJc w:val="left"/>
      <w:pPr>
        <w:ind w:left="851" w:hanging="283"/>
      </w:pPr>
      <w:rPr>
        <w:rFonts w:ascii="Courier New" w:hAnsi="Courier New" w:hint="default"/>
      </w:rPr>
    </w:lvl>
    <w:lvl w:ilvl="2">
      <w:start w:val="1"/>
      <w:numFmt w:val="bullet"/>
      <w:pStyle w:val="ListBullet3"/>
      <w:lvlText w:val=""/>
      <w:lvlJc w:val="left"/>
      <w:pPr>
        <w:ind w:left="1135" w:hanging="283"/>
      </w:pPr>
      <w:rPr>
        <w:rFonts w:ascii="Wingdings" w:hAnsi="Wingdings" w:hint="default"/>
      </w:rPr>
    </w:lvl>
    <w:lvl w:ilvl="3">
      <w:start w:val="1"/>
      <w:numFmt w:val="bullet"/>
      <w:pStyle w:val="ListBullet4"/>
      <w:lvlText w:val=""/>
      <w:lvlJc w:val="left"/>
      <w:pPr>
        <w:ind w:left="1419" w:hanging="283"/>
      </w:pPr>
      <w:rPr>
        <w:rFonts w:ascii="Symbol" w:hAnsi="Symbol" w:hint="default"/>
      </w:rPr>
    </w:lvl>
    <w:lvl w:ilvl="4">
      <w:start w:val="1"/>
      <w:numFmt w:val="bullet"/>
      <w:pStyle w:val="ListBullet5"/>
      <w:lvlText w:val="o"/>
      <w:lvlJc w:val="left"/>
      <w:pPr>
        <w:ind w:left="1703" w:hanging="283"/>
      </w:pPr>
      <w:rPr>
        <w:rFonts w:ascii="Courier New" w:hAnsi="Courier New" w:hint="default"/>
      </w:rPr>
    </w:lvl>
    <w:lvl w:ilvl="5">
      <w:start w:val="1"/>
      <w:numFmt w:val="none"/>
      <w:lvlText w:val=""/>
      <w:lvlJc w:val="left"/>
      <w:pPr>
        <w:ind w:left="1987" w:hanging="286"/>
      </w:pPr>
      <w:rPr>
        <w:rFonts w:hint="default"/>
      </w:rPr>
    </w:lvl>
    <w:lvl w:ilvl="6">
      <w:start w:val="1"/>
      <w:numFmt w:val="none"/>
      <w:lvlText w:val="%7"/>
      <w:lvlJc w:val="left"/>
      <w:pPr>
        <w:ind w:left="2271" w:hanging="283"/>
      </w:pPr>
      <w:rPr>
        <w:rFonts w:hint="default"/>
      </w:rPr>
    </w:lvl>
    <w:lvl w:ilvl="7">
      <w:start w:val="1"/>
      <w:numFmt w:val="none"/>
      <w:lvlText w:val="%8"/>
      <w:lvlJc w:val="left"/>
      <w:pPr>
        <w:ind w:left="2555" w:hanging="283"/>
      </w:pPr>
      <w:rPr>
        <w:rFonts w:hint="default"/>
      </w:rPr>
    </w:lvl>
    <w:lvl w:ilvl="8">
      <w:start w:val="1"/>
      <w:numFmt w:val="none"/>
      <w:lvlText w:val="%9"/>
      <w:lvlJc w:val="left"/>
      <w:pPr>
        <w:ind w:left="2839" w:hanging="283"/>
      </w:pPr>
      <w:rPr>
        <w:rFonts w:hint="default"/>
      </w:rPr>
    </w:lvl>
  </w:abstractNum>
  <w:abstractNum w:abstractNumId="12" w15:restartNumberingAfterBreak="0">
    <w:nsid w:val="4F3C6DC3"/>
    <w:multiLevelType w:val="hybridMultilevel"/>
    <w:tmpl w:val="62A48C5E"/>
    <w:lvl w:ilvl="0" w:tplc="831EA7E4">
      <w:start w:val="1"/>
      <w:numFmt w:val="decimal"/>
      <w:lvlText w:val="%1."/>
      <w:lvlJc w:val="left"/>
      <w:pPr>
        <w:tabs>
          <w:tab w:val="num" w:pos="534"/>
        </w:tabs>
        <w:ind w:left="534" w:hanging="390"/>
      </w:pPr>
      <w:rPr>
        <w:rFonts w:hint="default"/>
      </w:rPr>
    </w:lvl>
    <w:lvl w:ilvl="1" w:tplc="6C462270">
      <w:start w:val="1"/>
      <w:numFmt w:val="lowerLetter"/>
      <w:lvlText w:val="%2."/>
      <w:lvlJc w:val="left"/>
      <w:pPr>
        <w:tabs>
          <w:tab w:val="num" w:pos="1224"/>
        </w:tabs>
        <w:ind w:left="1224" w:hanging="360"/>
      </w:pPr>
    </w:lvl>
    <w:lvl w:ilvl="2" w:tplc="A4FE48B2">
      <w:start w:val="1"/>
      <w:numFmt w:val="lowerRoman"/>
      <w:lvlText w:val="%3."/>
      <w:lvlJc w:val="right"/>
      <w:pPr>
        <w:tabs>
          <w:tab w:val="num" w:pos="1944"/>
        </w:tabs>
        <w:ind w:left="1944" w:hanging="180"/>
      </w:pPr>
    </w:lvl>
    <w:lvl w:ilvl="3" w:tplc="593A8482">
      <w:start w:val="1"/>
      <w:numFmt w:val="decimal"/>
      <w:lvlText w:val="%4."/>
      <w:lvlJc w:val="left"/>
      <w:pPr>
        <w:tabs>
          <w:tab w:val="num" w:pos="2664"/>
        </w:tabs>
        <w:ind w:left="2664" w:hanging="360"/>
      </w:pPr>
    </w:lvl>
    <w:lvl w:ilvl="4" w:tplc="E3D065F0">
      <w:start w:val="1"/>
      <w:numFmt w:val="lowerLetter"/>
      <w:lvlText w:val="%5."/>
      <w:lvlJc w:val="left"/>
      <w:pPr>
        <w:tabs>
          <w:tab w:val="num" w:pos="3384"/>
        </w:tabs>
        <w:ind w:left="3384" w:hanging="360"/>
      </w:pPr>
    </w:lvl>
    <w:lvl w:ilvl="5" w:tplc="12048B7C">
      <w:start w:val="1"/>
      <w:numFmt w:val="lowerRoman"/>
      <w:lvlText w:val="%6."/>
      <w:lvlJc w:val="right"/>
      <w:pPr>
        <w:tabs>
          <w:tab w:val="num" w:pos="4104"/>
        </w:tabs>
        <w:ind w:left="4104" w:hanging="180"/>
      </w:pPr>
    </w:lvl>
    <w:lvl w:ilvl="6" w:tplc="A442F12C">
      <w:start w:val="1"/>
      <w:numFmt w:val="decimal"/>
      <w:lvlText w:val="%7."/>
      <w:lvlJc w:val="left"/>
      <w:pPr>
        <w:tabs>
          <w:tab w:val="num" w:pos="4824"/>
        </w:tabs>
        <w:ind w:left="4824" w:hanging="360"/>
      </w:pPr>
    </w:lvl>
    <w:lvl w:ilvl="7" w:tplc="DF4C1C82">
      <w:start w:val="1"/>
      <w:numFmt w:val="lowerLetter"/>
      <w:lvlText w:val="%8."/>
      <w:lvlJc w:val="left"/>
      <w:pPr>
        <w:tabs>
          <w:tab w:val="num" w:pos="5544"/>
        </w:tabs>
        <w:ind w:left="5544" w:hanging="360"/>
      </w:pPr>
    </w:lvl>
    <w:lvl w:ilvl="8" w:tplc="1486DE90">
      <w:start w:val="1"/>
      <w:numFmt w:val="lowerRoman"/>
      <w:lvlText w:val="%9."/>
      <w:lvlJc w:val="right"/>
      <w:pPr>
        <w:tabs>
          <w:tab w:val="num" w:pos="6264"/>
        </w:tabs>
        <w:ind w:left="6264" w:hanging="180"/>
      </w:pPr>
    </w:lvl>
  </w:abstractNum>
  <w:abstractNum w:abstractNumId="13" w15:restartNumberingAfterBreak="0">
    <w:nsid w:val="53007789"/>
    <w:multiLevelType w:val="singleLevel"/>
    <w:tmpl w:val="9488CE46"/>
    <w:lvl w:ilvl="0">
      <w:start w:val="1"/>
      <w:numFmt w:val="decimal"/>
      <w:lvlText w:val="%1."/>
      <w:lvlJc w:val="left"/>
      <w:pPr>
        <w:tabs>
          <w:tab w:val="num" w:pos="360"/>
        </w:tabs>
        <w:ind w:left="360" w:hanging="360"/>
      </w:pPr>
      <w:rPr>
        <w:b w:val="0"/>
        <w:sz w:val="22"/>
        <w:szCs w:val="22"/>
      </w:rPr>
    </w:lvl>
  </w:abstractNum>
  <w:num w:numId="1" w16cid:durableId="1514107517">
    <w:abstractNumId w:val="9"/>
  </w:num>
  <w:num w:numId="2" w16cid:durableId="594942591">
    <w:abstractNumId w:val="11"/>
  </w:num>
  <w:num w:numId="3" w16cid:durableId="603997590">
    <w:abstractNumId w:val="7"/>
  </w:num>
  <w:num w:numId="4" w16cid:durableId="1820950424">
    <w:abstractNumId w:val="3"/>
  </w:num>
  <w:num w:numId="5" w16cid:durableId="712584976">
    <w:abstractNumId w:val="6"/>
  </w:num>
  <w:num w:numId="6" w16cid:durableId="904679564">
    <w:abstractNumId w:val="5"/>
  </w:num>
  <w:num w:numId="7" w16cid:durableId="1639453137">
    <w:abstractNumId w:val="1"/>
  </w:num>
  <w:num w:numId="8" w16cid:durableId="347097399">
    <w:abstractNumId w:val="2"/>
  </w:num>
  <w:num w:numId="9" w16cid:durableId="545680242">
    <w:abstractNumId w:val="13"/>
  </w:num>
  <w:num w:numId="10" w16cid:durableId="1487626922">
    <w:abstractNumId w:val="4"/>
  </w:num>
  <w:num w:numId="11" w16cid:durableId="730464536">
    <w:abstractNumId w:val="12"/>
  </w:num>
  <w:num w:numId="12" w16cid:durableId="447168217">
    <w:abstractNumId w:val="0"/>
  </w:num>
  <w:num w:numId="13" w16cid:durableId="1735811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4780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914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4594113">
    <w:abstractNumId w:val="8"/>
  </w:num>
  <w:num w:numId="17" w16cid:durableId="31479652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yMLW0MLUwMTEAUko6SsGpxcWZ+XkgBYa1AK+2108sAAAA"/>
  </w:docVars>
  <w:rsids>
    <w:rsidRoot w:val="00856B53"/>
    <w:rsid w:val="00003B7B"/>
    <w:rsid w:val="0000572E"/>
    <w:rsid w:val="00010BB2"/>
    <w:rsid w:val="000114AD"/>
    <w:rsid w:val="00013FC5"/>
    <w:rsid w:val="00026098"/>
    <w:rsid w:val="00026C00"/>
    <w:rsid w:val="00030747"/>
    <w:rsid w:val="0003093A"/>
    <w:rsid w:val="0003213F"/>
    <w:rsid w:val="00032C7B"/>
    <w:rsid w:val="00035876"/>
    <w:rsid w:val="0004075A"/>
    <w:rsid w:val="00040B14"/>
    <w:rsid w:val="00041CE1"/>
    <w:rsid w:val="000438D9"/>
    <w:rsid w:val="00051962"/>
    <w:rsid w:val="0005242F"/>
    <w:rsid w:val="00053CB2"/>
    <w:rsid w:val="00057AE7"/>
    <w:rsid w:val="000604F1"/>
    <w:rsid w:val="00064B11"/>
    <w:rsid w:val="00064BC6"/>
    <w:rsid w:val="00064E4D"/>
    <w:rsid w:val="00065709"/>
    <w:rsid w:val="000718FD"/>
    <w:rsid w:val="00072624"/>
    <w:rsid w:val="00072BA3"/>
    <w:rsid w:val="00073487"/>
    <w:rsid w:val="00073550"/>
    <w:rsid w:val="0007648A"/>
    <w:rsid w:val="000776EC"/>
    <w:rsid w:val="000819FD"/>
    <w:rsid w:val="0008231C"/>
    <w:rsid w:val="00082711"/>
    <w:rsid w:val="00082948"/>
    <w:rsid w:val="00085AE7"/>
    <w:rsid w:val="00086B95"/>
    <w:rsid w:val="00086E92"/>
    <w:rsid w:val="000903FA"/>
    <w:rsid w:val="000A0DA0"/>
    <w:rsid w:val="000A6B54"/>
    <w:rsid w:val="000A7242"/>
    <w:rsid w:val="000B0DB0"/>
    <w:rsid w:val="000B322C"/>
    <w:rsid w:val="000B42D0"/>
    <w:rsid w:val="000B5E05"/>
    <w:rsid w:val="000C69A6"/>
    <w:rsid w:val="000C7631"/>
    <w:rsid w:val="000D1324"/>
    <w:rsid w:val="000D2F52"/>
    <w:rsid w:val="000D4C54"/>
    <w:rsid w:val="000D4DDE"/>
    <w:rsid w:val="000E03C0"/>
    <w:rsid w:val="000E2FC9"/>
    <w:rsid w:val="000F2983"/>
    <w:rsid w:val="00101928"/>
    <w:rsid w:val="00102DA0"/>
    <w:rsid w:val="0010557A"/>
    <w:rsid w:val="00106B63"/>
    <w:rsid w:val="0011412C"/>
    <w:rsid w:val="00115D46"/>
    <w:rsid w:val="00121931"/>
    <w:rsid w:val="001223AA"/>
    <w:rsid w:val="00122516"/>
    <w:rsid w:val="00123AFD"/>
    <w:rsid w:val="00125BB6"/>
    <w:rsid w:val="00126AB8"/>
    <w:rsid w:val="00127046"/>
    <w:rsid w:val="00127F0E"/>
    <w:rsid w:val="0013244C"/>
    <w:rsid w:val="00134B1C"/>
    <w:rsid w:val="00136811"/>
    <w:rsid w:val="00137260"/>
    <w:rsid w:val="00146179"/>
    <w:rsid w:val="001502EA"/>
    <w:rsid w:val="00153EA9"/>
    <w:rsid w:val="00155D2D"/>
    <w:rsid w:val="00162C6F"/>
    <w:rsid w:val="001650F5"/>
    <w:rsid w:val="00173126"/>
    <w:rsid w:val="00174110"/>
    <w:rsid w:val="00174B36"/>
    <w:rsid w:val="00183D76"/>
    <w:rsid w:val="001950D8"/>
    <w:rsid w:val="00195AD8"/>
    <w:rsid w:val="00195C73"/>
    <w:rsid w:val="00196841"/>
    <w:rsid w:val="00197216"/>
    <w:rsid w:val="001A0E9D"/>
    <w:rsid w:val="001A160D"/>
    <w:rsid w:val="001B2A6E"/>
    <w:rsid w:val="001C0713"/>
    <w:rsid w:val="001C138A"/>
    <w:rsid w:val="001C287C"/>
    <w:rsid w:val="001C3184"/>
    <w:rsid w:val="001D077C"/>
    <w:rsid w:val="001D2777"/>
    <w:rsid w:val="001D3047"/>
    <w:rsid w:val="001E072D"/>
    <w:rsid w:val="001E6402"/>
    <w:rsid w:val="001E698E"/>
    <w:rsid w:val="00200942"/>
    <w:rsid w:val="00203497"/>
    <w:rsid w:val="00204BC2"/>
    <w:rsid w:val="0021029F"/>
    <w:rsid w:val="0021191D"/>
    <w:rsid w:val="00211CC0"/>
    <w:rsid w:val="00211FE6"/>
    <w:rsid w:val="00215845"/>
    <w:rsid w:val="002158CD"/>
    <w:rsid w:val="00215CC9"/>
    <w:rsid w:val="002167D3"/>
    <w:rsid w:val="00220649"/>
    <w:rsid w:val="00224710"/>
    <w:rsid w:val="00224B44"/>
    <w:rsid w:val="00227927"/>
    <w:rsid w:val="00227DD9"/>
    <w:rsid w:val="00230CD4"/>
    <w:rsid w:val="0023231A"/>
    <w:rsid w:val="00233643"/>
    <w:rsid w:val="00235B49"/>
    <w:rsid w:val="00240FE6"/>
    <w:rsid w:val="002437D0"/>
    <w:rsid w:val="00246112"/>
    <w:rsid w:val="0025139A"/>
    <w:rsid w:val="00253966"/>
    <w:rsid w:val="00255815"/>
    <w:rsid w:val="00262855"/>
    <w:rsid w:val="00264235"/>
    <w:rsid w:val="0028120B"/>
    <w:rsid w:val="00287CCC"/>
    <w:rsid w:val="002935C3"/>
    <w:rsid w:val="00295077"/>
    <w:rsid w:val="002952BB"/>
    <w:rsid w:val="002A19DD"/>
    <w:rsid w:val="002A43D0"/>
    <w:rsid w:val="002A4C5B"/>
    <w:rsid w:val="002B4CCA"/>
    <w:rsid w:val="002C27D0"/>
    <w:rsid w:val="002C48DD"/>
    <w:rsid w:val="002C5769"/>
    <w:rsid w:val="002C7951"/>
    <w:rsid w:val="002D04D7"/>
    <w:rsid w:val="002D154C"/>
    <w:rsid w:val="002D2698"/>
    <w:rsid w:val="002D50D0"/>
    <w:rsid w:val="002D55AC"/>
    <w:rsid w:val="002E1E1A"/>
    <w:rsid w:val="002E2340"/>
    <w:rsid w:val="002E2BB0"/>
    <w:rsid w:val="002F04DD"/>
    <w:rsid w:val="002F48F2"/>
    <w:rsid w:val="002F603A"/>
    <w:rsid w:val="00304EC2"/>
    <w:rsid w:val="00306369"/>
    <w:rsid w:val="00310689"/>
    <w:rsid w:val="003129B3"/>
    <w:rsid w:val="00313F95"/>
    <w:rsid w:val="00320A40"/>
    <w:rsid w:val="0032389F"/>
    <w:rsid w:val="003250D0"/>
    <w:rsid w:val="00325A5B"/>
    <w:rsid w:val="0033548B"/>
    <w:rsid w:val="0033552D"/>
    <w:rsid w:val="00336430"/>
    <w:rsid w:val="00336C03"/>
    <w:rsid w:val="003566C9"/>
    <w:rsid w:val="00357226"/>
    <w:rsid w:val="00363727"/>
    <w:rsid w:val="003650C3"/>
    <w:rsid w:val="00365159"/>
    <w:rsid w:val="00365827"/>
    <w:rsid w:val="00367357"/>
    <w:rsid w:val="00370777"/>
    <w:rsid w:val="003719EA"/>
    <w:rsid w:val="00371ED4"/>
    <w:rsid w:val="0037439A"/>
    <w:rsid w:val="00376EFB"/>
    <w:rsid w:val="00380365"/>
    <w:rsid w:val="0038143E"/>
    <w:rsid w:val="0038661E"/>
    <w:rsid w:val="00387099"/>
    <w:rsid w:val="003940DE"/>
    <w:rsid w:val="003948CA"/>
    <w:rsid w:val="00394A59"/>
    <w:rsid w:val="00395027"/>
    <w:rsid w:val="0039704E"/>
    <w:rsid w:val="0039732F"/>
    <w:rsid w:val="003A1343"/>
    <w:rsid w:val="003B2807"/>
    <w:rsid w:val="003B7788"/>
    <w:rsid w:val="003C0738"/>
    <w:rsid w:val="003C4C0D"/>
    <w:rsid w:val="003C73C5"/>
    <w:rsid w:val="003E0769"/>
    <w:rsid w:val="003E4E44"/>
    <w:rsid w:val="003E700A"/>
    <w:rsid w:val="003F02A7"/>
    <w:rsid w:val="003F1A54"/>
    <w:rsid w:val="003F54DD"/>
    <w:rsid w:val="003F74F7"/>
    <w:rsid w:val="00400EFF"/>
    <w:rsid w:val="0040183B"/>
    <w:rsid w:val="00402063"/>
    <w:rsid w:val="004079F0"/>
    <w:rsid w:val="0041091F"/>
    <w:rsid w:val="00412B82"/>
    <w:rsid w:val="00413636"/>
    <w:rsid w:val="0042324C"/>
    <w:rsid w:val="0042399E"/>
    <w:rsid w:val="004249D0"/>
    <w:rsid w:val="0042546D"/>
    <w:rsid w:val="00431162"/>
    <w:rsid w:val="004315E5"/>
    <w:rsid w:val="004361B7"/>
    <w:rsid w:val="00437C1A"/>
    <w:rsid w:val="0044091E"/>
    <w:rsid w:val="004429E4"/>
    <w:rsid w:val="0044347E"/>
    <w:rsid w:val="004461BF"/>
    <w:rsid w:val="0045043D"/>
    <w:rsid w:val="00450A6B"/>
    <w:rsid w:val="00453E75"/>
    <w:rsid w:val="004550D4"/>
    <w:rsid w:val="00455C5A"/>
    <w:rsid w:val="00456AAA"/>
    <w:rsid w:val="00462472"/>
    <w:rsid w:val="004627A3"/>
    <w:rsid w:val="00465AA6"/>
    <w:rsid w:val="004673C8"/>
    <w:rsid w:val="00470B97"/>
    <w:rsid w:val="00474781"/>
    <w:rsid w:val="004811DC"/>
    <w:rsid w:val="00481244"/>
    <w:rsid w:val="004814E3"/>
    <w:rsid w:val="00483BAC"/>
    <w:rsid w:val="00491DF5"/>
    <w:rsid w:val="00494472"/>
    <w:rsid w:val="004A31B5"/>
    <w:rsid w:val="004A626F"/>
    <w:rsid w:val="004A6A7B"/>
    <w:rsid w:val="004A6B60"/>
    <w:rsid w:val="004B5258"/>
    <w:rsid w:val="004B7222"/>
    <w:rsid w:val="004B7FF7"/>
    <w:rsid w:val="004C0006"/>
    <w:rsid w:val="004C0221"/>
    <w:rsid w:val="004C49E0"/>
    <w:rsid w:val="004C79B4"/>
    <w:rsid w:val="004C7F72"/>
    <w:rsid w:val="004D4663"/>
    <w:rsid w:val="004F12EB"/>
    <w:rsid w:val="004F3111"/>
    <w:rsid w:val="004F444E"/>
    <w:rsid w:val="004F5FD1"/>
    <w:rsid w:val="00500358"/>
    <w:rsid w:val="00501602"/>
    <w:rsid w:val="005036F0"/>
    <w:rsid w:val="005044F4"/>
    <w:rsid w:val="0051225B"/>
    <w:rsid w:val="005138C7"/>
    <w:rsid w:val="005160D9"/>
    <w:rsid w:val="00523C52"/>
    <w:rsid w:val="00532005"/>
    <w:rsid w:val="00533D38"/>
    <w:rsid w:val="005344DB"/>
    <w:rsid w:val="005406A2"/>
    <w:rsid w:val="00540816"/>
    <w:rsid w:val="00540E75"/>
    <w:rsid w:val="00542641"/>
    <w:rsid w:val="00542857"/>
    <w:rsid w:val="00542A5A"/>
    <w:rsid w:val="005434BE"/>
    <w:rsid w:val="00544450"/>
    <w:rsid w:val="0054702D"/>
    <w:rsid w:val="005534C2"/>
    <w:rsid w:val="00556B19"/>
    <w:rsid w:val="00567938"/>
    <w:rsid w:val="00570CA3"/>
    <w:rsid w:val="00571086"/>
    <w:rsid w:val="00571C34"/>
    <w:rsid w:val="00571CF8"/>
    <w:rsid w:val="005834B9"/>
    <w:rsid w:val="00591105"/>
    <w:rsid w:val="00591270"/>
    <w:rsid w:val="00591767"/>
    <w:rsid w:val="005925AD"/>
    <w:rsid w:val="00592DE9"/>
    <w:rsid w:val="0059478A"/>
    <w:rsid w:val="005A0ED7"/>
    <w:rsid w:val="005A468C"/>
    <w:rsid w:val="005B2F03"/>
    <w:rsid w:val="005B3294"/>
    <w:rsid w:val="005B3879"/>
    <w:rsid w:val="005C123C"/>
    <w:rsid w:val="005D172E"/>
    <w:rsid w:val="005D26A4"/>
    <w:rsid w:val="005D340B"/>
    <w:rsid w:val="005E0DA7"/>
    <w:rsid w:val="005E101F"/>
    <w:rsid w:val="005E25C4"/>
    <w:rsid w:val="005E3554"/>
    <w:rsid w:val="005F0373"/>
    <w:rsid w:val="005F2312"/>
    <w:rsid w:val="005F2E9C"/>
    <w:rsid w:val="005F2FD7"/>
    <w:rsid w:val="005F4CE1"/>
    <w:rsid w:val="005F55F5"/>
    <w:rsid w:val="00602244"/>
    <w:rsid w:val="00602EB4"/>
    <w:rsid w:val="00602EF4"/>
    <w:rsid w:val="0060391D"/>
    <w:rsid w:val="00612071"/>
    <w:rsid w:val="006146F6"/>
    <w:rsid w:val="00620DAA"/>
    <w:rsid w:val="00625CF2"/>
    <w:rsid w:val="00626FCA"/>
    <w:rsid w:val="006274B8"/>
    <w:rsid w:val="00627CFA"/>
    <w:rsid w:val="006404AF"/>
    <w:rsid w:val="00641719"/>
    <w:rsid w:val="00642983"/>
    <w:rsid w:val="00651225"/>
    <w:rsid w:val="00654147"/>
    <w:rsid w:val="00655533"/>
    <w:rsid w:val="006578C6"/>
    <w:rsid w:val="006604B2"/>
    <w:rsid w:val="00664225"/>
    <w:rsid w:val="00666EA1"/>
    <w:rsid w:val="006806BF"/>
    <w:rsid w:val="00680819"/>
    <w:rsid w:val="00680F2E"/>
    <w:rsid w:val="006811B0"/>
    <w:rsid w:val="0068298D"/>
    <w:rsid w:val="00686276"/>
    <w:rsid w:val="00686DBA"/>
    <w:rsid w:val="00686FB6"/>
    <w:rsid w:val="00695A11"/>
    <w:rsid w:val="00695F99"/>
    <w:rsid w:val="006A0661"/>
    <w:rsid w:val="006A1C9B"/>
    <w:rsid w:val="006A24A5"/>
    <w:rsid w:val="006A3291"/>
    <w:rsid w:val="006A4CFA"/>
    <w:rsid w:val="006B15DA"/>
    <w:rsid w:val="006B4320"/>
    <w:rsid w:val="006B587E"/>
    <w:rsid w:val="006C3284"/>
    <w:rsid w:val="006C58E4"/>
    <w:rsid w:val="006C68B7"/>
    <w:rsid w:val="006E1C89"/>
    <w:rsid w:val="006E4754"/>
    <w:rsid w:val="006F0B9E"/>
    <w:rsid w:val="006F39CE"/>
    <w:rsid w:val="006F54F7"/>
    <w:rsid w:val="006F550A"/>
    <w:rsid w:val="006F7049"/>
    <w:rsid w:val="00701D6D"/>
    <w:rsid w:val="007035C1"/>
    <w:rsid w:val="007145D1"/>
    <w:rsid w:val="00715DA0"/>
    <w:rsid w:val="00722463"/>
    <w:rsid w:val="00732451"/>
    <w:rsid w:val="00733AED"/>
    <w:rsid w:val="00735C46"/>
    <w:rsid w:val="00737FA9"/>
    <w:rsid w:val="0074085A"/>
    <w:rsid w:val="007424B2"/>
    <w:rsid w:val="0074256D"/>
    <w:rsid w:val="0074323C"/>
    <w:rsid w:val="00745719"/>
    <w:rsid w:val="00753AD8"/>
    <w:rsid w:val="00753B49"/>
    <w:rsid w:val="007542FA"/>
    <w:rsid w:val="00754F0F"/>
    <w:rsid w:val="00755DFE"/>
    <w:rsid w:val="00757E04"/>
    <w:rsid w:val="00762873"/>
    <w:rsid w:val="007629D8"/>
    <w:rsid w:val="00764368"/>
    <w:rsid w:val="00770FEE"/>
    <w:rsid w:val="00772051"/>
    <w:rsid w:val="00772D7F"/>
    <w:rsid w:val="00781DC9"/>
    <w:rsid w:val="00784AFA"/>
    <w:rsid w:val="00786037"/>
    <w:rsid w:val="00793C90"/>
    <w:rsid w:val="007974A8"/>
    <w:rsid w:val="007A194F"/>
    <w:rsid w:val="007A23E8"/>
    <w:rsid w:val="007A2BF6"/>
    <w:rsid w:val="007A2E6C"/>
    <w:rsid w:val="007A435C"/>
    <w:rsid w:val="007A6BDC"/>
    <w:rsid w:val="007B0F9C"/>
    <w:rsid w:val="007B4D49"/>
    <w:rsid w:val="007B67B8"/>
    <w:rsid w:val="007C1694"/>
    <w:rsid w:val="007C4B50"/>
    <w:rsid w:val="007C4D7D"/>
    <w:rsid w:val="007C5064"/>
    <w:rsid w:val="007D2BF5"/>
    <w:rsid w:val="007D39B2"/>
    <w:rsid w:val="007D4581"/>
    <w:rsid w:val="007D4EB3"/>
    <w:rsid w:val="007D4FA5"/>
    <w:rsid w:val="007E4B93"/>
    <w:rsid w:val="007F637A"/>
    <w:rsid w:val="007F63FC"/>
    <w:rsid w:val="00801EDB"/>
    <w:rsid w:val="00804052"/>
    <w:rsid w:val="008078F9"/>
    <w:rsid w:val="008142B2"/>
    <w:rsid w:val="00814AAF"/>
    <w:rsid w:val="008153BD"/>
    <w:rsid w:val="00816691"/>
    <w:rsid w:val="00817B6C"/>
    <w:rsid w:val="00822551"/>
    <w:rsid w:val="00823480"/>
    <w:rsid w:val="008306B9"/>
    <w:rsid w:val="00830959"/>
    <w:rsid w:val="0083250E"/>
    <w:rsid w:val="0083278E"/>
    <w:rsid w:val="00834007"/>
    <w:rsid w:val="008365E2"/>
    <w:rsid w:val="00837B2E"/>
    <w:rsid w:val="00837BE9"/>
    <w:rsid w:val="008424FD"/>
    <w:rsid w:val="00844CBD"/>
    <w:rsid w:val="0084531A"/>
    <w:rsid w:val="00852833"/>
    <w:rsid w:val="00853DE3"/>
    <w:rsid w:val="00856B53"/>
    <w:rsid w:val="008667BC"/>
    <w:rsid w:val="00870F79"/>
    <w:rsid w:val="00872CF6"/>
    <w:rsid w:val="00877DA0"/>
    <w:rsid w:val="0088083B"/>
    <w:rsid w:val="00883B0F"/>
    <w:rsid w:val="008850AA"/>
    <w:rsid w:val="00890124"/>
    <w:rsid w:val="00893577"/>
    <w:rsid w:val="008962F6"/>
    <w:rsid w:val="008A1EF0"/>
    <w:rsid w:val="008A3B23"/>
    <w:rsid w:val="008A5E15"/>
    <w:rsid w:val="008B06C2"/>
    <w:rsid w:val="008B2E26"/>
    <w:rsid w:val="008B40CB"/>
    <w:rsid w:val="008B5D0A"/>
    <w:rsid w:val="008B6AA7"/>
    <w:rsid w:val="008C1F8A"/>
    <w:rsid w:val="008C51D9"/>
    <w:rsid w:val="008C63E4"/>
    <w:rsid w:val="008C7299"/>
    <w:rsid w:val="008D2A45"/>
    <w:rsid w:val="008D71D9"/>
    <w:rsid w:val="008D7C26"/>
    <w:rsid w:val="008E310F"/>
    <w:rsid w:val="008E6613"/>
    <w:rsid w:val="008F1339"/>
    <w:rsid w:val="008F6140"/>
    <w:rsid w:val="0090148E"/>
    <w:rsid w:val="00902608"/>
    <w:rsid w:val="00903CBF"/>
    <w:rsid w:val="00904231"/>
    <w:rsid w:val="009119DA"/>
    <w:rsid w:val="00911DD8"/>
    <w:rsid w:val="00915D8E"/>
    <w:rsid w:val="00922068"/>
    <w:rsid w:val="00922E0C"/>
    <w:rsid w:val="0092660C"/>
    <w:rsid w:val="00930DB9"/>
    <w:rsid w:val="00937177"/>
    <w:rsid w:val="0094797D"/>
    <w:rsid w:val="009546AB"/>
    <w:rsid w:val="009566ED"/>
    <w:rsid w:val="00960CD6"/>
    <w:rsid w:val="00963384"/>
    <w:rsid w:val="009639CC"/>
    <w:rsid w:val="00965652"/>
    <w:rsid w:val="00966229"/>
    <w:rsid w:val="00967082"/>
    <w:rsid w:val="00967F14"/>
    <w:rsid w:val="00970FE3"/>
    <w:rsid w:val="00990743"/>
    <w:rsid w:val="00990869"/>
    <w:rsid w:val="0099510D"/>
    <w:rsid w:val="009965C4"/>
    <w:rsid w:val="009A10B9"/>
    <w:rsid w:val="009A682E"/>
    <w:rsid w:val="009B7A82"/>
    <w:rsid w:val="009C1E07"/>
    <w:rsid w:val="009C54CB"/>
    <w:rsid w:val="009C5D40"/>
    <w:rsid w:val="009C66CE"/>
    <w:rsid w:val="009D1C76"/>
    <w:rsid w:val="009D2F4A"/>
    <w:rsid w:val="009F595B"/>
    <w:rsid w:val="00A000DD"/>
    <w:rsid w:val="00A0078A"/>
    <w:rsid w:val="00A01A64"/>
    <w:rsid w:val="00A030A6"/>
    <w:rsid w:val="00A06838"/>
    <w:rsid w:val="00A20540"/>
    <w:rsid w:val="00A20ECB"/>
    <w:rsid w:val="00A237DB"/>
    <w:rsid w:val="00A244A5"/>
    <w:rsid w:val="00A24732"/>
    <w:rsid w:val="00A25444"/>
    <w:rsid w:val="00A26715"/>
    <w:rsid w:val="00A339EE"/>
    <w:rsid w:val="00A3435B"/>
    <w:rsid w:val="00A34A0D"/>
    <w:rsid w:val="00A36816"/>
    <w:rsid w:val="00A37761"/>
    <w:rsid w:val="00A40B26"/>
    <w:rsid w:val="00A45152"/>
    <w:rsid w:val="00A458F5"/>
    <w:rsid w:val="00A50A1D"/>
    <w:rsid w:val="00A5103D"/>
    <w:rsid w:val="00A630AA"/>
    <w:rsid w:val="00A63718"/>
    <w:rsid w:val="00A66A49"/>
    <w:rsid w:val="00A66BEB"/>
    <w:rsid w:val="00A67EEA"/>
    <w:rsid w:val="00A71BFB"/>
    <w:rsid w:val="00A735E9"/>
    <w:rsid w:val="00A77008"/>
    <w:rsid w:val="00A77F58"/>
    <w:rsid w:val="00A82D37"/>
    <w:rsid w:val="00A85025"/>
    <w:rsid w:val="00A86F8F"/>
    <w:rsid w:val="00A9043B"/>
    <w:rsid w:val="00A93614"/>
    <w:rsid w:val="00A940B2"/>
    <w:rsid w:val="00AA1DF4"/>
    <w:rsid w:val="00AA243B"/>
    <w:rsid w:val="00AA6188"/>
    <w:rsid w:val="00AC02B8"/>
    <w:rsid w:val="00AC034C"/>
    <w:rsid w:val="00AC66EC"/>
    <w:rsid w:val="00AD1391"/>
    <w:rsid w:val="00AD78BC"/>
    <w:rsid w:val="00AE758F"/>
    <w:rsid w:val="00AF0522"/>
    <w:rsid w:val="00B00D5B"/>
    <w:rsid w:val="00B0784C"/>
    <w:rsid w:val="00B1226B"/>
    <w:rsid w:val="00B17073"/>
    <w:rsid w:val="00B20D28"/>
    <w:rsid w:val="00B221B5"/>
    <w:rsid w:val="00B23093"/>
    <w:rsid w:val="00B24D82"/>
    <w:rsid w:val="00B306E3"/>
    <w:rsid w:val="00B30C90"/>
    <w:rsid w:val="00B32D70"/>
    <w:rsid w:val="00B40A4C"/>
    <w:rsid w:val="00B50413"/>
    <w:rsid w:val="00B50B8D"/>
    <w:rsid w:val="00B57FC6"/>
    <w:rsid w:val="00B62837"/>
    <w:rsid w:val="00B630E2"/>
    <w:rsid w:val="00B644C8"/>
    <w:rsid w:val="00B66E54"/>
    <w:rsid w:val="00B75378"/>
    <w:rsid w:val="00B824FD"/>
    <w:rsid w:val="00B95136"/>
    <w:rsid w:val="00B97684"/>
    <w:rsid w:val="00BA0D57"/>
    <w:rsid w:val="00BA5D19"/>
    <w:rsid w:val="00BB011C"/>
    <w:rsid w:val="00BB36D0"/>
    <w:rsid w:val="00BB408B"/>
    <w:rsid w:val="00BB43E9"/>
    <w:rsid w:val="00BC564F"/>
    <w:rsid w:val="00BD187B"/>
    <w:rsid w:val="00BD4E0A"/>
    <w:rsid w:val="00BD75F9"/>
    <w:rsid w:val="00BD7B31"/>
    <w:rsid w:val="00BE03D5"/>
    <w:rsid w:val="00BF01FE"/>
    <w:rsid w:val="00BF3718"/>
    <w:rsid w:val="00BF62A6"/>
    <w:rsid w:val="00BF68B6"/>
    <w:rsid w:val="00BF7BA9"/>
    <w:rsid w:val="00C0148E"/>
    <w:rsid w:val="00C04A9F"/>
    <w:rsid w:val="00C053A1"/>
    <w:rsid w:val="00C1571A"/>
    <w:rsid w:val="00C24315"/>
    <w:rsid w:val="00C24B81"/>
    <w:rsid w:val="00C251AC"/>
    <w:rsid w:val="00C2648F"/>
    <w:rsid w:val="00C27844"/>
    <w:rsid w:val="00C36139"/>
    <w:rsid w:val="00C41159"/>
    <w:rsid w:val="00C43B5D"/>
    <w:rsid w:val="00C44C11"/>
    <w:rsid w:val="00C45A15"/>
    <w:rsid w:val="00C559EB"/>
    <w:rsid w:val="00C56C94"/>
    <w:rsid w:val="00C578A4"/>
    <w:rsid w:val="00C61BEF"/>
    <w:rsid w:val="00C62C52"/>
    <w:rsid w:val="00C65D6B"/>
    <w:rsid w:val="00C863AD"/>
    <w:rsid w:val="00C929BB"/>
    <w:rsid w:val="00C94007"/>
    <w:rsid w:val="00C9435E"/>
    <w:rsid w:val="00C972DA"/>
    <w:rsid w:val="00CA50A7"/>
    <w:rsid w:val="00CA7C32"/>
    <w:rsid w:val="00CB005E"/>
    <w:rsid w:val="00CB159B"/>
    <w:rsid w:val="00CB41B8"/>
    <w:rsid w:val="00CB5905"/>
    <w:rsid w:val="00CB5E92"/>
    <w:rsid w:val="00CB62CE"/>
    <w:rsid w:val="00CC0497"/>
    <w:rsid w:val="00CC0BCE"/>
    <w:rsid w:val="00CC212A"/>
    <w:rsid w:val="00CC34C1"/>
    <w:rsid w:val="00CC5FD9"/>
    <w:rsid w:val="00CC650F"/>
    <w:rsid w:val="00CD0B9D"/>
    <w:rsid w:val="00CD4E83"/>
    <w:rsid w:val="00CD65D5"/>
    <w:rsid w:val="00CE3EA1"/>
    <w:rsid w:val="00CE3FAD"/>
    <w:rsid w:val="00CE7508"/>
    <w:rsid w:val="00CF04B0"/>
    <w:rsid w:val="00CF198F"/>
    <w:rsid w:val="00CF26EF"/>
    <w:rsid w:val="00CF2D32"/>
    <w:rsid w:val="00D010D2"/>
    <w:rsid w:val="00D0322A"/>
    <w:rsid w:val="00D07C7A"/>
    <w:rsid w:val="00D1076F"/>
    <w:rsid w:val="00D1085A"/>
    <w:rsid w:val="00D133FD"/>
    <w:rsid w:val="00D15EC8"/>
    <w:rsid w:val="00D22B16"/>
    <w:rsid w:val="00D22F05"/>
    <w:rsid w:val="00D24C2A"/>
    <w:rsid w:val="00D33768"/>
    <w:rsid w:val="00D366D0"/>
    <w:rsid w:val="00D41B45"/>
    <w:rsid w:val="00D44BD0"/>
    <w:rsid w:val="00D46B50"/>
    <w:rsid w:val="00D507C5"/>
    <w:rsid w:val="00D53FF1"/>
    <w:rsid w:val="00D54549"/>
    <w:rsid w:val="00D57B89"/>
    <w:rsid w:val="00D61544"/>
    <w:rsid w:val="00D62A47"/>
    <w:rsid w:val="00D665EA"/>
    <w:rsid w:val="00D75E8A"/>
    <w:rsid w:val="00D77314"/>
    <w:rsid w:val="00D802A8"/>
    <w:rsid w:val="00D80745"/>
    <w:rsid w:val="00D830E9"/>
    <w:rsid w:val="00D831A5"/>
    <w:rsid w:val="00D83E3D"/>
    <w:rsid w:val="00D8445B"/>
    <w:rsid w:val="00D93CC9"/>
    <w:rsid w:val="00D93D3C"/>
    <w:rsid w:val="00D978FB"/>
    <w:rsid w:val="00DA0280"/>
    <w:rsid w:val="00DA6B72"/>
    <w:rsid w:val="00DA7390"/>
    <w:rsid w:val="00DB0129"/>
    <w:rsid w:val="00DB2A55"/>
    <w:rsid w:val="00DB2CAD"/>
    <w:rsid w:val="00DB5652"/>
    <w:rsid w:val="00DB6102"/>
    <w:rsid w:val="00DC40EE"/>
    <w:rsid w:val="00DC5B02"/>
    <w:rsid w:val="00DC6B0E"/>
    <w:rsid w:val="00DC7C2A"/>
    <w:rsid w:val="00DF0D6A"/>
    <w:rsid w:val="00DF1A23"/>
    <w:rsid w:val="00DF3C38"/>
    <w:rsid w:val="00DF3C86"/>
    <w:rsid w:val="00DF4ACC"/>
    <w:rsid w:val="00E12535"/>
    <w:rsid w:val="00E1482F"/>
    <w:rsid w:val="00E15632"/>
    <w:rsid w:val="00E178BC"/>
    <w:rsid w:val="00E22B0E"/>
    <w:rsid w:val="00E22D03"/>
    <w:rsid w:val="00E24050"/>
    <w:rsid w:val="00E253FF"/>
    <w:rsid w:val="00E40FA7"/>
    <w:rsid w:val="00E41744"/>
    <w:rsid w:val="00E506C9"/>
    <w:rsid w:val="00E5091B"/>
    <w:rsid w:val="00E52B20"/>
    <w:rsid w:val="00E53615"/>
    <w:rsid w:val="00E55A5A"/>
    <w:rsid w:val="00E56382"/>
    <w:rsid w:val="00E600F7"/>
    <w:rsid w:val="00E602CB"/>
    <w:rsid w:val="00E647FA"/>
    <w:rsid w:val="00E67A18"/>
    <w:rsid w:val="00E70A99"/>
    <w:rsid w:val="00E70CFD"/>
    <w:rsid w:val="00E71DF0"/>
    <w:rsid w:val="00E72BDE"/>
    <w:rsid w:val="00E7362B"/>
    <w:rsid w:val="00E73922"/>
    <w:rsid w:val="00E7453A"/>
    <w:rsid w:val="00E75372"/>
    <w:rsid w:val="00E77E4E"/>
    <w:rsid w:val="00E80F73"/>
    <w:rsid w:val="00E823AF"/>
    <w:rsid w:val="00E833DA"/>
    <w:rsid w:val="00E84973"/>
    <w:rsid w:val="00EA00A4"/>
    <w:rsid w:val="00EA0921"/>
    <w:rsid w:val="00EA2572"/>
    <w:rsid w:val="00EA3680"/>
    <w:rsid w:val="00EA7F3F"/>
    <w:rsid w:val="00EB29E6"/>
    <w:rsid w:val="00EB43AE"/>
    <w:rsid w:val="00EC00A4"/>
    <w:rsid w:val="00EC2713"/>
    <w:rsid w:val="00EC712F"/>
    <w:rsid w:val="00ED4819"/>
    <w:rsid w:val="00ED492D"/>
    <w:rsid w:val="00ED5A43"/>
    <w:rsid w:val="00ED5B2E"/>
    <w:rsid w:val="00ED7A54"/>
    <w:rsid w:val="00EE13FE"/>
    <w:rsid w:val="00EE1482"/>
    <w:rsid w:val="00EE6750"/>
    <w:rsid w:val="00EE6BCA"/>
    <w:rsid w:val="00EE79AB"/>
    <w:rsid w:val="00EF2C66"/>
    <w:rsid w:val="00EF594D"/>
    <w:rsid w:val="00EF7832"/>
    <w:rsid w:val="00EF7C8F"/>
    <w:rsid w:val="00F05C65"/>
    <w:rsid w:val="00F068B7"/>
    <w:rsid w:val="00F1003C"/>
    <w:rsid w:val="00F10905"/>
    <w:rsid w:val="00F12092"/>
    <w:rsid w:val="00F151DD"/>
    <w:rsid w:val="00F167E2"/>
    <w:rsid w:val="00F176E3"/>
    <w:rsid w:val="00F21946"/>
    <w:rsid w:val="00F2676C"/>
    <w:rsid w:val="00F270CF"/>
    <w:rsid w:val="00F3154A"/>
    <w:rsid w:val="00F32652"/>
    <w:rsid w:val="00F3487F"/>
    <w:rsid w:val="00F43B9B"/>
    <w:rsid w:val="00F45003"/>
    <w:rsid w:val="00F463CB"/>
    <w:rsid w:val="00F5262B"/>
    <w:rsid w:val="00F52EFA"/>
    <w:rsid w:val="00F6177F"/>
    <w:rsid w:val="00F6445F"/>
    <w:rsid w:val="00F7358C"/>
    <w:rsid w:val="00F73D41"/>
    <w:rsid w:val="00F75A5A"/>
    <w:rsid w:val="00F766B0"/>
    <w:rsid w:val="00F771B5"/>
    <w:rsid w:val="00F773D8"/>
    <w:rsid w:val="00F7796C"/>
    <w:rsid w:val="00F80D96"/>
    <w:rsid w:val="00F900F1"/>
    <w:rsid w:val="00F93C9D"/>
    <w:rsid w:val="00F97BB5"/>
    <w:rsid w:val="00FA69D9"/>
    <w:rsid w:val="00FB0C6B"/>
    <w:rsid w:val="00FB29AA"/>
    <w:rsid w:val="00FB49E6"/>
    <w:rsid w:val="00FB73E6"/>
    <w:rsid w:val="00FB74FC"/>
    <w:rsid w:val="00FC05EF"/>
    <w:rsid w:val="00FC07E2"/>
    <w:rsid w:val="00FC2C3B"/>
    <w:rsid w:val="00FC6C05"/>
    <w:rsid w:val="00FC6E27"/>
    <w:rsid w:val="00FD538B"/>
    <w:rsid w:val="00FE30AC"/>
    <w:rsid w:val="00FE44A1"/>
    <w:rsid w:val="00FE5B78"/>
    <w:rsid w:val="00FE69EE"/>
    <w:rsid w:val="00FF1170"/>
    <w:rsid w:val="00FF12A0"/>
    <w:rsid w:val="00FF26CB"/>
    <w:rsid w:val="00FF7352"/>
    <w:rsid w:val="00FF7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B437"/>
  <w15:docId w15:val="{548E5732-260A-48F2-B606-656797C6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9"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ssessment_Normal"/>
    <w:rsid w:val="005F2E9C"/>
    <w:pPr>
      <w:spacing w:after="120" w:line="240" w:lineRule="auto"/>
    </w:pPr>
    <w:rPr>
      <w:rFonts w:ascii="Calibri" w:eastAsia="Times New Roman" w:hAnsi="Calibri" w:cs="Times New Roman"/>
      <w:sz w:val="20"/>
      <w:szCs w:val="20"/>
    </w:rPr>
  </w:style>
  <w:style w:type="paragraph" w:styleId="Heading1">
    <w:name w:val="heading 1"/>
    <w:basedOn w:val="Normal"/>
    <w:next w:val="Normal"/>
    <w:link w:val="Heading1Char"/>
    <w:uiPriority w:val="9"/>
    <w:semiHidden/>
    <w:rsid w:val="007145D1"/>
    <w:pPr>
      <w:keepNext/>
      <w:keepLines/>
      <w:numPr>
        <w:numId w:val="1"/>
      </w:numPr>
      <w:spacing w:before="480" w:after="240" w:line="276" w:lineRule="auto"/>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rsid w:val="007145D1"/>
    <w:pPr>
      <w:keepNext/>
      <w:keepLines/>
      <w:numPr>
        <w:ilvl w:val="1"/>
        <w:numId w:val="1"/>
      </w:numPr>
      <w:spacing w:before="180" w:after="0" w:line="276" w:lineRule="auto"/>
      <w:outlineLvl w:val="1"/>
    </w:pPr>
    <w:rPr>
      <w:rFonts w:eastAsiaTheme="majorEastAsia" w:cstheme="majorBidi"/>
      <w:b/>
      <w:bCs/>
      <w:sz w:val="24"/>
      <w:szCs w:val="26"/>
    </w:rPr>
  </w:style>
  <w:style w:type="paragraph" w:styleId="Heading3">
    <w:name w:val="heading 3"/>
    <w:basedOn w:val="Normal"/>
    <w:next w:val="Normal"/>
    <w:link w:val="Heading3Char"/>
    <w:uiPriority w:val="9"/>
    <w:semiHidden/>
    <w:rsid w:val="007145D1"/>
    <w:pPr>
      <w:keepNext/>
      <w:keepLines/>
      <w:numPr>
        <w:ilvl w:val="2"/>
        <w:numId w:val="1"/>
      </w:numPr>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rsid w:val="007145D1"/>
    <w:pPr>
      <w:keepNext/>
      <w:keepLines/>
      <w:numPr>
        <w:ilvl w:val="3"/>
        <w:numId w:val="1"/>
      </w:numPr>
      <w:spacing w:before="200" w:after="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rsid w:val="007145D1"/>
    <w:pPr>
      <w:keepNext/>
      <w:keepLines/>
      <w:numPr>
        <w:ilvl w:val="4"/>
        <w:numId w:val="1"/>
      </w:numPr>
      <w:spacing w:before="200" w:after="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qFormat/>
    <w:rsid w:val="007145D1"/>
    <w:pPr>
      <w:keepNext/>
      <w:keepLines/>
      <w:numPr>
        <w:ilvl w:val="5"/>
        <w:numId w:val="1"/>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qFormat/>
    <w:rsid w:val="007145D1"/>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7145D1"/>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7145D1"/>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145D1"/>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45D1"/>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semiHidden/>
    <w:rsid w:val="007145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145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145D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145D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145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45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45D1"/>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semiHidden/>
    <w:unhideWhenUsed/>
    <w:rsid w:val="007145D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semiHidden/>
    <w:rsid w:val="007145D1"/>
    <w:rPr>
      <w:rFonts w:eastAsiaTheme="minorEastAsia"/>
      <w:lang w:val="en-US" w:eastAsia="ja-JP"/>
    </w:rPr>
  </w:style>
  <w:style w:type="paragraph" w:styleId="BalloonText">
    <w:name w:val="Balloon Text"/>
    <w:basedOn w:val="Normal"/>
    <w:link w:val="BalloonTextChar"/>
    <w:uiPriority w:val="99"/>
    <w:semiHidden/>
    <w:unhideWhenUsed/>
    <w:rsid w:val="007145D1"/>
    <w:pPr>
      <w:spacing w:before="180" w:after="0" w:line="276"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145D1"/>
    <w:rPr>
      <w:rFonts w:ascii="Tahoma" w:hAnsi="Tahoma" w:cs="Tahoma"/>
      <w:sz w:val="16"/>
      <w:szCs w:val="16"/>
    </w:rPr>
  </w:style>
  <w:style w:type="paragraph" w:styleId="Header">
    <w:name w:val="header"/>
    <w:basedOn w:val="Normal"/>
    <w:link w:val="HeaderChar"/>
    <w:uiPriority w:val="9"/>
    <w:unhideWhenUsed/>
    <w:rsid w:val="007145D1"/>
    <w:pPr>
      <w:tabs>
        <w:tab w:val="center" w:pos="4513"/>
        <w:tab w:val="right" w:pos="9026"/>
      </w:tabs>
      <w:spacing w:after="0"/>
    </w:pPr>
    <w:rPr>
      <w:rFonts w:eastAsiaTheme="minorHAnsi" w:cstheme="minorBidi"/>
      <w:color w:val="595959" w:themeColor="text1" w:themeTint="A6"/>
      <w:sz w:val="22"/>
      <w:szCs w:val="22"/>
    </w:rPr>
  </w:style>
  <w:style w:type="character" w:customStyle="1" w:styleId="HeaderChar">
    <w:name w:val="Header Char"/>
    <w:basedOn w:val="DefaultParagraphFont"/>
    <w:link w:val="Header"/>
    <w:uiPriority w:val="9"/>
    <w:rsid w:val="007145D1"/>
    <w:rPr>
      <w:rFonts w:ascii="Calibri" w:hAnsi="Calibri"/>
      <w:color w:val="595959" w:themeColor="text1" w:themeTint="A6"/>
    </w:rPr>
  </w:style>
  <w:style w:type="paragraph" w:styleId="Footer">
    <w:name w:val="footer"/>
    <w:basedOn w:val="Normal"/>
    <w:link w:val="FooterChar"/>
    <w:uiPriority w:val="99"/>
    <w:unhideWhenUsed/>
    <w:rsid w:val="007145D1"/>
    <w:pPr>
      <w:pBdr>
        <w:top w:val="single" w:sz="12" w:space="1" w:color="A6A6A6"/>
      </w:pBdr>
      <w:tabs>
        <w:tab w:val="center" w:pos="4513"/>
        <w:tab w:val="right" w:pos="9026"/>
      </w:tabs>
      <w:spacing w:after="0"/>
      <w:jc w:val="center"/>
    </w:pPr>
    <w:rPr>
      <w:rFonts w:eastAsiaTheme="minorHAnsi" w:cstheme="minorHAnsi"/>
      <w:color w:val="595959"/>
    </w:rPr>
  </w:style>
  <w:style w:type="character" w:customStyle="1" w:styleId="FooterChar">
    <w:name w:val="Footer Char"/>
    <w:basedOn w:val="DefaultParagraphFont"/>
    <w:link w:val="Footer"/>
    <w:uiPriority w:val="99"/>
    <w:rsid w:val="007145D1"/>
    <w:rPr>
      <w:rFonts w:ascii="Calibri" w:hAnsi="Calibri" w:cstheme="minorHAnsi"/>
      <w:color w:val="595959"/>
      <w:sz w:val="20"/>
      <w:szCs w:val="20"/>
    </w:rPr>
  </w:style>
  <w:style w:type="paragraph" w:customStyle="1" w:styleId="ReportClientDetails">
    <w:name w:val="Report Client Details"/>
    <w:basedOn w:val="NCLTableText"/>
    <w:uiPriority w:val="3"/>
    <w:rsid w:val="007145D1"/>
    <w:rPr>
      <w:color w:val="595959" w:themeColor="text1" w:themeTint="A6"/>
    </w:rPr>
  </w:style>
  <w:style w:type="table" w:styleId="TableGrid">
    <w:name w:val="Table Grid"/>
    <w:basedOn w:val="TableNormal"/>
    <w:uiPriority w:val="59"/>
    <w:rsid w:val="0071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urfulGridAccent1">
    <w:name w:val="Colorful Grid Accent 1"/>
    <w:basedOn w:val="TableNormal"/>
    <w:uiPriority w:val="73"/>
    <w:rsid w:val="007145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OCHeading">
    <w:name w:val="TOC Heading"/>
    <w:basedOn w:val="Heading1"/>
    <w:next w:val="Normal"/>
    <w:uiPriority w:val="39"/>
    <w:unhideWhenUsed/>
    <w:qFormat/>
    <w:rsid w:val="007145D1"/>
    <w:pPr>
      <w:numPr>
        <w:numId w:val="0"/>
      </w:numPr>
      <w:outlineLvl w:val="9"/>
    </w:pPr>
    <w:rPr>
      <w:lang w:eastAsia="ja-JP"/>
    </w:rPr>
  </w:style>
  <w:style w:type="paragraph" w:styleId="TOC1">
    <w:name w:val="toc 1"/>
    <w:basedOn w:val="NCLBodyText"/>
    <w:next w:val="NCLBodyText"/>
    <w:uiPriority w:val="39"/>
    <w:rsid w:val="007145D1"/>
    <w:pPr>
      <w:spacing w:after="60"/>
    </w:pPr>
  </w:style>
  <w:style w:type="paragraph" w:styleId="TOC3">
    <w:name w:val="toc 3"/>
    <w:basedOn w:val="Normal"/>
    <w:next w:val="NCLBodyText"/>
    <w:uiPriority w:val="39"/>
    <w:rsid w:val="007145D1"/>
    <w:pPr>
      <w:spacing w:before="60" w:after="60"/>
      <w:ind w:left="442"/>
    </w:pPr>
    <w:rPr>
      <w:rFonts w:eastAsiaTheme="minorHAnsi" w:cstheme="minorBidi"/>
      <w:sz w:val="22"/>
      <w:szCs w:val="22"/>
    </w:rPr>
  </w:style>
  <w:style w:type="character" w:styleId="Hyperlink">
    <w:name w:val="Hyperlink"/>
    <w:basedOn w:val="DefaultParagraphFont"/>
    <w:uiPriority w:val="99"/>
    <w:unhideWhenUsed/>
    <w:rsid w:val="007145D1"/>
    <w:rPr>
      <w:color w:val="0000FF" w:themeColor="hyperlink"/>
      <w:u w:val="single"/>
    </w:rPr>
  </w:style>
  <w:style w:type="table" w:styleId="MediumList2-Accent1">
    <w:name w:val="Medium List 2 Accent 1"/>
    <w:basedOn w:val="TableNormal"/>
    <w:uiPriority w:val="66"/>
    <w:rsid w:val="007145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Text">
    <w:name w:val="annotation text"/>
    <w:basedOn w:val="Normal"/>
    <w:link w:val="CommentTextChar"/>
    <w:unhideWhenUsed/>
    <w:rsid w:val="007145D1"/>
    <w:pPr>
      <w:spacing w:before="180" w:after="0" w:line="276" w:lineRule="auto"/>
    </w:pPr>
    <w:rPr>
      <w:rFonts w:eastAsiaTheme="minorHAnsi" w:cstheme="minorBidi"/>
    </w:rPr>
  </w:style>
  <w:style w:type="character" w:customStyle="1" w:styleId="CommentTextChar">
    <w:name w:val="Comment Text Char"/>
    <w:basedOn w:val="DefaultParagraphFont"/>
    <w:link w:val="CommentText"/>
    <w:rsid w:val="007145D1"/>
    <w:rPr>
      <w:rFonts w:ascii="Calibri" w:hAnsi="Calibri"/>
      <w:sz w:val="20"/>
      <w:szCs w:val="20"/>
    </w:rPr>
  </w:style>
  <w:style w:type="table" w:styleId="LightShading-Accent1">
    <w:name w:val="Light Shading Accent 1"/>
    <w:basedOn w:val="TableNormal"/>
    <w:uiPriority w:val="60"/>
    <w:rsid w:val="007145D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CLBodyText"/>
    <w:uiPriority w:val="39"/>
    <w:rsid w:val="007145D1"/>
    <w:pPr>
      <w:spacing w:before="60" w:after="60"/>
      <w:ind w:left="221"/>
    </w:pPr>
    <w:rPr>
      <w:rFonts w:eastAsiaTheme="minorHAnsi" w:cstheme="minorBidi"/>
      <w:sz w:val="22"/>
      <w:szCs w:val="22"/>
    </w:rPr>
  </w:style>
  <w:style w:type="character" w:styleId="CommentReference">
    <w:name w:val="annotation reference"/>
    <w:basedOn w:val="DefaultParagraphFont"/>
    <w:semiHidden/>
    <w:unhideWhenUsed/>
    <w:rsid w:val="007145D1"/>
    <w:rPr>
      <w:sz w:val="16"/>
      <w:szCs w:val="16"/>
    </w:rPr>
  </w:style>
  <w:style w:type="paragraph" w:styleId="Caption">
    <w:name w:val="caption"/>
    <w:basedOn w:val="Normal"/>
    <w:next w:val="NCLBodyText"/>
    <w:uiPriority w:val="8"/>
    <w:unhideWhenUsed/>
    <w:rsid w:val="007145D1"/>
    <w:pPr>
      <w:keepNext/>
      <w:spacing w:before="180" w:after="0" w:line="276" w:lineRule="auto"/>
    </w:pPr>
    <w:rPr>
      <w:rFonts w:eastAsiaTheme="minorHAnsi" w:cstheme="minorBidi"/>
      <w:b/>
      <w:bCs/>
      <w:color w:val="000000" w:themeColor="text1"/>
      <w:szCs w:val="18"/>
    </w:rPr>
  </w:style>
  <w:style w:type="paragraph" w:styleId="TOC4">
    <w:name w:val="toc 4"/>
    <w:basedOn w:val="Normal"/>
    <w:next w:val="NCLBodyText"/>
    <w:uiPriority w:val="39"/>
    <w:semiHidden/>
    <w:rsid w:val="007145D1"/>
    <w:pPr>
      <w:spacing w:before="180" w:after="100" w:line="276" w:lineRule="auto"/>
      <w:ind w:left="660"/>
    </w:pPr>
    <w:rPr>
      <w:rFonts w:eastAsiaTheme="minorEastAsia" w:cstheme="minorBidi"/>
      <w:sz w:val="22"/>
      <w:szCs w:val="22"/>
      <w:lang w:eastAsia="en-GB"/>
    </w:rPr>
  </w:style>
  <w:style w:type="paragraph" w:styleId="TOC5">
    <w:name w:val="toc 5"/>
    <w:basedOn w:val="Normal"/>
    <w:next w:val="NCLBodyText"/>
    <w:uiPriority w:val="39"/>
    <w:semiHidden/>
    <w:rsid w:val="007145D1"/>
    <w:pPr>
      <w:spacing w:before="180" w:after="100" w:line="276" w:lineRule="auto"/>
      <w:ind w:left="880"/>
    </w:pPr>
    <w:rPr>
      <w:rFonts w:eastAsiaTheme="minorEastAsia" w:cstheme="minorBidi"/>
      <w:sz w:val="22"/>
      <w:szCs w:val="22"/>
      <w:lang w:eastAsia="en-GB"/>
    </w:rPr>
  </w:style>
  <w:style w:type="paragraph" w:styleId="TOC6">
    <w:name w:val="toc 6"/>
    <w:basedOn w:val="Normal"/>
    <w:next w:val="Normal"/>
    <w:autoRedefine/>
    <w:uiPriority w:val="39"/>
    <w:semiHidden/>
    <w:rsid w:val="007145D1"/>
    <w:pPr>
      <w:spacing w:before="180" w:after="100" w:line="276" w:lineRule="auto"/>
      <w:ind w:left="1100"/>
    </w:pPr>
    <w:rPr>
      <w:rFonts w:eastAsiaTheme="minorEastAsia" w:cstheme="minorBidi"/>
      <w:sz w:val="22"/>
      <w:szCs w:val="22"/>
      <w:lang w:eastAsia="en-GB"/>
    </w:rPr>
  </w:style>
  <w:style w:type="paragraph" w:styleId="TOC7">
    <w:name w:val="toc 7"/>
    <w:basedOn w:val="Normal"/>
    <w:next w:val="Normal"/>
    <w:autoRedefine/>
    <w:uiPriority w:val="39"/>
    <w:semiHidden/>
    <w:rsid w:val="007145D1"/>
    <w:pPr>
      <w:spacing w:before="180" w:after="100" w:line="276" w:lineRule="auto"/>
      <w:ind w:left="1320"/>
    </w:pPr>
    <w:rPr>
      <w:rFonts w:eastAsiaTheme="minorEastAsia" w:cstheme="minorBidi"/>
      <w:sz w:val="22"/>
      <w:szCs w:val="22"/>
      <w:lang w:eastAsia="en-GB"/>
    </w:rPr>
  </w:style>
  <w:style w:type="paragraph" w:styleId="TOC8">
    <w:name w:val="toc 8"/>
    <w:basedOn w:val="Normal"/>
    <w:next w:val="Normal"/>
    <w:autoRedefine/>
    <w:uiPriority w:val="39"/>
    <w:semiHidden/>
    <w:rsid w:val="007145D1"/>
    <w:pPr>
      <w:spacing w:before="180" w:after="100" w:line="276" w:lineRule="auto"/>
      <w:ind w:left="1540"/>
    </w:pPr>
    <w:rPr>
      <w:rFonts w:eastAsiaTheme="minorEastAsia" w:cstheme="minorBidi"/>
      <w:sz w:val="22"/>
      <w:szCs w:val="22"/>
      <w:lang w:eastAsia="en-GB"/>
    </w:rPr>
  </w:style>
  <w:style w:type="paragraph" w:styleId="TOC9">
    <w:name w:val="toc 9"/>
    <w:basedOn w:val="Normal"/>
    <w:next w:val="Normal"/>
    <w:autoRedefine/>
    <w:uiPriority w:val="39"/>
    <w:semiHidden/>
    <w:rsid w:val="007145D1"/>
    <w:pPr>
      <w:spacing w:before="180" w:after="100" w:line="276" w:lineRule="auto"/>
      <w:ind w:left="1760"/>
    </w:pPr>
    <w:rPr>
      <w:rFonts w:eastAsiaTheme="minorEastAsia" w:cstheme="minorBidi"/>
      <w:sz w:val="22"/>
      <w:szCs w:val="22"/>
      <w:lang w:eastAsia="en-GB"/>
    </w:rPr>
  </w:style>
  <w:style w:type="paragraph" w:styleId="CommentSubject">
    <w:name w:val="annotation subject"/>
    <w:basedOn w:val="CommentText"/>
    <w:next w:val="CommentText"/>
    <w:link w:val="CommentSubjectChar"/>
    <w:uiPriority w:val="99"/>
    <w:semiHidden/>
    <w:unhideWhenUsed/>
    <w:rsid w:val="007145D1"/>
    <w:rPr>
      <w:b/>
      <w:bCs/>
    </w:rPr>
  </w:style>
  <w:style w:type="character" w:customStyle="1" w:styleId="CommentSubjectChar">
    <w:name w:val="Comment Subject Char"/>
    <w:basedOn w:val="CommentTextChar"/>
    <w:link w:val="CommentSubject"/>
    <w:uiPriority w:val="99"/>
    <w:semiHidden/>
    <w:rsid w:val="007145D1"/>
    <w:rPr>
      <w:rFonts w:ascii="Calibri" w:hAnsi="Calibri"/>
      <w:b/>
      <w:bCs/>
      <w:sz w:val="20"/>
      <w:szCs w:val="20"/>
    </w:rPr>
  </w:style>
  <w:style w:type="table" w:styleId="MediumShading1-Accent1">
    <w:name w:val="Medium Shading 1 Accent 1"/>
    <w:basedOn w:val="TableNormal"/>
    <w:uiPriority w:val="63"/>
    <w:rsid w:val="007145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ableofFigures">
    <w:name w:val="table of figures"/>
    <w:basedOn w:val="Normal"/>
    <w:next w:val="NCLBodyText"/>
    <w:uiPriority w:val="99"/>
    <w:unhideWhenUsed/>
    <w:rsid w:val="007145D1"/>
    <w:pPr>
      <w:spacing w:before="60" w:after="60"/>
    </w:pPr>
    <w:rPr>
      <w:rFonts w:eastAsiaTheme="minorHAnsi" w:cstheme="minorBidi"/>
      <w:sz w:val="22"/>
      <w:szCs w:val="22"/>
    </w:rPr>
  </w:style>
  <w:style w:type="paragraph" w:styleId="ListBullet">
    <w:name w:val="List Bullet"/>
    <w:basedOn w:val="NCLBodyText"/>
    <w:uiPriority w:val="1"/>
    <w:unhideWhenUsed/>
    <w:qFormat/>
    <w:rsid w:val="007145D1"/>
    <w:pPr>
      <w:numPr>
        <w:numId w:val="2"/>
      </w:numPr>
      <w:spacing w:before="0"/>
      <w:contextualSpacing/>
    </w:pPr>
  </w:style>
  <w:style w:type="paragraph" w:styleId="ListBullet2">
    <w:name w:val="List Bullet 2"/>
    <w:basedOn w:val="ListBullet"/>
    <w:uiPriority w:val="1"/>
    <w:unhideWhenUsed/>
    <w:rsid w:val="007145D1"/>
    <w:pPr>
      <w:numPr>
        <w:ilvl w:val="1"/>
      </w:numPr>
    </w:pPr>
  </w:style>
  <w:style w:type="paragraph" w:styleId="ListBullet3">
    <w:name w:val="List Bullet 3"/>
    <w:basedOn w:val="ListBullet"/>
    <w:uiPriority w:val="1"/>
    <w:unhideWhenUsed/>
    <w:rsid w:val="007145D1"/>
    <w:pPr>
      <w:numPr>
        <w:ilvl w:val="2"/>
      </w:numPr>
    </w:pPr>
  </w:style>
  <w:style w:type="paragraph" w:styleId="ListBullet4">
    <w:name w:val="List Bullet 4"/>
    <w:basedOn w:val="ListBullet"/>
    <w:uiPriority w:val="1"/>
    <w:unhideWhenUsed/>
    <w:rsid w:val="007145D1"/>
    <w:pPr>
      <w:numPr>
        <w:ilvl w:val="3"/>
      </w:numPr>
    </w:pPr>
  </w:style>
  <w:style w:type="paragraph" w:styleId="ListBullet5">
    <w:name w:val="List Bullet 5"/>
    <w:basedOn w:val="ListBullet"/>
    <w:uiPriority w:val="1"/>
    <w:unhideWhenUsed/>
    <w:rsid w:val="007145D1"/>
    <w:pPr>
      <w:numPr>
        <w:ilvl w:val="4"/>
      </w:numPr>
    </w:pPr>
  </w:style>
  <w:style w:type="paragraph" w:styleId="ListNumber">
    <w:name w:val="List Number"/>
    <w:basedOn w:val="Normal"/>
    <w:uiPriority w:val="1"/>
    <w:unhideWhenUsed/>
    <w:qFormat/>
    <w:rsid w:val="007145D1"/>
    <w:pPr>
      <w:numPr>
        <w:numId w:val="3"/>
      </w:numPr>
      <w:spacing w:after="0" w:line="276" w:lineRule="auto"/>
      <w:contextualSpacing/>
    </w:pPr>
    <w:rPr>
      <w:rFonts w:eastAsiaTheme="minorHAnsi" w:cstheme="minorBidi"/>
      <w:sz w:val="22"/>
      <w:szCs w:val="22"/>
    </w:rPr>
  </w:style>
  <w:style w:type="paragraph" w:styleId="ListNumber2">
    <w:name w:val="List Number 2"/>
    <w:basedOn w:val="Normal"/>
    <w:uiPriority w:val="1"/>
    <w:unhideWhenUsed/>
    <w:rsid w:val="007145D1"/>
    <w:pPr>
      <w:numPr>
        <w:ilvl w:val="1"/>
        <w:numId w:val="3"/>
      </w:numPr>
      <w:spacing w:after="0" w:line="276" w:lineRule="auto"/>
      <w:contextualSpacing/>
    </w:pPr>
    <w:rPr>
      <w:rFonts w:eastAsiaTheme="minorHAnsi" w:cstheme="minorBidi"/>
      <w:sz w:val="22"/>
      <w:szCs w:val="22"/>
    </w:rPr>
  </w:style>
  <w:style w:type="paragraph" w:styleId="ListNumber3">
    <w:name w:val="List Number 3"/>
    <w:basedOn w:val="Normal"/>
    <w:uiPriority w:val="1"/>
    <w:unhideWhenUsed/>
    <w:rsid w:val="007145D1"/>
    <w:pPr>
      <w:numPr>
        <w:ilvl w:val="2"/>
        <w:numId w:val="3"/>
      </w:numPr>
      <w:spacing w:after="0" w:line="276" w:lineRule="auto"/>
      <w:contextualSpacing/>
    </w:pPr>
    <w:rPr>
      <w:rFonts w:eastAsiaTheme="minorHAnsi" w:cstheme="minorBidi"/>
      <w:sz w:val="22"/>
      <w:szCs w:val="22"/>
    </w:rPr>
  </w:style>
  <w:style w:type="paragraph" w:customStyle="1" w:styleId="NCLBodyText">
    <w:name w:val="NCL Body Text"/>
    <w:basedOn w:val="Normal"/>
    <w:link w:val="NCLBodyTextChar"/>
    <w:qFormat/>
    <w:rsid w:val="00F6177F"/>
    <w:pPr>
      <w:spacing w:before="60" w:after="0"/>
      <w:jc w:val="both"/>
    </w:pPr>
    <w:rPr>
      <w:rFonts w:eastAsiaTheme="minorHAnsi" w:cs="Calibri"/>
      <w:sz w:val="22"/>
      <w:szCs w:val="22"/>
    </w:rPr>
  </w:style>
  <w:style w:type="character" w:customStyle="1" w:styleId="NCLBodyTextChar">
    <w:name w:val="NCL Body Text Char"/>
    <w:basedOn w:val="DefaultParagraphFont"/>
    <w:link w:val="NCLBodyText"/>
    <w:rsid w:val="00F6177F"/>
    <w:rPr>
      <w:rFonts w:ascii="Calibri" w:hAnsi="Calibri" w:cs="Calibri"/>
    </w:rPr>
  </w:style>
  <w:style w:type="paragraph" w:customStyle="1" w:styleId="NCLHeading1">
    <w:name w:val="NCL Heading 1"/>
    <w:basedOn w:val="Heading1"/>
    <w:next w:val="NCLBodyText"/>
    <w:link w:val="NCLHeading1Char"/>
    <w:qFormat/>
    <w:rsid w:val="00D46B50"/>
    <w:pPr>
      <w:numPr>
        <w:numId w:val="4"/>
      </w:numPr>
      <w:shd w:val="clear" w:color="auto" w:fill="548DD4" w:themeFill="text2" w:themeFillTint="99"/>
      <w:spacing w:before="240" w:after="120" w:line="240" w:lineRule="auto"/>
      <w:ind w:left="567" w:hanging="567"/>
    </w:pPr>
    <w:rPr>
      <w:color w:val="FFFFFF" w:themeColor="background1"/>
    </w:rPr>
  </w:style>
  <w:style w:type="character" w:customStyle="1" w:styleId="NCLHeading1Char">
    <w:name w:val="NCL Heading 1 Char"/>
    <w:basedOn w:val="Heading1Char"/>
    <w:link w:val="NCLHeading1"/>
    <w:rsid w:val="00D46B50"/>
    <w:rPr>
      <w:rFonts w:ascii="Calibri" w:eastAsiaTheme="majorEastAsia" w:hAnsi="Calibri" w:cstheme="majorBidi"/>
      <w:b/>
      <w:bCs/>
      <w:color w:val="FFFFFF" w:themeColor="background1"/>
      <w:sz w:val="28"/>
      <w:szCs w:val="28"/>
      <w:shd w:val="clear" w:color="auto" w:fill="548DD4" w:themeFill="text2" w:themeFillTint="99"/>
    </w:rPr>
  </w:style>
  <w:style w:type="paragraph" w:customStyle="1" w:styleId="NCLHeading2">
    <w:name w:val="NCL Heading 2"/>
    <w:basedOn w:val="Heading2"/>
    <w:next w:val="NCLBodyText"/>
    <w:link w:val="NCLHeading2Char"/>
    <w:qFormat/>
    <w:rsid w:val="007C4B50"/>
    <w:pPr>
      <w:numPr>
        <w:numId w:val="4"/>
      </w:numPr>
      <w:spacing w:before="120" w:after="60"/>
      <w:ind w:left="0" w:firstLine="0"/>
      <w:jc w:val="both"/>
    </w:pPr>
    <w:rPr>
      <w:color w:val="000000" w:themeColor="text1"/>
    </w:rPr>
  </w:style>
  <w:style w:type="character" w:customStyle="1" w:styleId="NCLHeading2Char">
    <w:name w:val="NCL Heading 2 Char"/>
    <w:basedOn w:val="Heading2Char"/>
    <w:link w:val="NCLHeading2"/>
    <w:rsid w:val="007C4B50"/>
    <w:rPr>
      <w:rFonts w:ascii="Calibri" w:eastAsiaTheme="majorEastAsia" w:hAnsi="Calibri" w:cstheme="majorBidi"/>
      <w:b/>
      <w:bCs/>
      <w:color w:val="000000" w:themeColor="text1"/>
      <w:sz w:val="24"/>
      <w:szCs w:val="26"/>
    </w:rPr>
  </w:style>
  <w:style w:type="paragraph" w:customStyle="1" w:styleId="NCLHeading3">
    <w:name w:val="NCL Heading 3"/>
    <w:basedOn w:val="Heading3"/>
    <w:next w:val="NCLBodyText"/>
    <w:link w:val="NCLHeading3Char"/>
    <w:qFormat/>
    <w:rsid w:val="007C4B50"/>
    <w:pPr>
      <w:numPr>
        <w:numId w:val="4"/>
      </w:numPr>
      <w:spacing w:before="120" w:after="60"/>
    </w:pPr>
    <w:rPr>
      <w:rFonts w:ascii="Calibri" w:hAnsi="Calibri"/>
      <w:b w:val="0"/>
      <w:color w:val="000000" w:themeColor="text1"/>
    </w:rPr>
  </w:style>
  <w:style w:type="character" w:customStyle="1" w:styleId="NCLHeading3Char">
    <w:name w:val="NCL Heading 3 Char"/>
    <w:basedOn w:val="Heading3Char"/>
    <w:link w:val="NCLHeading3"/>
    <w:rsid w:val="007C4B50"/>
    <w:rPr>
      <w:rFonts w:ascii="Calibri" w:eastAsiaTheme="majorEastAsia" w:hAnsi="Calibri" w:cstheme="majorBidi"/>
      <w:b w:val="0"/>
      <w:bCs/>
      <w:color w:val="000000" w:themeColor="text1"/>
    </w:rPr>
  </w:style>
  <w:style w:type="paragraph" w:customStyle="1" w:styleId="NCLSubsection">
    <w:name w:val="NCL Subsection"/>
    <w:basedOn w:val="Heading4"/>
    <w:next w:val="NCLBodyText"/>
    <w:link w:val="NCLSubsectionChar"/>
    <w:qFormat/>
    <w:rsid w:val="007C4B50"/>
    <w:pPr>
      <w:numPr>
        <w:ilvl w:val="0"/>
        <w:numId w:val="0"/>
      </w:numPr>
      <w:spacing w:before="120" w:after="60"/>
    </w:pPr>
    <w:rPr>
      <w:rFonts w:ascii="Calibri" w:hAnsi="Calibri"/>
      <w:b w:val="0"/>
      <w:color w:val="000000" w:themeColor="text1"/>
      <w:u w:val="single"/>
    </w:rPr>
  </w:style>
  <w:style w:type="character" w:customStyle="1" w:styleId="NCLSubsectionChar">
    <w:name w:val="NCL Subsection Char"/>
    <w:basedOn w:val="Heading4Char"/>
    <w:link w:val="NCLSubsection"/>
    <w:rsid w:val="007C4B50"/>
    <w:rPr>
      <w:rFonts w:ascii="Calibri" w:eastAsiaTheme="majorEastAsia" w:hAnsi="Calibri" w:cstheme="majorBidi"/>
      <w:b w:val="0"/>
      <w:bCs/>
      <w:i/>
      <w:iCs/>
      <w:color w:val="000000" w:themeColor="text1"/>
      <w:u w:val="single"/>
    </w:rPr>
  </w:style>
  <w:style w:type="paragraph" w:customStyle="1" w:styleId="NCLTableheading">
    <w:name w:val="NCL Table heading"/>
    <w:basedOn w:val="Heading5"/>
    <w:next w:val="NCLBodyText"/>
    <w:link w:val="NCLTableheadingChar"/>
    <w:qFormat/>
    <w:rsid w:val="007145D1"/>
    <w:pPr>
      <w:numPr>
        <w:numId w:val="4"/>
      </w:numPr>
      <w:spacing w:before="240" w:after="180"/>
    </w:pPr>
    <w:rPr>
      <w:rFonts w:ascii="Calibri" w:hAnsi="Calibri"/>
      <w:b/>
      <w:color w:val="000000"/>
    </w:rPr>
  </w:style>
  <w:style w:type="character" w:customStyle="1" w:styleId="NCLTableheadingChar">
    <w:name w:val="NCL Table heading Char"/>
    <w:basedOn w:val="Heading5Char"/>
    <w:link w:val="NCLTableheading"/>
    <w:rsid w:val="007145D1"/>
    <w:rPr>
      <w:rFonts w:ascii="Calibri" w:eastAsiaTheme="majorEastAsia" w:hAnsi="Calibri" w:cstheme="majorBidi"/>
      <w:b/>
      <w:color w:val="000000"/>
    </w:rPr>
  </w:style>
  <w:style w:type="numbering" w:customStyle="1" w:styleId="ReportHeadings">
    <w:name w:val="Report Headings"/>
    <w:uiPriority w:val="99"/>
    <w:rsid w:val="007145D1"/>
    <w:pPr>
      <w:numPr>
        <w:numId w:val="4"/>
      </w:numPr>
    </w:pPr>
  </w:style>
  <w:style w:type="paragraph" w:customStyle="1" w:styleId="ReportNonTOCHeading">
    <w:name w:val="Report NonTOC Heading"/>
    <w:basedOn w:val="NCLBodyText"/>
    <w:next w:val="NCLBodyText"/>
    <w:link w:val="ReportNonTOCHeadingChar"/>
    <w:rsid w:val="007145D1"/>
    <w:pPr>
      <w:keepNext/>
    </w:pPr>
    <w:rPr>
      <w:b/>
      <w:color w:val="17365D" w:themeColor="text2" w:themeShade="BF"/>
      <w:sz w:val="28"/>
    </w:rPr>
  </w:style>
  <w:style w:type="character" w:customStyle="1" w:styleId="ReportNonTOCHeadingChar">
    <w:name w:val="Report NonTOC Heading Char"/>
    <w:basedOn w:val="DefaultParagraphFont"/>
    <w:link w:val="ReportNonTOCHeading"/>
    <w:rsid w:val="007145D1"/>
    <w:rPr>
      <w:rFonts w:ascii="Calibri" w:hAnsi="Calibri" w:cs="Calibri"/>
      <w:b/>
      <w:color w:val="17365D" w:themeColor="text2" w:themeShade="BF"/>
      <w:sz w:val="28"/>
    </w:rPr>
  </w:style>
  <w:style w:type="paragraph" w:styleId="FootnoteText">
    <w:name w:val="footnote text"/>
    <w:basedOn w:val="Normal"/>
    <w:link w:val="FootnoteTextChar"/>
    <w:uiPriority w:val="99"/>
    <w:rsid w:val="007145D1"/>
    <w:pPr>
      <w:spacing w:before="180" w:after="0" w:line="276" w:lineRule="auto"/>
    </w:pPr>
    <w:rPr>
      <w:rFonts w:eastAsiaTheme="minorHAnsi" w:cstheme="minorBidi"/>
    </w:rPr>
  </w:style>
  <w:style w:type="character" w:customStyle="1" w:styleId="FootnoteTextChar">
    <w:name w:val="Footnote Text Char"/>
    <w:basedOn w:val="DefaultParagraphFont"/>
    <w:link w:val="FootnoteText"/>
    <w:uiPriority w:val="99"/>
    <w:rsid w:val="007145D1"/>
    <w:rPr>
      <w:rFonts w:ascii="Calibri" w:hAnsi="Calibri"/>
      <w:sz w:val="20"/>
      <w:szCs w:val="20"/>
    </w:rPr>
  </w:style>
  <w:style w:type="character" w:styleId="FootnoteReference">
    <w:name w:val="footnote reference"/>
    <w:basedOn w:val="DefaultParagraphFont"/>
    <w:uiPriority w:val="99"/>
    <w:rsid w:val="007145D1"/>
    <w:rPr>
      <w:vertAlign w:val="superscript"/>
    </w:rPr>
  </w:style>
  <w:style w:type="paragraph" w:styleId="BodyText">
    <w:name w:val="Body Text"/>
    <w:basedOn w:val="Normal"/>
    <w:link w:val="BodyTextChar"/>
    <w:uiPriority w:val="99"/>
    <w:unhideWhenUsed/>
    <w:rsid w:val="007145D1"/>
    <w:pPr>
      <w:spacing w:before="180" w:after="0" w:line="276" w:lineRule="auto"/>
    </w:pPr>
    <w:rPr>
      <w:rFonts w:eastAsiaTheme="minorHAnsi" w:cstheme="minorBidi"/>
      <w:sz w:val="22"/>
      <w:szCs w:val="22"/>
    </w:rPr>
  </w:style>
  <w:style w:type="character" w:customStyle="1" w:styleId="BodyTextChar">
    <w:name w:val="Body Text Char"/>
    <w:basedOn w:val="DefaultParagraphFont"/>
    <w:link w:val="BodyText"/>
    <w:uiPriority w:val="99"/>
    <w:rsid w:val="007145D1"/>
    <w:rPr>
      <w:rFonts w:ascii="Calibri" w:hAnsi="Calibri"/>
    </w:rPr>
  </w:style>
  <w:style w:type="table" w:customStyle="1" w:styleId="ReportSummaryBox">
    <w:name w:val="Report_Summary_Box"/>
    <w:basedOn w:val="TableNormal"/>
    <w:uiPriority w:val="99"/>
    <w:rsid w:val="007145D1"/>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BFBFBF" w:themeFill="background1" w:themeFillShade="BF"/>
    </w:tcPr>
  </w:style>
  <w:style w:type="paragraph" w:customStyle="1" w:styleId="NCLTableFootnote">
    <w:name w:val="NCL Table Footnote"/>
    <w:basedOn w:val="NCLBodyText"/>
    <w:next w:val="NCLBodyText"/>
    <w:link w:val="NCLTableFootnoteChar"/>
    <w:uiPriority w:val="3"/>
    <w:qFormat/>
    <w:rsid w:val="007145D1"/>
    <w:pPr>
      <w:spacing w:before="0" w:after="480"/>
      <w:contextualSpacing/>
    </w:pPr>
    <w:rPr>
      <w:sz w:val="18"/>
    </w:rPr>
  </w:style>
  <w:style w:type="character" w:customStyle="1" w:styleId="NCLTableFootnoteChar">
    <w:name w:val="NCL Table Footnote Char"/>
    <w:basedOn w:val="NCLBodyTextChar"/>
    <w:link w:val="NCLTableFootnote"/>
    <w:uiPriority w:val="3"/>
    <w:rsid w:val="007145D1"/>
    <w:rPr>
      <w:rFonts w:ascii="Calibri" w:hAnsi="Calibri" w:cs="Calibri"/>
      <w:sz w:val="18"/>
    </w:rPr>
  </w:style>
  <w:style w:type="paragraph" w:customStyle="1" w:styleId="ReportHeading6">
    <w:name w:val="Report Heading 6"/>
    <w:basedOn w:val="Heading6"/>
    <w:next w:val="NCLBodyText"/>
    <w:rsid w:val="007145D1"/>
    <w:pPr>
      <w:numPr>
        <w:numId w:val="4"/>
      </w:numPr>
      <w:spacing w:before="240" w:after="180"/>
    </w:pPr>
    <w:rPr>
      <w:rFonts w:ascii="Calibri" w:hAnsi="Calibri"/>
      <w:color w:val="1F497D" w:themeColor="text2"/>
    </w:rPr>
  </w:style>
  <w:style w:type="paragraph" w:styleId="Revision">
    <w:name w:val="Revision"/>
    <w:hidden/>
    <w:uiPriority w:val="99"/>
    <w:semiHidden/>
    <w:rsid w:val="00EE6750"/>
    <w:pPr>
      <w:spacing w:after="0" w:line="240" w:lineRule="auto"/>
    </w:pPr>
    <w:rPr>
      <w:rFonts w:ascii="Calibri" w:hAnsi="Calibri"/>
    </w:rPr>
  </w:style>
  <w:style w:type="paragraph" w:customStyle="1" w:styleId="ReportTag">
    <w:name w:val="Report Tag"/>
    <w:basedOn w:val="NCLBodyText"/>
    <w:uiPriority w:val="3"/>
    <w:rsid w:val="007145D1"/>
    <w:pPr>
      <w:spacing w:before="0"/>
      <w:jc w:val="right"/>
    </w:pPr>
    <w:rPr>
      <w:color w:val="595959" w:themeColor="text1" w:themeTint="A6"/>
      <w:sz w:val="72"/>
      <w:szCs w:val="72"/>
    </w:rPr>
  </w:style>
  <w:style w:type="paragraph" w:customStyle="1" w:styleId="ReportTitle">
    <w:name w:val="Report Title"/>
    <w:basedOn w:val="NCLBodyText"/>
    <w:uiPriority w:val="3"/>
    <w:rsid w:val="00A0078A"/>
    <w:pPr>
      <w:spacing w:before="0"/>
    </w:pPr>
    <w:rPr>
      <w:color w:val="17365D" w:themeColor="text2" w:themeShade="BF"/>
      <w:sz w:val="48"/>
      <w:szCs w:val="48"/>
    </w:rPr>
  </w:style>
  <w:style w:type="paragraph" w:customStyle="1" w:styleId="NCLTableText">
    <w:name w:val="NCL Table Text"/>
    <w:basedOn w:val="NCLBodyText"/>
    <w:uiPriority w:val="3"/>
    <w:qFormat/>
    <w:rsid w:val="007145D1"/>
    <w:pPr>
      <w:spacing w:after="60"/>
    </w:pPr>
    <w:rPr>
      <w:sz w:val="20"/>
    </w:rPr>
  </w:style>
  <w:style w:type="paragraph" w:customStyle="1" w:styleId="ReportFrontPageTitle">
    <w:name w:val="Report Front Page Title"/>
    <w:basedOn w:val="NCLBodyText"/>
    <w:uiPriority w:val="3"/>
    <w:rsid w:val="007145D1"/>
    <w:pPr>
      <w:spacing w:before="0"/>
    </w:pPr>
    <w:rPr>
      <w:color w:val="17365D" w:themeColor="text2" w:themeShade="BF"/>
      <w:sz w:val="48"/>
      <w:szCs w:val="48"/>
    </w:rPr>
  </w:style>
  <w:style w:type="paragraph" w:customStyle="1" w:styleId="ReportSummaryBoxHeading">
    <w:name w:val="Report Summary Box Heading"/>
    <w:basedOn w:val="NCLBodyText"/>
    <w:uiPriority w:val="3"/>
    <w:rsid w:val="007145D1"/>
    <w:pPr>
      <w:spacing w:after="120"/>
    </w:pPr>
    <w:rPr>
      <w:b/>
      <w:i/>
    </w:rPr>
  </w:style>
  <w:style w:type="character" w:styleId="FollowedHyperlink">
    <w:name w:val="FollowedHyperlink"/>
    <w:basedOn w:val="DefaultParagraphFont"/>
    <w:uiPriority w:val="99"/>
    <w:semiHidden/>
    <w:unhideWhenUsed/>
    <w:rsid w:val="007145D1"/>
    <w:rPr>
      <w:color w:val="800080" w:themeColor="followedHyperlink"/>
      <w:u w:val="single"/>
    </w:rPr>
  </w:style>
  <w:style w:type="numbering" w:customStyle="1" w:styleId="ListBullets">
    <w:name w:val="List Bullets"/>
    <w:uiPriority w:val="99"/>
    <w:rsid w:val="007145D1"/>
    <w:pPr>
      <w:numPr>
        <w:numId w:val="2"/>
      </w:numPr>
    </w:pPr>
  </w:style>
  <w:style w:type="numbering" w:customStyle="1" w:styleId="ListNumbers">
    <w:name w:val="List Numbers"/>
    <w:uiPriority w:val="99"/>
    <w:rsid w:val="007145D1"/>
    <w:pPr>
      <w:numPr>
        <w:numId w:val="3"/>
      </w:numPr>
    </w:pPr>
  </w:style>
  <w:style w:type="table" w:customStyle="1" w:styleId="ReportTable">
    <w:name w:val="Report_Table"/>
    <w:basedOn w:val="TableNormal"/>
    <w:uiPriority w:val="99"/>
    <w:rsid w:val="00544450"/>
    <w:pPr>
      <w:spacing w:before="60" w:after="60" w:line="240" w:lineRule="auto"/>
      <w:jc w:val="center"/>
    </w:pPr>
    <w:rPr>
      <w:rFonts w:ascii="Calibri" w:hAnsi="Calibri"/>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inorHAnsi" w:hAnsiTheme="minorHAnsi"/>
        <w:b/>
        <w:sz w:val="20"/>
      </w:rPr>
      <w:tblPr/>
      <w:trPr>
        <w:cantSplit/>
      </w:trPr>
      <w:tcPr>
        <w:shd w:val="clear" w:color="auto" w:fill="BFBFBF" w:themeFill="background1" w:themeFillShade="BF"/>
      </w:tcPr>
    </w:tblStylePr>
    <w:tblStylePr w:type="firstCol">
      <w:pPr>
        <w:jc w:val="left"/>
      </w:pPr>
      <w:rPr>
        <w:rFonts w:asciiTheme="minorHAnsi" w:hAnsiTheme="minorHAnsi"/>
        <w:sz w:val="20"/>
      </w:rPr>
    </w:tblStylePr>
  </w:style>
  <w:style w:type="character" w:styleId="PlaceholderText">
    <w:name w:val="Placeholder Text"/>
    <w:basedOn w:val="DefaultParagraphFont"/>
    <w:uiPriority w:val="99"/>
    <w:semiHidden/>
    <w:rsid w:val="00325A5B"/>
    <w:rPr>
      <w:color w:val="808080"/>
    </w:rPr>
  </w:style>
  <w:style w:type="paragraph" w:customStyle="1" w:styleId="NCLAppendix">
    <w:name w:val="NCL Appendix"/>
    <w:basedOn w:val="NCLHeading1"/>
    <w:link w:val="NCLAppendixChar"/>
    <w:qFormat/>
    <w:rsid w:val="004C79B4"/>
    <w:pPr>
      <w:numPr>
        <w:numId w:val="0"/>
      </w:numPr>
      <w:ind w:left="567" w:hanging="567"/>
    </w:pPr>
  </w:style>
  <w:style w:type="character" w:customStyle="1" w:styleId="NCLAppendixChar">
    <w:name w:val="NCL Appendix Char"/>
    <w:basedOn w:val="NCLHeading1Char"/>
    <w:link w:val="NCLAppendix"/>
    <w:rsid w:val="004C79B4"/>
    <w:rPr>
      <w:rFonts w:ascii="Calibri" w:eastAsiaTheme="majorEastAsia" w:hAnsi="Calibri" w:cstheme="majorBidi"/>
      <w:b/>
      <w:bCs/>
      <w:color w:val="365F91" w:themeColor="accent1" w:themeShade="BF"/>
      <w:sz w:val="28"/>
      <w:szCs w:val="28"/>
      <w:shd w:val="clear" w:color="auto" w:fill="548DD4" w:themeFill="text2" w:themeFillTint="99"/>
    </w:rPr>
  </w:style>
  <w:style w:type="paragraph" w:customStyle="1" w:styleId="ReportHeading1">
    <w:name w:val="Report Heading 1"/>
    <w:basedOn w:val="Heading1"/>
    <w:next w:val="Normal"/>
    <w:link w:val="ReportHeading1Char"/>
    <w:rsid w:val="008962F6"/>
    <w:pPr>
      <w:numPr>
        <w:numId w:val="0"/>
      </w:numPr>
      <w:ind w:left="851" w:hanging="851"/>
    </w:pPr>
    <w:rPr>
      <w:color w:val="17365D" w:themeColor="text2" w:themeShade="BF"/>
      <w:sz w:val="32"/>
    </w:rPr>
  </w:style>
  <w:style w:type="character" w:customStyle="1" w:styleId="ReportHeading1Char">
    <w:name w:val="Report Heading 1 Char"/>
    <w:basedOn w:val="Heading1Char"/>
    <w:link w:val="ReportHeading1"/>
    <w:rsid w:val="008962F6"/>
    <w:rPr>
      <w:rFonts w:ascii="Calibri" w:eastAsiaTheme="majorEastAsia" w:hAnsi="Calibri" w:cstheme="majorBidi"/>
      <w:b/>
      <w:bCs/>
      <w:color w:val="17365D" w:themeColor="text2" w:themeShade="BF"/>
      <w:sz w:val="32"/>
      <w:szCs w:val="28"/>
    </w:rPr>
  </w:style>
  <w:style w:type="paragraph" w:customStyle="1" w:styleId="ReportHeading2">
    <w:name w:val="Report Heading 2"/>
    <w:basedOn w:val="Heading2"/>
    <w:next w:val="Normal"/>
    <w:link w:val="ReportHeading2Char"/>
    <w:rsid w:val="008962F6"/>
    <w:pPr>
      <w:numPr>
        <w:ilvl w:val="0"/>
        <w:numId w:val="0"/>
      </w:numPr>
      <w:spacing w:before="240" w:after="180"/>
      <w:ind w:left="851" w:hanging="851"/>
      <w:jc w:val="both"/>
    </w:pPr>
    <w:rPr>
      <w:color w:val="000000" w:themeColor="text1"/>
      <w:sz w:val="28"/>
    </w:rPr>
  </w:style>
  <w:style w:type="character" w:customStyle="1" w:styleId="ReportHeading2Char">
    <w:name w:val="Report Heading 2 Char"/>
    <w:basedOn w:val="Heading2Char"/>
    <w:link w:val="ReportHeading2"/>
    <w:rsid w:val="008962F6"/>
    <w:rPr>
      <w:rFonts w:ascii="Calibri" w:eastAsiaTheme="majorEastAsia" w:hAnsi="Calibri" w:cstheme="majorBidi"/>
      <w:b/>
      <w:bCs/>
      <w:color w:val="000000" w:themeColor="text1"/>
      <w:sz w:val="28"/>
      <w:szCs w:val="26"/>
    </w:rPr>
  </w:style>
  <w:style w:type="paragraph" w:customStyle="1" w:styleId="ReportHeading4">
    <w:name w:val="Report Heading 4"/>
    <w:basedOn w:val="Heading4"/>
    <w:next w:val="Normal"/>
    <w:link w:val="ReportHeading4Char"/>
    <w:rsid w:val="008962F6"/>
    <w:pPr>
      <w:numPr>
        <w:ilvl w:val="0"/>
        <w:numId w:val="0"/>
      </w:numPr>
      <w:tabs>
        <w:tab w:val="num" w:pos="851"/>
      </w:tabs>
      <w:spacing w:before="240" w:after="180"/>
      <w:ind w:left="851" w:hanging="851"/>
    </w:pPr>
    <w:rPr>
      <w:rFonts w:ascii="Calibri" w:hAnsi="Calibri"/>
      <w:color w:val="000000" w:themeColor="text1"/>
    </w:rPr>
  </w:style>
  <w:style w:type="character" w:customStyle="1" w:styleId="ReportHeading4Char">
    <w:name w:val="Report Heading 4 Char"/>
    <w:basedOn w:val="Heading4Char"/>
    <w:link w:val="ReportHeading4"/>
    <w:rsid w:val="008962F6"/>
    <w:rPr>
      <w:rFonts w:ascii="Calibri" w:eastAsiaTheme="majorEastAsia" w:hAnsi="Calibri" w:cstheme="majorBidi"/>
      <w:b/>
      <w:bCs/>
      <w:i/>
      <w:iCs/>
      <w:color w:val="000000" w:themeColor="text1"/>
    </w:rPr>
  </w:style>
  <w:style w:type="paragraph" w:customStyle="1" w:styleId="ReportHeading5">
    <w:name w:val="Report Heading 5"/>
    <w:basedOn w:val="Heading5"/>
    <w:next w:val="Normal"/>
    <w:rsid w:val="008962F6"/>
    <w:pPr>
      <w:numPr>
        <w:ilvl w:val="0"/>
        <w:numId w:val="0"/>
      </w:numPr>
      <w:spacing w:before="240" w:after="180"/>
    </w:pPr>
    <w:rPr>
      <w:rFonts w:ascii="Calibri" w:hAnsi="Calibri"/>
      <w:b/>
      <w:color w:val="000000"/>
    </w:rPr>
  </w:style>
  <w:style w:type="paragraph" w:styleId="NormalWeb">
    <w:name w:val="Normal (Web)"/>
    <w:basedOn w:val="Normal"/>
    <w:uiPriority w:val="99"/>
    <w:semiHidden/>
    <w:unhideWhenUsed/>
    <w:rsid w:val="006274B8"/>
    <w:pPr>
      <w:spacing w:before="100" w:beforeAutospacing="1" w:after="100" w:afterAutospacing="1"/>
    </w:pPr>
    <w:rPr>
      <w:rFonts w:ascii="Times New Roman" w:eastAsiaTheme="minorEastAsia" w:hAnsi="Times New Roman"/>
      <w:sz w:val="24"/>
      <w:szCs w:val="24"/>
      <w:lang w:eastAsia="en-GB"/>
    </w:rPr>
  </w:style>
  <w:style w:type="paragraph" w:styleId="Title">
    <w:name w:val="Title"/>
    <w:basedOn w:val="Normal"/>
    <w:link w:val="TitleChar"/>
    <w:rsid w:val="00D46B50"/>
    <w:pPr>
      <w:spacing w:after="0"/>
      <w:jc w:val="center"/>
    </w:pPr>
    <w:rPr>
      <w:rFonts w:ascii="Times New Roman" w:hAnsi="Times New Roman"/>
      <w:b/>
      <w:sz w:val="24"/>
      <w:u w:val="single"/>
      <w:lang w:eastAsia="en-GB"/>
    </w:rPr>
  </w:style>
  <w:style w:type="character" w:customStyle="1" w:styleId="TitleChar">
    <w:name w:val="Title Char"/>
    <w:basedOn w:val="DefaultParagraphFont"/>
    <w:link w:val="Title"/>
    <w:rsid w:val="00D46B50"/>
    <w:rPr>
      <w:rFonts w:ascii="Times New Roman" w:eastAsia="Times New Roman" w:hAnsi="Times New Roman" w:cs="Times New Roman"/>
      <w:b/>
      <w:sz w:val="24"/>
      <w:szCs w:val="20"/>
      <w:u w:val="single"/>
      <w:lang w:eastAsia="en-GB"/>
    </w:rPr>
  </w:style>
  <w:style w:type="paragraph" w:customStyle="1" w:styleId="NormalSCG">
    <w:name w:val="Normal_SCG"/>
    <w:basedOn w:val="Normal"/>
    <w:link w:val="NormalSCGChar"/>
    <w:qFormat/>
    <w:rsid w:val="00D46B50"/>
    <w:pPr>
      <w:tabs>
        <w:tab w:val="left" w:pos="-180"/>
      </w:tabs>
      <w:spacing w:after="0"/>
      <w:ind w:left="-426" w:right="-514"/>
      <w:jc w:val="both"/>
    </w:pPr>
    <w:rPr>
      <w:rFonts w:asciiTheme="minorHAnsi" w:hAnsiTheme="minorHAnsi"/>
      <w:sz w:val="22"/>
      <w:szCs w:val="22"/>
    </w:rPr>
  </w:style>
  <w:style w:type="character" w:customStyle="1" w:styleId="NormalSCGChar">
    <w:name w:val="Normal_SCG Char"/>
    <w:basedOn w:val="DefaultParagraphFont"/>
    <w:link w:val="NormalSCG"/>
    <w:rsid w:val="00D46B50"/>
    <w:rPr>
      <w:rFonts w:eastAsia="Times New Roman" w:cs="Times New Roman"/>
    </w:rPr>
  </w:style>
  <w:style w:type="character" w:customStyle="1" w:styleId="UnresolvedMention1">
    <w:name w:val="Unresolved Mention1"/>
    <w:basedOn w:val="DefaultParagraphFont"/>
    <w:uiPriority w:val="99"/>
    <w:semiHidden/>
    <w:unhideWhenUsed/>
    <w:rsid w:val="00003B7B"/>
    <w:rPr>
      <w:color w:val="605E5C"/>
      <w:shd w:val="clear" w:color="auto" w:fill="E1DFDD"/>
    </w:rPr>
  </w:style>
  <w:style w:type="paragraph" w:styleId="ListParagraph">
    <w:name w:val="List Paragraph"/>
    <w:basedOn w:val="Normal"/>
    <w:uiPriority w:val="34"/>
    <w:rsid w:val="009566ED"/>
    <w:pPr>
      <w:ind w:left="720"/>
      <w:contextualSpacing/>
    </w:pPr>
  </w:style>
  <w:style w:type="character" w:styleId="UnresolvedMention">
    <w:name w:val="Unresolved Mention"/>
    <w:basedOn w:val="DefaultParagraphFont"/>
    <w:uiPriority w:val="99"/>
    <w:semiHidden/>
    <w:unhideWhenUsed/>
    <w:rsid w:val="00970FE3"/>
    <w:rPr>
      <w:color w:val="605E5C"/>
      <w:shd w:val="clear" w:color="auto" w:fill="E1DFDD"/>
    </w:rPr>
  </w:style>
  <w:style w:type="paragraph" w:customStyle="1" w:styleId="xmsonormal">
    <w:name w:val="x_msonormal"/>
    <w:basedOn w:val="Normal"/>
    <w:rsid w:val="00626FCA"/>
    <w:pPr>
      <w:spacing w:after="0"/>
    </w:pPr>
    <w:rPr>
      <w:rFonts w:eastAsiaTheme="minorHAns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0099">
      <w:bodyDiv w:val="1"/>
      <w:marLeft w:val="0"/>
      <w:marRight w:val="0"/>
      <w:marTop w:val="0"/>
      <w:marBottom w:val="0"/>
      <w:divBdr>
        <w:top w:val="none" w:sz="0" w:space="0" w:color="auto"/>
        <w:left w:val="none" w:sz="0" w:space="0" w:color="auto"/>
        <w:bottom w:val="none" w:sz="0" w:space="0" w:color="auto"/>
        <w:right w:val="none" w:sz="0" w:space="0" w:color="auto"/>
      </w:divBdr>
    </w:div>
    <w:div w:id="294257386">
      <w:bodyDiv w:val="1"/>
      <w:marLeft w:val="0"/>
      <w:marRight w:val="0"/>
      <w:marTop w:val="0"/>
      <w:marBottom w:val="0"/>
      <w:divBdr>
        <w:top w:val="none" w:sz="0" w:space="0" w:color="auto"/>
        <w:left w:val="none" w:sz="0" w:space="0" w:color="auto"/>
        <w:bottom w:val="none" w:sz="0" w:space="0" w:color="auto"/>
        <w:right w:val="none" w:sz="0" w:space="0" w:color="auto"/>
      </w:divBdr>
    </w:div>
    <w:div w:id="323241106">
      <w:bodyDiv w:val="1"/>
      <w:marLeft w:val="0"/>
      <w:marRight w:val="0"/>
      <w:marTop w:val="0"/>
      <w:marBottom w:val="0"/>
      <w:divBdr>
        <w:top w:val="none" w:sz="0" w:space="0" w:color="auto"/>
        <w:left w:val="none" w:sz="0" w:space="0" w:color="auto"/>
        <w:bottom w:val="none" w:sz="0" w:space="0" w:color="auto"/>
        <w:right w:val="none" w:sz="0" w:space="0" w:color="auto"/>
      </w:divBdr>
      <w:divsChild>
        <w:div w:id="1265654744">
          <w:marLeft w:val="0"/>
          <w:marRight w:val="0"/>
          <w:marTop w:val="0"/>
          <w:marBottom w:val="0"/>
          <w:divBdr>
            <w:top w:val="none" w:sz="0" w:space="0" w:color="auto"/>
            <w:left w:val="none" w:sz="0" w:space="0" w:color="auto"/>
            <w:bottom w:val="none" w:sz="0" w:space="0" w:color="auto"/>
            <w:right w:val="none" w:sz="0" w:space="0" w:color="auto"/>
          </w:divBdr>
        </w:div>
        <w:div w:id="34817049">
          <w:marLeft w:val="0"/>
          <w:marRight w:val="0"/>
          <w:marTop w:val="0"/>
          <w:marBottom w:val="0"/>
          <w:divBdr>
            <w:top w:val="none" w:sz="0" w:space="0" w:color="auto"/>
            <w:left w:val="none" w:sz="0" w:space="0" w:color="auto"/>
            <w:bottom w:val="none" w:sz="0" w:space="0" w:color="auto"/>
            <w:right w:val="none" w:sz="0" w:space="0" w:color="auto"/>
          </w:divBdr>
        </w:div>
      </w:divsChild>
    </w:div>
    <w:div w:id="496846006">
      <w:bodyDiv w:val="1"/>
      <w:marLeft w:val="0"/>
      <w:marRight w:val="0"/>
      <w:marTop w:val="0"/>
      <w:marBottom w:val="0"/>
      <w:divBdr>
        <w:top w:val="none" w:sz="0" w:space="0" w:color="auto"/>
        <w:left w:val="none" w:sz="0" w:space="0" w:color="auto"/>
        <w:bottom w:val="none" w:sz="0" w:space="0" w:color="auto"/>
        <w:right w:val="none" w:sz="0" w:space="0" w:color="auto"/>
      </w:divBdr>
      <w:divsChild>
        <w:div w:id="1623923618">
          <w:marLeft w:val="0"/>
          <w:marRight w:val="0"/>
          <w:marTop w:val="0"/>
          <w:marBottom w:val="0"/>
          <w:divBdr>
            <w:top w:val="none" w:sz="0" w:space="0" w:color="auto"/>
            <w:left w:val="none" w:sz="0" w:space="0" w:color="auto"/>
            <w:bottom w:val="none" w:sz="0" w:space="0" w:color="auto"/>
            <w:right w:val="none" w:sz="0" w:space="0" w:color="auto"/>
          </w:divBdr>
        </w:div>
      </w:divsChild>
    </w:div>
    <w:div w:id="504781967">
      <w:bodyDiv w:val="1"/>
      <w:marLeft w:val="0"/>
      <w:marRight w:val="0"/>
      <w:marTop w:val="0"/>
      <w:marBottom w:val="0"/>
      <w:divBdr>
        <w:top w:val="none" w:sz="0" w:space="0" w:color="auto"/>
        <w:left w:val="none" w:sz="0" w:space="0" w:color="auto"/>
        <w:bottom w:val="none" w:sz="0" w:space="0" w:color="auto"/>
        <w:right w:val="none" w:sz="0" w:space="0" w:color="auto"/>
      </w:divBdr>
    </w:div>
    <w:div w:id="517237362">
      <w:bodyDiv w:val="1"/>
      <w:marLeft w:val="0"/>
      <w:marRight w:val="0"/>
      <w:marTop w:val="0"/>
      <w:marBottom w:val="0"/>
      <w:divBdr>
        <w:top w:val="none" w:sz="0" w:space="0" w:color="auto"/>
        <w:left w:val="none" w:sz="0" w:space="0" w:color="auto"/>
        <w:bottom w:val="none" w:sz="0" w:space="0" w:color="auto"/>
        <w:right w:val="none" w:sz="0" w:space="0" w:color="auto"/>
      </w:divBdr>
    </w:div>
    <w:div w:id="762453710">
      <w:bodyDiv w:val="1"/>
      <w:marLeft w:val="0"/>
      <w:marRight w:val="0"/>
      <w:marTop w:val="0"/>
      <w:marBottom w:val="0"/>
      <w:divBdr>
        <w:top w:val="none" w:sz="0" w:space="0" w:color="auto"/>
        <w:left w:val="none" w:sz="0" w:space="0" w:color="auto"/>
        <w:bottom w:val="none" w:sz="0" w:space="0" w:color="auto"/>
        <w:right w:val="none" w:sz="0" w:space="0" w:color="auto"/>
      </w:divBdr>
    </w:div>
    <w:div w:id="823472431">
      <w:bodyDiv w:val="1"/>
      <w:marLeft w:val="0"/>
      <w:marRight w:val="0"/>
      <w:marTop w:val="0"/>
      <w:marBottom w:val="0"/>
      <w:divBdr>
        <w:top w:val="none" w:sz="0" w:space="0" w:color="auto"/>
        <w:left w:val="none" w:sz="0" w:space="0" w:color="auto"/>
        <w:bottom w:val="none" w:sz="0" w:space="0" w:color="auto"/>
        <w:right w:val="none" w:sz="0" w:space="0" w:color="auto"/>
      </w:divBdr>
    </w:div>
    <w:div w:id="848566913">
      <w:bodyDiv w:val="1"/>
      <w:marLeft w:val="0"/>
      <w:marRight w:val="0"/>
      <w:marTop w:val="0"/>
      <w:marBottom w:val="0"/>
      <w:divBdr>
        <w:top w:val="none" w:sz="0" w:space="0" w:color="auto"/>
        <w:left w:val="none" w:sz="0" w:space="0" w:color="auto"/>
        <w:bottom w:val="none" w:sz="0" w:space="0" w:color="auto"/>
        <w:right w:val="none" w:sz="0" w:space="0" w:color="auto"/>
      </w:divBdr>
    </w:div>
    <w:div w:id="894050586">
      <w:bodyDiv w:val="1"/>
      <w:marLeft w:val="0"/>
      <w:marRight w:val="0"/>
      <w:marTop w:val="0"/>
      <w:marBottom w:val="0"/>
      <w:divBdr>
        <w:top w:val="none" w:sz="0" w:space="0" w:color="auto"/>
        <w:left w:val="none" w:sz="0" w:space="0" w:color="auto"/>
        <w:bottom w:val="none" w:sz="0" w:space="0" w:color="auto"/>
        <w:right w:val="none" w:sz="0" w:space="0" w:color="auto"/>
      </w:divBdr>
    </w:div>
    <w:div w:id="944656103">
      <w:bodyDiv w:val="1"/>
      <w:marLeft w:val="0"/>
      <w:marRight w:val="0"/>
      <w:marTop w:val="0"/>
      <w:marBottom w:val="0"/>
      <w:divBdr>
        <w:top w:val="none" w:sz="0" w:space="0" w:color="auto"/>
        <w:left w:val="none" w:sz="0" w:space="0" w:color="auto"/>
        <w:bottom w:val="none" w:sz="0" w:space="0" w:color="auto"/>
        <w:right w:val="none" w:sz="0" w:space="0" w:color="auto"/>
      </w:divBdr>
    </w:div>
    <w:div w:id="953095197">
      <w:bodyDiv w:val="1"/>
      <w:marLeft w:val="0"/>
      <w:marRight w:val="0"/>
      <w:marTop w:val="0"/>
      <w:marBottom w:val="0"/>
      <w:divBdr>
        <w:top w:val="none" w:sz="0" w:space="0" w:color="auto"/>
        <w:left w:val="none" w:sz="0" w:space="0" w:color="auto"/>
        <w:bottom w:val="none" w:sz="0" w:space="0" w:color="auto"/>
        <w:right w:val="none" w:sz="0" w:space="0" w:color="auto"/>
      </w:divBdr>
    </w:div>
    <w:div w:id="1059086281">
      <w:bodyDiv w:val="1"/>
      <w:marLeft w:val="0"/>
      <w:marRight w:val="0"/>
      <w:marTop w:val="0"/>
      <w:marBottom w:val="0"/>
      <w:divBdr>
        <w:top w:val="none" w:sz="0" w:space="0" w:color="auto"/>
        <w:left w:val="none" w:sz="0" w:space="0" w:color="auto"/>
        <w:bottom w:val="none" w:sz="0" w:space="0" w:color="auto"/>
        <w:right w:val="none" w:sz="0" w:space="0" w:color="auto"/>
      </w:divBdr>
    </w:div>
    <w:div w:id="1101611634">
      <w:bodyDiv w:val="1"/>
      <w:marLeft w:val="0"/>
      <w:marRight w:val="0"/>
      <w:marTop w:val="0"/>
      <w:marBottom w:val="0"/>
      <w:divBdr>
        <w:top w:val="none" w:sz="0" w:space="0" w:color="auto"/>
        <w:left w:val="none" w:sz="0" w:space="0" w:color="auto"/>
        <w:bottom w:val="none" w:sz="0" w:space="0" w:color="auto"/>
        <w:right w:val="none" w:sz="0" w:space="0" w:color="auto"/>
      </w:divBdr>
    </w:div>
    <w:div w:id="1150748999">
      <w:bodyDiv w:val="1"/>
      <w:marLeft w:val="0"/>
      <w:marRight w:val="0"/>
      <w:marTop w:val="0"/>
      <w:marBottom w:val="0"/>
      <w:divBdr>
        <w:top w:val="none" w:sz="0" w:space="0" w:color="auto"/>
        <w:left w:val="none" w:sz="0" w:space="0" w:color="auto"/>
        <w:bottom w:val="none" w:sz="0" w:space="0" w:color="auto"/>
        <w:right w:val="none" w:sz="0" w:space="0" w:color="auto"/>
      </w:divBdr>
    </w:div>
    <w:div w:id="1420444671">
      <w:bodyDiv w:val="1"/>
      <w:marLeft w:val="0"/>
      <w:marRight w:val="0"/>
      <w:marTop w:val="0"/>
      <w:marBottom w:val="0"/>
      <w:divBdr>
        <w:top w:val="none" w:sz="0" w:space="0" w:color="auto"/>
        <w:left w:val="none" w:sz="0" w:space="0" w:color="auto"/>
        <w:bottom w:val="none" w:sz="0" w:space="0" w:color="auto"/>
        <w:right w:val="none" w:sz="0" w:space="0" w:color="auto"/>
      </w:divBdr>
    </w:div>
    <w:div w:id="1454594813">
      <w:bodyDiv w:val="1"/>
      <w:marLeft w:val="0"/>
      <w:marRight w:val="0"/>
      <w:marTop w:val="0"/>
      <w:marBottom w:val="0"/>
      <w:divBdr>
        <w:top w:val="none" w:sz="0" w:space="0" w:color="auto"/>
        <w:left w:val="none" w:sz="0" w:space="0" w:color="auto"/>
        <w:bottom w:val="none" w:sz="0" w:space="0" w:color="auto"/>
        <w:right w:val="none" w:sz="0" w:space="0" w:color="auto"/>
      </w:divBdr>
    </w:div>
    <w:div w:id="1506087208">
      <w:bodyDiv w:val="1"/>
      <w:marLeft w:val="0"/>
      <w:marRight w:val="0"/>
      <w:marTop w:val="0"/>
      <w:marBottom w:val="0"/>
      <w:divBdr>
        <w:top w:val="none" w:sz="0" w:space="0" w:color="auto"/>
        <w:left w:val="none" w:sz="0" w:space="0" w:color="auto"/>
        <w:bottom w:val="none" w:sz="0" w:space="0" w:color="auto"/>
        <w:right w:val="none" w:sz="0" w:space="0" w:color="auto"/>
      </w:divBdr>
    </w:div>
    <w:div w:id="1508012618">
      <w:bodyDiv w:val="1"/>
      <w:marLeft w:val="0"/>
      <w:marRight w:val="0"/>
      <w:marTop w:val="0"/>
      <w:marBottom w:val="0"/>
      <w:divBdr>
        <w:top w:val="none" w:sz="0" w:space="0" w:color="auto"/>
        <w:left w:val="none" w:sz="0" w:space="0" w:color="auto"/>
        <w:bottom w:val="none" w:sz="0" w:space="0" w:color="auto"/>
        <w:right w:val="none" w:sz="0" w:space="0" w:color="auto"/>
      </w:divBdr>
    </w:div>
    <w:div w:id="1664046497">
      <w:bodyDiv w:val="1"/>
      <w:marLeft w:val="0"/>
      <w:marRight w:val="0"/>
      <w:marTop w:val="0"/>
      <w:marBottom w:val="0"/>
      <w:divBdr>
        <w:top w:val="none" w:sz="0" w:space="0" w:color="auto"/>
        <w:left w:val="none" w:sz="0" w:space="0" w:color="auto"/>
        <w:bottom w:val="none" w:sz="0" w:space="0" w:color="auto"/>
        <w:right w:val="none" w:sz="0" w:space="0" w:color="auto"/>
      </w:divBdr>
    </w:div>
    <w:div w:id="1735278165">
      <w:bodyDiv w:val="1"/>
      <w:marLeft w:val="0"/>
      <w:marRight w:val="0"/>
      <w:marTop w:val="0"/>
      <w:marBottom w:val="0"/>
      <w:divBdr>
        <w:top w:val="none" w:sz="0" w:space="0" w:color="auto"/>
        <w:left w:val="none" w:sz="0" w:space="0" w:color="auto"/>
        <w:bottom w:val="none" w:sz="0" w:space="0" w:color="auto"/>
        <w:right w:val="none" w:sz="0" w:space="0" w:color="auto"/>
      </w:divBdr>
    </w:div>
    <w:div w:id="1750689251">
      <w:bodyDiv w:val="1"/>
      <w:marLeft w:val="0"/>
      <w:marRight w:val="0"/>
      <w:marTop w:val="0"/>
      <w:marBottom w:val="0"/>
      <w:divBdr>
        <w:top w:val="none" w:sz="0" w:space="0" w:color="auto"/>
        <w:left w:val="none" w:sz="0" w:space="0" w:color="auto"/>
        <w:bottom w:val="none" w:sz="0" w:space="0" w:color="auto"/>
        <w:right w:val="none" w:sz="0" w:space="0" w:color="auto"/>
      </w:divBdr>
    </w:div>
    <w:div w:id="1839533830">
      <w:bodyDiv w:val="1"/>
      <w:marLeft w:val="0"/>
      <w:marRight w:val="0"/>
      <w:marTop w:val="0"/>
      <w:marBottom w:val="0"/>
      <w:divBdr>
        <w:top w:val="none" w:sz="0" w:space="0" w:color="auto"/>
        <w:left w:val="none" w:sz="0" w:space="0" w:color="auto"/>
        <w:bottom w:val="none" w:sz="0" w:space="0" w:color="auto"/>
        <w:right w:val="none" w:sz="0" w:space="0" w:color="auto"/>
      </w:divBdr>
    </w:div>
    <w:div w:id="19448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http://www.ncl-mon.nhs.uk" TargetMode="External"/><Relationship Id="rId2" Type="http://schemas.openxmlformats.org/officeDocument/2006/relationships/customXml" Target="../customXml/item2.xml"/><Relationship Id="rId16" Type="http://schemas.openxmlformats.org/officeDocument/2006/relationships/hyperlink" Target="mailto:northmid.neurology@nhs.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uei.yeoh@nhs.ne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nf.nice.org.uk/interaction/cenobamat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e37781b-99aa-4df2-92c5-14938be939e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D0904F1CA799A4EB2B8E1B37AAB5F88" ma:contentTypeVersion="5" ma:contentTypeDescription="Create a new document." ma:contentTypeScope="" ma:versionID="9b788352e298512399f7a082d185f817">
  <xsd:schema xmlns:xsd="http://www.w3.org/2001/XMLSchema" xmlns:xs="http://www.w3.org/2001/XMLSchema" xmlns:p="http://schemas.microsoft.com/office/2006/metadata/properties" xmlns:ns2="de37781b-99aa-4df2-92c5-14938be939e3" targetNamespace="http://schemas.microsoft.com/office/2006/metadata/properties" ma:root="true" ma:fieldsID="afb0232c0c7e95c19f37339a034ec820" ns2:_="">
    <xsd:import namespace="de37781b-99aa-4df2-92c5-14938be939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7781b-99aa-4df2-92c5-14938be9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B1435-A961-454F-B70B-43F3DE329929}">
  <ds:schemaRefs>
    <ds:schemaRef ds:uri="http://schemas.microsoft.com/sharepoint/v3/contenttype/forms"/>
  </ds:schemaRefs>
</ds:datastoreItem>
</file>

<file path=customXml/itemProps2.xml><?xml version="1.0" encoding="utf-8"?>
<ds:datastoreItem xmlns:ds="http://schemas.openxmlformats.org/officeDocument/2006/customXml" ds:itemID="{AB866A7F-9802-4292-8511-A855721FCF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e37781b-99aa-4df2-92c5-14938be939e3"/>
    <ds:schemaRef ds:uri="http://www.w3.org/XML/1998/namespace"/>
    <ds:schemaRef ds:uri="http://purl.org/dc/dcmitype/"/>
  </ds:schemaRefs>
</ds:datastoreItem>
</file>

<file path=customXml/itemProps3.xml><?xml version="1.0" encoding="utf-8"?>
<ds:datastoreItem xmlns:ds="http://schemas.openxmlformats.org/officeDocument/2006/customXml" ds:itemID="{3A4BD633-3EE2-498F-9905-0D3A9801FB27}">
  <ds:schemaRefs>
    <ds:schemaRef ds:uri="http://schemas.openxmlformats.org/officeDocument/2006/bibliography"/>
  </ds:schemaRefs>
</ds:datastoreItem>
</file>

<file path=customXml/itemProps4.xml><?xml version="1.0" encoding="utf-8"?>
<ds:datastoreItem xmlns:ds="http://schemas.openxmlformats.org/officeDocument/2006/customXml" ds:itemID="{8E09F9B2-4CB7-4DF5-A0F4-7855FE40F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7781b-99aa-4df2-92c5-14938be93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12</Pages>
  <Words>3552</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&lt;&lt;Add Title. Not more than 4 lines. Drop font size as necessary to fit in box&gt;&gt;</vt:lpstr>
    </vt:vector>
  </TitlesOfParts>
  <Company>Abacus International</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Cenobamate for focal seizures shared care</dc:title>
  <dc:subject>….</dc:subject>
  <dc:creator>Gurps</dc:creator>
  <cp:lastModifiedBy>MARU, Saloni (UNIVERSITY COLLEGE LONDON HOSPITALS NHS FOUNDATION TRUST)</cp:lastModifiedBy>
  <cp:revision>50</cp:revision>
  <cp:lastPrinted>2026-03-26T15:13:00Z</cp:lastPrinted>
  <dcterms:created xsi:type="dcterms:W3CDTF">2022-08-25T08:58:00Z</dcterms:created>
  <dcterms:modified xsi:type="dcterms:W3CDTF">2026-03-26T15:14:00Z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0x0101002D0904F1CA799A4EB2B8E1B37AAB5F88</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