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17E6" w14:textId="01E06333" w:rsidR="00F3092A" w:rsidRPr="00751648" w:rsidRDefault="002A0954" w:rsidP="00F3092A">
      <w:pPr>
        <w:pStyle w:val="NCLBodyText"/>
        <w:spacing w:before="0"/>
        <w:jc w:val="right"/>
      </w:pPr>
      <w:r>
        <w:t>23</w:t>
      </w:r>
      <w:r w:rsidR="00F3092A" w:rsidRPr="00751648">
        <w:rPr>
          <w:noProof/>
          <w:lang w:eastAsia="en-GB"/>
        </w:rPr>
        <w:drawing>
          <wp:inline distT="0" distB="0" distL="0" distR="0" wp14:anchorId="26458E41" wp14:editId="313CD6AD">
            <wp:extent cx="889200" cy="36000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200" cy="360000"/>
                    </a:xfrm>
                    <a:prstGeom prst="rect">
                      <a:avLst/>
                    </a:prstGeom>
                  </pic:spPr>
                </pic:pic>
              </a:graphicData>
            </a:graphic>
          </wp:inline>
        </w:drawing>
      </w:r>
    </w:p>
    <w:p w14:paraId="0DFF9D09" w14:textId="77777777" w:rsidR="00F3092A" w:rsidRPr="00751648" w:rsidRDefault="00F3092A" w:rsidP="00F3092A">
      <w:pPr>
        <w:pStyle w:val="NCLBodyText"/>
        <w:spacing w:before="0"/>
        <w:jc w:val="right"/>
      </w:pPr>
    </w:p>
    <w:p w14:paraId="22382AE1" w14:textId="77777777" w:rsidR="00F3092A" w:rsidRPr="00751648" w:rsidRDefault="00F3092A" w:rsidP="00F3092A">
      <w:pPr>
        <w:pStyle w:val="NCLBodyText"/>
        <w:spacing w:before="0"/>
        <w:jc w:val="right"/>
        <w:rPr>
          <w:rFonts w:ascii="Arial" w:hAnsi="Arial" w:cs="Arial"/>
          <w:b/>
          <w:color w:val="0072C6"/>
          <w:sz w:val="24"/>
        </w:rPr>
      </w:pPr>
      <w:r w:rsidRPr="00751648">
        <w:rPr>
          <w:rFonts w:ascii="Arial" w:hAnsi="Arial" w:cs="Arial"/>
          <w:b/>
          <w:color w:val="0072C6"/>
          <w:sz w:val="24"/>
        </w:rPr>
        <w:t>North Central London</w:t>
      </w:r>
    </w:p>
    <w:p w14:paraId="5FD1AD96" w14:textId="77777777" w:rsidR="00F3092A" w:rsidRPr="00751648" w:rsidRDefault="00F3092A" w:rsidP="00F3092A">
      <w:pPr>
        <w:pStyle w:val="NCLBodyText"/>
        <w:spacing w:before="0"/>
        <w:jc w:val="right"/>
        <w:rPr>
          <w:rFonts w:ascii="Arial" w:hAnsi="Arial" w:cs="Arial"/>
          <w:b/>
          <w:color w:val="0072C6"/>
          <w:sz w:val="24"/>
        </w:rPr>
      </w:pPr>
      <w:r w:rsidRPr="00751648">
        <w:rPr>
          <w:rFonts w:ascii="Arial" w:hAnsi="Arial" w:cs="Arial"/>
          <w:b/>
          <w:color w:val="0072C6"/>
          <w:sz w:val="24"/>
        </w:rPr>
        <w:t>Joint Formulary Committee</w:t>
      </w:r>
    </w:p>
    <w:p w14:paraId="09FD4802" w14:textId="77777777" w:rsidR="00F3092A" w:rsidRPr="00751648" w:rsidRDefault="00F3092A" w:rsidP="00F3092A">
      <w:pPr>
        <w:pStyle w:val="NCLBodyText"/>
        <w:spacing w:before="0"/>
        <w:jc w:val="right"/>
        <w:rPr>
          <w:rFonts w:ascii="Arial" w:hAnsi="Arial" w:cs="Arial"/>
          <w:b/>
          <w:color w:val="0072C6"/>
          <w:sz w:val="24"/>
        </w:rPr>
      </w:pPr>
    </w:p>
    <w:p w14:paraId="54C03983" w14:textId="77777777" w:rsidR="008A5E15" w:rsidRPr="00751648" w:rsidRDefault="008A5E15" w:rsidP="008A5E15">
      <w:pPr>
        <w:pStyle w:val="Header"/>
        <w:rPr>
          <w:sz w:val="16"/>
          <w:szCs w:val="16"/>
        </w:rPr>
      </w:pPr>
    </w:p>
    <w:tbl>
      <w:tblPr>
        <w:tblpPr w:leftFromText="180" w:rightFromText="180" w:vertAnchor="text" w:horzAnchor="margin" w:tblpYSpec="top"/>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548DD4" w:themeFill="text2" w:themeFillTint="99"/>
        <w:tblLook w:val="0000" w:firstRow="0" w:lastRow="0" w:firstColumn="0" w:lastColumn="0" w:noHBand="0" w:noVBand="0"/>
      </w:tblPr>
      <w:tblGrid>
        <w:gridCol w:w="9302"/>
      </w:tblGrid>
      <w:tr w:rsidR="004C79B4" w:rsidRPr="00751648" w14:paraId="2A0F0375" w14:textId="77777777" w:rsidTr="00D46B50">
        <w:tc>
          <w:tcPr>
            <w:tcW w:w="9446" w:type="dxa"/>
            <w:tcBorders>
              <w:top w:val="single" w:sz="12" w:space="0" w:color="C0C0C0"/>
              <w:left w:val="single" w:sz="12" w:space="0" w:color="C0C0C0"/>
              <w:bottom w:val="single" w:sz="12" w:space="0" w:color="C0C0C0"/>
              <w:right w:val="single" w:sz="12" w:space="0" w:color="C0C0C0"/>
            </w:tcBorders>
            <w:shd w:val="clear" w:color="auto" w:fill="548DD4" w:themeFill="text2" w:themeFillTint="99"/>
            <w:tcMar>
              <w:top w:w="57" w:type="dxa"/>
              <w:left w:w="57" w:type="dxa"/>
              <w:bottom w:w="57" w:type="dxa"/>
              <w:right w:w="57" w:type="dxa"/>
            </w:tcMar>
            <w:vAlign w:val="center"/>
          </w:tcPr>
          <w:p w14:paraId="6D6B26B0" w14:textId="77777777" w:rsidR="00D46B50" w:rsidRPr="00751648" w:rsidRDefault="00D46B50" w:rsidP="00D46B50">
            <w:pPr>
              <w:spacing w:after="0"/>
              <w:jc w:val="center"/>
              <w:rPr>
                <w:rFonts w:cs="Arial"/>
                <w:b/>
                <w:color w:val="FFFFFF" w:themeColor="background1"/>
                <w:spacing w:val="30"/>
                <w:sz w:val="36"/>
                <w:szCs w:val="22"/>
              </w:rPr>
            </w:pPr>
            <w:bookmarkStart w:id="0" w:name="_Hlk165971362"/>
            <w:r w:rsidRPr="00751648">
              <w:rPr>
                <w:rFonts w:cs="Arial"/>
                <w:b/>
                <w:color w:val="FFFFFF" w:themeColor="background1"/>
                <w:spacing w:val="30"/>
                <w:sz w:val="36"/>
                <w:szCs w:val="22"/>
              </w:rPr>
              <w:t>Shared Care Guideline</w:t>
            </w:r>
            <w:r w:rsidR="00EE3B15" w:rsidRPr="00751648">
              <w:rPr>
                <w:rFonts w:cs="Arial"/>
                <w:b/>
                <w:color w:val="FFFFFF" w:themeColor="background1"/>
                <w:spacing w:val="30"/>
                <w:sz w:val="36"/>
                <w:szCs w:val="22"/>
              </w:rPr>
              <w:t>s</w:t>
            </w:r>
            <w:r w:rsidR="0008569B" w:rsidRPr="00751648">
              <w:rPr>
                <w:rFonts w:cs="Arial"/>
                <w:b/>
                <w:color w:val="FFFFFF" w:themeColor="background1"/>
                <w:spacing w:val="30"/>
                <w:sz w:val="36"/>
                <w:szCs w:val="22"/>
              </w:rPr>
              <w:t xml:space="preserve">: Attention Deficit Hyperactivity Disorder </w:t>
            </w:r>
            <w:r w:rsidR="00A547AC" w:rsidRPr="00751648">
              <w:rPr>
                <w:rFonts w:cs="Arial"/>
                <w:b/>
                <w:color w:val="FFFFFF" w:themeColor="background1"/>
                <w:spacing w:val="30"/>
                <w:sz w:val="36"/>
                <w:szCs w:val="22"/>
              </w:rPr>
              <w:t>(</w:t>
            </w:r>
            <w:r w:rsidR="0008569B" w:rsidRPr="00751648">
              <w:rPr>
                <w:rFonts w:cs="Arial"/>
                <w:b/>
                <w:color w:val="FFFFFF" w:themeColor="background1"/>
                <w:spacing w:val="30"/>
                <w:sz w:val="36"/>
                <w:szCs w:val="22"/>
              </w:rPr>
              <w:t>Children</w:t>
            </w:r>
            <w:r w:rsidR="00A547AC" w:rsidRPr="00751648">
              <w:rPr>
                <w:rFonts w:cs="Arial"/>
                <w:b/>
                <w:color w:val="FFFFFF" w:themeColor="background1"/>
                <w:spacing w:val="30"/>
                <w:sz w:val="36"/>
                <w:szCs w:val="22"/>
              </w:rPr>
              <w:t xml:space="preserve"> and Adolescents)</w:t>
            </w:r>
          </w:p>
          <w:p w14:paraId="42B80E72" w14:textId="77777777" w:rsidR="004C79B4" w:rsidRPr="00751648" w:rsidRDefault="004C79B4" w:rsidP="00D46B50">
            <w:pPr>
              <w:spacing w:after="0"/>
              <w:jc w:val="center"/>
              <w:rPr>
                <w:rFonts w:cs="Arial"/>
                <w:b/>
                <w:color w:val="333333"/>
                <w:spacing w:val="30"/>
                <w:sz w:val="36"/>
                <w:szCs w:val="22"/>
              </w:rPr>
            </w:pPr>
          </w:p>
        </w:tc>
      </w:tr>
    </w:tbl>
    <w:bookmarkEnd w:id="0"/>
    <w:p w14:paraId="4C65BC88" w14:textId="77777777" w:rsidR="00D46B50" w:rsidRPr="00751648" w:rsidRDefault="00D46B50" w:rsidP="00D46B50">
      <w:pPr>
        <w:pStyle w:val="NCLBodyText"/>
        <w:rPr>
          <w:b/>
        </w:rPr>
      </w:pPr>
      <w:r w:rsidRPr="00751648">
        <w:rPr>
          <w:b/>
        </w:rPr>
        <w:t>Dear GP</w:t>
      </w:r>
    </w:p>
    <w:p w14:paraId="75FE9900" w14:textId="77777777" w:rsidR="00D46B50" w:rsidRPr="00751648" w:rsidRDefault="00D46B50" w:rsidP="00D46B50">
      <w:pPr>
        <w:pStyle w:val="NCLBodyText"/>
      </w:pPr>
      <w:r w:rsidRPr="00751648">
        <w:t>The information in th</w:t>
      </w:r>
      <w:r w:rsidR="004F4342" w:rsidRPr="00751648">
        <w:t>is</w:t>
      </w:r>
      <w:r w:rsidRPr="00751648">
        <w:t xml:space="preserve"> shared care guideline has been developed in consultation with Primary Care and it has been agreed that it is suitable for shared care. </w:t>
      </w:r>
    </w:p>
    <w:p w14:paraId="43408EE9" w14:textId="77777777" w:rsidR="00367357" w:rsidRDefault="00D46B50" w:rsidP="00D46B50">
      <w:pPr>
        <w:pStyle w:val="NCLBodyText"/>
      </w:pPr>
      <w:r w:rsidRPr="00751648">
        <w:t>Sharing of care assumes communication between the specialist</w:t>
      </w:r>
      <w:r w:rsidR="004F4342" w:rsidRPr="00751648">
        <w:t xml:space="preserve"> or</w:t>
      </w:r>
      <w:r w:rsidR="00EF3C4F" w:rsidRPr="00751648">
        <w:t xml:space="preserve"> Consultant</w:t>
      </w:r>
      <w:r w:rsidRPr="00751648">
        <w:t>, GP and patient. The intention to share care should be explained to the patient by the Consultant when treatment is initiated. It is important that patients are consulted about treatment and are in agreement with it.</w:t>
      </w:r>
    </w:p>
    <w:p w14:paraId="4C0D7446" w14:textId="77777777" w:rsidR="00602D17" w:rsidRPr="00FF72BC" w:rsidRDefault="00602D17" w:rsidP="00602D17">
      <w:pPr>
        <w:pStyle w:val="NCLBodyText"/>
        <w:spacing w:before="240" w:after="120"/>
        <w:rPr>
          <w:b/>
          <w:sz w:val="20"/>
          <w:szCs w:val="20"/>
        </w:rPr>
      </w:pPr>
      <w:r w:rsidRPr="00FF72BC">
        <w:rPr>
          <w:b/>
          <w:sz w:val="20"/>
          <w:szCs w:val="20"/>
        </w:rPr>
        <w:t>Document control</w:t>
      </w:r>
    </w:p>
    <w:tbl>
      <w:tblPr>
        <w:tblStyle w:val="ReportTable"/>
        <w:tblW w:w="0" w:type="auto"/>
        <w:tblLook w:val="04A0" w:firstRow="1" w:lastRow="0" w:firstColumn="1" w:lastColumn="0" w:noHBand="0" w:noVBand="1"/>
      </w:tblPr>
      <w:tblGrid>
        <w:gridCol w:w="1219"/>
        <w:gridCol w:w="1687"/>
        <w:gridCol w:w="6416"/>
      </w:tblGrid>
      <w:tr w:rsidR="00602D17" w:rsidRPr="00751648" w14:paraId="3685133B" w14:textId="77777777" w:rsidTr="000B7D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14:paraId="3B32780C" w14:textId="77777777" w:rsidR="00602D17" w:rsidRPr="00751648" w:rsidRDefault="00602D17" w:rsidP="005956A4">
            <w:pPr>
              <w:pStyle w:val="NCLTableText"/>
            </w:pPr>
            <w:r w:rsidRPr="00751648">
              <w:t>Date</w:t>
            </w:r>
          </w:p>
        </w:tc>
        <w:tc>
          <w:tcPr>
            <w:tcW w:w="1687" w:type="dxa"/>
          </w:tcPr>
          <w:p w14:paraId="1A343D4D" w14:textId="77777777" w:rsidR="00602D17" w:rsidRPr="00751648" w:rsidRDefault="00602D17" w:rsidP="005956A4">
            <w:pPr>
              <w:pStyle w:val="NCLTableText"/>
              <w:cnfStyle w:val="100000000000" w:firstRow="1" w:lastRow="0" w:firstColumn="0" w:lastColumn="0" w:oddVBand="0" w:evenVBand="0" w:oddHBand="0" w:evenHBand="0" w:firstRowFirstColumn="0" w:firstRowLastColumn="0" w:lastRowFirstColumn="0" w:lastRowLastColumn="0"/>
            </w:pPr>
            <w:r w:rsidRPr="00751648">
              <w:t>Version</w:t>
            </w:r>
          </w:p>
        </w:tc>
        <w:tc>
          <w:tcPr>
            <w:tcW w:w="6416" w:type="dxa"/>
          </w:tcPr>
          <w:p w14:paraId="61207DC0" w14:textId="77777777" w:rsidR="00602D17" w:rsidRPr="00751648" w:rsidRDefault="00602D17" w:rsidP="005956A4">
            <w:pPr>
              <w:pStyle w:val="NCLTableText"/>
              <w:cnfStyle w:val="100000000000" w:firstRow="1" w:lastRow="0" w:firstColumn="0" w:lastColumn="0" w:oddVBand="0" w:evenVBand="0" w:oddHBand="0" w:evenHBand="0" w:firstRowFirstColumn="0" w:firstRowLastColumn="0" w:lastRowFirstColumn="0" w:lastRowLastColumn="0"/>
            </w:pPr>
            <w:r w:rsidRPr="00751648">
              <w:t>Amendments</w:t>
            </w:r>
          </w:p>
        </w:tc>
      </w:tr>
      <w:tr w:rsidR="000B7D6F" w:rsidRPr="00751648" w14:paraId="5A607119" w14:textId="77777777" w:rsidTr="000B7D6F">
        <w:tc>
          <w:tcPr>
            <w:cnfStyle w:val="001000000000" w:firstRow="0" w:lastRow="0" w:firstColumn="1" w:lastColumn="0" w:oddVBand="0" w:evenVBand="0" w:oddHBand="0" w:evenHBand="0" w:firstRowFirstColumn="0" w:firstRowLastColumn="0" w:lastRowFirstColumn="0" w:lastRowLastColumn="0"/>
            <w:tcW w:w="1219" w:type="dxa"/>
          </w:tcPr>
          <w:p w14:paraId="38AEE2C3" w14:textId="5ECE3F37" w:rsidR="000B7D6F" w:rsidRPr="00FC21BD" w:rsidRDefault="000B7D6F" w:rsidP="000B7D6F">
            <w:pPr>
              <w:pStyle w:val="NCLTableText"/>
              <w:jc w:val="left"/>
              <w:rPr>
                <w:szCs w:val="20"/>
              </w:rPr>
            </w:pPr>
            <w:r w:rsidRPr="00FC21BD">
              <w:rPr>
                <w:rFonts w:asciiTheme="minorHAnsi" w:hAnsiTheme="minorHAnsi"/>
                <w:szCs w:val="20"/>
              </w:rPr>
              <w:t>June 2020</w:t>
            </w:r>
          </w:p>
        </w:tc>
        <w:tc>
          <w:tcPr>
            <w:tcW w:w="1687" w:type="dxa"/>
          </w:tcPr>
          <w:p w14:paraId="283E2A35" w14:textId="295C0E87" w:rsidR="000B7D6F" w:rsidRPr="00FC21BD" w:rsidRDefault="000B7D6F" w:rsidP="000B7D6F">
            <w:pPr>
              <w:pStyle w:val="NCLTableText"/>
              <w:spacing w:before="0" w:after="0"/>
              <w:jc w:val="left"/>
              <w:cnfStyle w:val="000000000000" w:firstRow="0" w:lastRow="0" w:firstColumn="0" w:lastColumn="0" w:oddVBand="0" w:evenVBand="0" w:oddHBand="0" w:evenHBand="0" w:firstRowFirstColumn="0" w:firstRowLastColumn="0" w:lastRowFirstColumn="0" w:lastRowLastColumn="0"/>
              <w:rPr>
                <w:szCs w:val="20"/>
              </w:rPr>
            </w:pPr>
            <w:r w:rsidRPr="00FC21BD">
              <w:rPr>
                <w:rFonts w:asciiTheme="minorHAnsi" w:hAnsiTheme="minorHAnsi"/>
                <w:szCs w:val="20"/>
              </w:rPr>
              <w:t>V1</w:t>
            </w:r>
          </w:p>
        </w:tc>
        <w:tc>
          <w:tcPr>
            <w:tcW w:w="6416" w:type="dxa"/>
          </w:tcPr>
          <w:p w14:paraId="4BA619F3" w14:textId="77777777" w:rsidR="000B7D6F" w:rsidRPr="00FC21BD" w:rsidRDefault="000B7D6F" w:rsidP="000B7D6F">
            <w:pPr>
              <w:pStyle w:val="Default"/>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C21BD">
              <w:rPr>
                <w:rFonts w:asciiTheme="minorHAnsi" w:hAnsiTheme="minorHAnsi"/>
                <w:sz w:val="20"/>
                <w:szCs w:val="20"/>
              </w:rPr>
              <w:t>New document</w:t>
            </w:r>
          </w:p>
          <w:p w14:paraId="73E60526" w14:textId="7622D9EE" w:rsidR="000B7D6F" w:rsidRPr="00FC21BD" w:rsidRDefault="000B7D6F" w:rsidP="000B7D6F">
            <w:pPr>
              <w:pStyle w:val="NCLTableText"/>
              <w:spacing w:after="0"/>
              <w:cnfStyle w:val="000000000000" w:firstRow="0" w:lastRow="0" w:firstColumn="0" w:lastColumn="0" w:oddVBand="0" w:evenVBand="0" w:oddHBand="0" w:evenHBand="0" w:firstRowFirstColumn="0" w:firstRowLastColumn="0" w:lastRowFirstColumn="0" w:lastRowLastColumn="0"/>
              <w:rPr>
                <w:szCs w:val="20"/>
              </w:rPr>
            </w:pPr>
            <w:r w:rsidRPr="00FC21BD">
              <w:rPr>
                <w:rFonts w:asciiTheme="minorHAnsi" w:hAnsiTheme="minorHAnsi"/>
                <w:szCs w:val="20"/>
              </w:rPr>
              <w:t>(</w:t>
            </w:r>
            <w:r w:rsidR="003F57B6" w:rsidRPr="00FC21BD">
              <w:rPr>
                <w:rFonts w:asciiTheme="minorHAnsi" w:hAnsiTheme="minorHAnsi"/>
                <w:szCs w:val="20"/>
              </w:rPr>
              <w:t>Based</w:t>
            </w:r>
            <w:r w:rsidRPr="00FC21BD">
              <w:rPr>
                <w:rFonts w:asciiTheme="minorHAnsi" w:hAnsiTheme="minorHAnsi"/>
                <w:szCs w:val="20"/>
              </w:rPr>
              <w:t xml:space="preserve"> on previous BEHMHT November 2015)</w:t>
            </w:r>
          </w:p>
        </w:tc>
      </w:tr>
      <w:tr w:rsidR="00602D17" w:rsidRPr="00751648" w14:paraId="5F2EE983" w14:textId="77777777" w:rsidTr="000B7D6F">
        <w:tc>
          <w:tcPr>
            <w:cnfStyle w:val="001000000000" w:firstRow="0" w:lastRow="0" w:firstColumn="1" w:lastColumn="0" w:oddVBand="0" w:evenVBand="0" w:oddHBand="0" w:evenHBand="0" w:firstRowFirstColumn="0" w:firstRowLastColumn="0" w:lastRowFirstColumn="0" w:lastRowLastColumn="0"/>
            <w:tcW w:w="1219" w:type="dxa"/>
          </w:tcPr>
          <w:p w14:paraId="2A3F882A" w14:textId="77777777" w:rsidR="00602D17" w:rsidRPr="00FC21BD" w:rsidRDefault="00602D17" w:rsidP="005956A4">
            <w:pPr>
              <w:pStyle w:val="NCLTableText"/>
              <w:jc w:val="left"/>
              <w:rPr>
                <w:szCs w:val="20"/>
              </w:rPr>
            </w:pPr>
            <w:r w:rsidRPr="00FC21BD">
              <w:rPr>
                <w:szCs w:val="20"/>
              </w:rPr>
              <w:t xml:space="preserve">December 2022 </w:t>
            </w:r>
          </w:p>
        </w:tc>
        <w:tc>
          <w:tcPr>
            <w:tcW w:w="1687" w:type="dxa"/>
          </w:tcPr>
          <w:p w14:paraId="625782E8" w14:textId="77777777" w:rsidR="00602D17" w:rsidRPr="00FC21BD" w:rsidRDefault="00602D17" w:rsidP="005956A4">
            <w:pPr>
              <w:pStyle w:val="NCLTableText"/>
              <w:spacing w:before="0" w:after="0"/>
              <w:jc w:val="left"/>
              <w:cnfStyle w:val="000000000000" w:firstRow="0" w:lastRow="0" w:firstColumn="0" w:lastColumn="0" w:oddVBand="0" w:evenVBand="0" w:oddHBand="0" w:evenHBand="0" w:firstRowFirstColumn="0" w:firstRowLastColumn="0" w:lastRowFirstColumn="0" w:lastRowLastColumn="0"/>
              <w:rPr>
                <w:szCs w:val="20"/>
              </w:rPr>
            </w:pPr>
            <w:r w:rsidRPr="00FC21BD">
              <w:rPr>
                <w:szCs w:val="20"/>
              </w:rPr>
              <w:t>V2.0</w:t>
            </w:r>
          </w:p>
        </w:tc>
        <w:tc>
          <w:tcPr>
            <w:tcW w:w="6416" w:type="dxa"/>
          </w:tcPr>
          <w:p w14:paraId="2DC80815" w14:textId="77777777" w:rsidR="000B7D6F" w:rsidRPr="00FC21BD" w:rsidRDefault="000B7D6F" w:rsidP="000B7D6F">
            <w:pPr>
              <w:pStyle w:val="NCLTableText"/>
              <w:spacing w:after="0"/>
              <w:cnfStyle w:val="000000000000" w:firstRow="0" w:lastRow="0" w:firstColumn="0" w:lastColumn="0" w:oddVBand="0" w:evenVBand="0" w:oddHBand="0" w:evenHBand="0" w:firstRowFirstColumn="0" w:firstRowLastColumn="0" w:lastRowFirstColumn="0" w:lastRowLastColumn="0"/>
              <w:rPr>
                <w:szCs w:val="20"/>
              </w:rPr>
            </w:pPr>
            <w:r w:rsidRPr="00FC21BD">
              <w:rPr>
                <w:szCs w:val="20"/>
              </w:rPr>
              <w:t>Addition of guanfacine as a treatment option</w:t>
            </w:r>
          </w:p>
          <w:p w14:paraId="6DEAE657" w14:textId="3FDBE485" w:rsidR="000B7D6F" w:rsidRPr="00FC21BD" w:rsidRDefault="00623748" w:rsidP="000B7D6F">
            <w:pPr>
              <w:pStyle w:val="NCLTableText"/>
              <w:spacing w:after="0"/>
              <w:cnfStyle w:val="000000000000" w:firstRow="0" w:lastRow="0" w:firstColumn="0" w:lastColumn="0" w:oddVBand="0" w:evenVBand="0" w:oddHBand="0" w:evenHBand="0" w:firstRowFirstColumn="0" w:firstRowLastColumn="0" w:lastRowFirstColumn="0" w:lastRowLastColumn="0"/>
              <w:rPr>
                <w:szCs w:val="20"/>
              </w:rPr>
            </w:pPr>
            <w:r>
              <w:rPr>
                <w:szCs w:val="20"/>
              </w:rPr>
              <w:t>Transfer of responsibility of</w:t>
            </w:r>
            <w:r w:rsidR="00624F7D">
              <w:rPr>
                <w:szCs w:val="20"/>
              </w:rPr>
              <w:t xml:space="preserve"> requesting and interpreting</w:t>
            </w:r>
            <w:r>
              <w:rPr>
                <w:szCs w:val="20"/>
              </w:rPr>
              <w:t xml:space="preserve"> cardiac ECG</w:t>
            </w:r>
            <w:r w:rsidR="00624F7D">
              <w:rPr>
                <w:szCs w:val="20"/>
              </w:rPr>
              <w:t>s</w:t>
            </w:r>
            <w:r>
              <w:rPr>
                <w:szCs w:val="20"/>
              </w:rPr>
              <w:t xml:space="preserve"> </w:t>
            </w:r>
            <w:r w:rsidR="00624F7D">
              <w:rPr>
                <w:szCs w:val="20"/>
              </w:rPr>
              <w:t xml:space="preserve">from </w:t>
            </w:r>
            <w:r w:rsidR="000B7D6F" w:rsidRPr="00FC21BD">
              <w:rPr>
                <w:szCs w:val="20"/>
              </w:rPr>
              <w:t xml:space="preserve">GP </w:t>
            </w:r>
            <w:r w:rsidR="00624F7D">
              <w:rPr>
                <w:szCs w:val="20"/>
              </w:rPr>
              <w:t>to consultant / specialist team</w:t>
            </w:r>
          </w:p>
          <w:p w14:paraId="5CFC895F" w14:textId="0838DA52" w:rsidR="00602D17" w:rsidRPr="00FC21BD" w:rsidRDefault="000B7D6F" w:rsidP="000B7D6F">
            <w:pPr>
              <w:pStyle w:val="NCLTableText"/>
              <w:jc w:val="left"/>
              <w:cnfStyle w:val="000000000000" w:firstRow="0" w:lastRow="0" w:firstColumn="0" w:lastColumn="0" w:oddVBand="0" w:evenVBand="0" w:oddHBand="0" w:evenHBand="0" w:firstRowFirstColumn="0" w:firstRowLastColumn="0" w:lastRowFirstColumn="0" w:lastRowLastColumn="0"/>
              <w:rPr>
                <w:szCs w:val="20"/>
              </w:rPr>
            </w:pPr>
            <w:r w:rsidRPr="00FC21BD">
              <w:rPr>
                <w:szCs w:val="20"/>
              </w:rPr>
              <w:t xml:space="preserve">Addition of ICB Medicines Management team </w:t>
            </w:r>
            <w:r w:rsidR="00FC21BD" w:rsidRPr="00FC21BD">
              <w:rPr>
                <w:szCs w:val="20"/>
              </w:rPr>
              <w:t>responsibilities</w:t>
            </w:r>
            <w:r w:rsidRPr="00FC21BD">
              <w:rPr>
                <w:szCs w:val="20"/>
              </w:rPr>
              <w:t xml:space="preserve"> </w:t>
            </w:r>
          </w:p>
        </w:tc>
      </w:tr>
    </w:tbl>
    <w:tbl>
      <w:tblPr>
        <w:tblStyle w:val="TableGrid"/>
        <w:tblW w:w="0" w:type="auto"/>
        <w:tblLook w:val="04A0" w:firstRow="1" w:lastRow="0" w:firstColumn="1" w:lastColumn="0" w:noHBand="0" w:noVBand="1"/>
      </w:tblPr>
      <w:tblGrid>
        <w:gridCol w:w="4106"/>
        <w:gridCol w:w="5216"/>
      </w:tblGrid>
      <w:tr w:rsidR="00602D17" w:rsidRPr="00751648" w14:paraId="7F17272E" w14:textId="77777777" w:rsidTr="000277F8">
        <w:tc>
          <w:tcPr>
            <w:tcW w:w="4106" w:type="dxa"/>
          </w:tcPr>
          <w:p w14:paraId="3FFB0AAE" w14:textId="77777777" w:rsidR="00602D17" w:rsidRPr="00BE4828" w:rsidRDefault="00602D17" w:rsidP="005956A4">
            <w:pPr>
              <w:pStyle w:val="NCLTableText"/>
            </w:pPr>
            <w:r w:rsidRPr="00BE4828">
              <w:t>Groups / Individuals who have overseen the development of this guidance:</w:t>
            </w:r>
          </w:p>
        </w:tc>
        <w:tc>
          <w:tcPr>
            <w:tcW w:w="5216" w:type="dxa"/>
          </w:tcPr>
          <w:p w14:paraId="1CD599FE" w14:textId="77777777" w:rsidR="00602D17" w:rsidRPr="00BE4828" w:rsidRDefault="00602D17" w:rsidP="005956A4">
            <w:pPr>
              <w:pStyle w:val="NCLTableText"/>
            </w:pPr>
            <w:r w:rsidRPr="00BE4828">
              <w:t>Dr Raj Sekaran (Consultant, BEH)</w:t>
            </w:r>
          </w:p>
          <w:p w14:paraId="49816483" w14:textId="77777777" w:rsidR="00602D17" w:rsidRPr="00BE4828" w:rsidRDefault="00602D17" w:rsidP="005956A4">
            <w:pPr>
              <w:pStyle w:val="NCLTableText"/>
            </w:pPr>
            <w:r w:rsidRPr="00BE4828">
              <w:t>Joy Ihenyen (CAMHS Specialist Pharmacist BEH)</w:t>
            </w:r>
          </w:p>
          <w:p w14:paraId="03F9DB1F" w14:textId="77777777" w:rsidR="00602D17" w:rsidRPr="00BE4828" w:rsidRDefault="00602D17" w:rsidP="005956A4">
            <w:pPr>
              <w:pStyle w:val="NCLTableText"/>
            </w:pPr>
            <w:r w:rsidRPr="00BE4828">
              <w:t>Katherine Delargy (Chief Pharmacist, BEH)</w:t>
            </w:r>
          </w:p>
          <w:p w14:paraId="326B73D8" w14:textId="0FB8BAE0" w:rsidR="00602D17" w:rsidRDefault="00602D17" w:rsidP="005956A4">
            <w:pPr>
              <w:pStyle w:val="NCLTableText"/>
            </w:pPr>
            <w:r w:rsidRPr="00BE4828">
              <w:t xml:space="preserve">Gurpal Grewal (Formulary and Medicines </w:t>
            </w:r>
            <w:r w:rsidR="00E9229C" w:rsidRPr="00BE4828">
              <w:t>Optimisation Pharmacist</w:t>
            </w:r>
            <w:r w:rsidRPr="00BE4828">
              <w:t>, NCL-JFC)</w:t>
            </w:r>
          </w:p>
          <w:p w14:paraId="2357EC76" w14:textId="0374700E" w:rsidR="000B7D6F" w:rsidRPr="00BE4828" w:rsidRDefault="000B7D6F" w:rsidP="005956A4">
            <w:pPr>
              <w:pStyle w:val="NCLTableText"/>
            </w:pPr>
            <w:r>
              <w:t>Jay Pang</w:t>
            </w:r>
            <w:r w:rsidR="00FC21BD">
              <w:t xml:space="preserve"> (Lead </w:t>
            </w:r>
            <w:r w:rsidR="000A2A77">
              <w:t>Pharmacist</w:t>
            </w:r>
            <w:r w:rsidR="00FC21BD">
              <w:t>, NCL IPMO Programme Team)</w:t>
            </w:r>
          </w:p>
        </w:tc>
      </w:tr>
      <w:tr w:rsidR="00602D17" w:rsidRPr="00751648" w14:paraId="56FE836F" w14:textId="77777777" w:rsidTr="000277F8">
        <w:tc>
          <w:tcPr>
            <w:tcW w:w="4106" w:type="dxa"/>
          </w:tcPr>
          <w:p w14:paraId="36471862" w14:textId="77777777" w:rsidR="00602D17" w:rsidRPr="00751648" w:rsidRDefault="00602D17" w:rsidP="005956A4">
            <w:pPr>
              <w:pStyle w:val="NCLTableText"/>
            </w:pPr>
            <w:r w:rsidRPr="00751648">
              <w:t>Groups which were consulted and have given approval:</w:t>
            </w:r>
          </w:p>
        </w:tc>
        <w:tc>
          <w:tcPr>
            <w:tcW w:w="5216" w:type="dxa"/>
          </w:tcPr>
          <w:p w14:paraId="607F2710" w14:textId="77777777" w:rsidR="00602D17" w:rsidRPr="00BE4828" w:rsidRDefault="00602D17" w:rsidP="005956A4">
            <w:pPr>
              <w:pStyle w:val="NCLTableText"/>
              <w:rPr>
                <w:szCs w:val="20"/>
              </w:rPr>
            </w:pPr>
            <w:r w:rsidRPr="00BE4828">
              <w:rPr>
                <w:szCs w:val="20"/>
              </w:rPr>
              <w:t>BEH MHT Drugs and Therapeutics Group</w:t>
            </w:r>
          </w:p>
          <w:p w14:paraId="090A8B40" w14:textId="77777777" w:rsidR="00602D17" w:rsidRPr="00BE4828" w:rsidRDefault="00602D17" w:rsidP="005956A4">
            <w:pPr>
              <w:pStyle w:val="NCLTableText"/>
              <w:rPr>
                <w:szCs w:val="20"/>
              </w:rPr>
            </w:pPr>
            <w:r w:rsidRPr="00BE4828">
              <w:rPr>
                <w:szCs w:val="20"/>
              </w:rPr>
              <w:t>NCL ICB – Prescribing Advisors</w:t>
            </w:r>
          </w:p>
          <w:p w14:paraId="748CC215" w14:textId="3322FB13" w:rsidR="00602D17" w:rsidRPr="00BE4828" w:rsidRDefault="00602D17" w:rsidP="005956A4">
            <w:pPr>
              <w:pStyle w:val="NCLTableText"/>
              <w:rPr>
                <w:szCs w:val="20"/>
              </w:rPr>
            </w:pPr>
            <w:r w:rsidRPr="00BE4828">
              <w:rPr>
                <w:szCs w:val="20"/>
              </w:rPr>
              <w:t>NCL Shared Care Group</w:t>
            </w:r>
            <w:r w:rsidR="000B7D6F">
              <w:rPr>
                <w:szCs w:val="20"/>
              </w:rPr>
              <w:t xml:space="preserve"> </w:t>
            </w:r>
            <w:proofErr w:type="gramStart"/>
            <w:r w:rsidR="000B7D6F">
              <w:rPr>
                <w:szCs w:val="20"/>
              </w:rPr>
              <w:t>on:</w:t>
            </w:r>
            <w:proofErr w:type="gramEnd"/>
            <w:r w:rsidR="000B7D6F">
              <w:rPr>
                <w:szCs w:val="20"/>
              </w:rPr>
              <w:t xml:space="preserve"> </w:t>
            </w:r>
            <w:r w:rsidR="00772C9A">
              <w:rPr>
                <w:szCs w:val="20"/>
              </w:rPr>
              <w:t>14</w:t>
            </w:r>
            <w:r w:rsidR="00772C9A" w:rsidRPr="00772C9A">
              <w:rPr>
                <w:szCs w:val="20"/>
                <w:vertAlign w:val="superscript"/>
              </w:rPr>
              <w:t>th</w:t>
            </w:r>
            <w:r w:rsidR="00772C9A">
              <w:rPr>
                <w:szCs w:val="20"/>
              </w:rPr>
              <w:t xml:space="preserve"> May 2024</w:t>
            </w:r>
          </w:p>
        </w:tc>
      </w:tr>
      <w:tr w:rsidR="00602D17" w:rsidRPr="00751648" w14:paraId="4C990610" w14:textId="77777777" w:rsidTr="000277F8">
        <w:tc>
          <w:tcPr>
            <w:tcW w:w="4106" w:type="dxa"/>
          </w:tcPr>
          <w:p w14:paraId="7D051110" w14:textId="77777777" w:rsidR="00602D17" w:rsidRPr="00751648" w:rsidRDefault="00602D17" w:rsidP="005956A4">
            <w:pPr>
              <w:pStyle w:val="NCLTableText"/>
            </w:pPr>
            <w:r w:rsidRPr="00751648">
              <w:t>File name:</w:t>
            </w:r>
          </w:p>
        </w:tc>
        <w:tc>
          <w:tcPr>
            <w:tcW w:w="5216" w:type="dxa"/>
          </w:tcPr>
          <w:p w14:paraId="466C878D" w14:textId="036BCFB5" w:rsidR="00602D17" w:rsidRPr="00BE4828" w:rsidRDefault="0076360A" w:rsidP="005956A4">
            <w:pPr>
              <w:pStyle w:val="NCLTableText"/>
              <w:rPr>
                <w:szCs w:val="20"/>
              </w:rPr>
            </w:pPr>
            <w:proofErr w:type="spellStart"/>
            <w:r>
              <w:rPr>
                <w:szCs w:val="20"/>
              </w:rPr>
              <w:t>SCG_ADHD_paediatrics</w:t>
            </w:r>
            <w:proofErr w:type="spellEnd"/>
          </w:p>
        </w:tc>
      </w:tr>
      <w:tr w:rsidR="00602D17" w:rsidRPr="00751648" w14:paraId="2116D9EA" w14:textId="77777777" w:rsidTr="000277F8">
        <w:tc>
          <w:tcPr>
            <w:tcW w:w="4106" w:type="dxa"/>
          </w:tcPr>
          <w:p w14:paraId="258A657C" w14:textId="77777777" w:rsidR="00602D17" w:rsidRPr="00751648" w:rsidRDefault="00602D17" w:rsidP="005956A4">
            <w:pPr>
              <w:pStyle w:val="NCLTableText"/>
            </w:pPr>
            <w:r w:rsidRPr="00751648">
              <w:t>Version number:</w:t>
            </w:r>
          </w:p>
        </w:tc>
        <w:tc>
          <w:tcPr>
            <w:tcW w:w="5216" w:type="dxa"/>
          </w:tcPr>
          <w:p w14:paraId="49641F70" w14:textId="77777777" w:rsidR="00602D17" w:rsidRPr="00751648" w:rsidRDefault="00602D17" w:rsidP="005956A4">
            <w:pPr>
              <w:pStyle w:val="NCLTableText"/>
            </w:pPr>
            <w:r>
              <w:t>2.0</w:t>
            </w:r>
          </w:p>
        </w:tc>
      </w:tr>
      <w:tr w:rsidR="00602D17" w:rsidRPr="00751648" w14:paraId="62019FCE" w14:textId="77777777" w:rsidTr="000277F8">
        <w:tc>
          <w:tcPr>
            <w:tcW w:w="4106" w:type="dxa"/>
          </w:tcPr>
          <w:p w14:paraId="04B2B1C4" w14:textId="77777777" w:rsidR="00602D17" w:rsidRPr="00751648" w:rsidRDefault="00602D17" w:rsidP="005956A4">
            <w:pPr>
              <w:pStyle w:val="NCLTableText"/>
            </w:pPr>
            <w:r w:rsidRPr="00751648">
              <w:t>Available on:</w:t>
            </w:r>
          </w:p>
        </w:tc>
        <w:tc>
          <w:tcPr>
            <w:tcW w:w="5216" w:type="dxa"/>
          </w:tcPr>
          <w:p w14:paraId="565A51D1" w14:textId="756B2443" w:rsidR="00602D17" w:rsidRPr="00751648" w:rsidRDefault="00CE7FE2" w:rsidP="005956A4">
            <w:pPr>
              <w:pStyle w:val="NCLTableText"/>
            </w:pPr>
            <w:hyperlink r:id="rId12" w:history="1">
              <w:r w:rsidR="00314BED" w:rsidRPr="00526683">
                <w:rPr>
                  <w:rStyle w:val="Hyperlink"/>
                </w:rPr>
                <w:t>https://nclhealthandcare.org.uk/</w:t>
              </w:r>
            </w:hyperlink>
            <w:r w:rsidR="00314BED">
              <w:t xml:space="preserve"> </w:t>
            </w:r>
          </w:p>
        </w:tc>
      </w:tr>
      <w:tr w:rsidR="00602D17" w:rsidRPr="00751648" w14:paraId="4F1FCA90" w14:textId="77777777" w:rsidTr="000277F8">
        <w:tc>
          <w:tcPr>
            <w:tcW w:w="4106" w:type="dxa"/>
          </w:tcPr>
          <w:p w14:paraId="735C9CB7" w14:textId="77777777" w:rsidR="00602D17" w:rsidRPr="00751648" w:rsidRDefault="00602D17" w:rsidP="005956A4">
            <w:pPr>
              <w:pStyle w:val="NCLTableText"/>
            </w:pPr>
            <w:r w:rsidRPr="00751648">
              <w:t>Disseminated to:</w:t>
            </w:r>
          </w:p>
        </w:tc>
        <w:tc>
          <w:tcPr>
            <w:tcW w:w="5216" w:type="dxa"/>
          </w:tcPr>
          <w:p w14:paraId="42F5147D" w14:textId="77777777" w:rsidR="00602D17" w:rsidRPr="00751648" w:rsidRDefault="00602D17" w:rsidP="005956A4">
            <w:pPr>
              <w:pStyle w:val="NCLTableText"/>
            </w:pPr>
            <w:r>
              <w:t>Formulary Pharmacists, Commissioners and CAMHS services</w:t>
            </w:r>
          </w:p>
        </w:tc>
      </w:tr>
      <w:tr w:rsidR="00602D17" w:rsidRPr="00751648" w14:paraId="4CD9121C" w14:textId="77777777" w:rsidTr="000277F8">
        <w:tc>
          <w:tcPr>
            <w:tcW w:w="4106" w:type="dxa"/>
          </w:tcPr>
          <w:p w14:paraId="11AAD746" w14:textId="77777777" w:rsidR="00602D17" w:rsidRPr="00751648" w:rsidRDefault="00602D17" w:rsidP="005956A4">
            <w:pPr>
              <w:pStyle w:val="NCLTableText"/>
            </w:pPr>
            <w:r w:rsidRPr="00751648">
              <w:t>Equality impact assessment:</w:t>
            </w:r>
          </w:p>
        </w:tc>
        <w:tc>
          <w:tcPr>
            <w:tcW w:w="5216" w:type="dxa"/>
          </w:tcPr>
          <w:p w14:paraId="62114D8D" w14:textId="77777777" w:rsidR="00602D17" w:rsidRPr="00751648" w:rsidRDefault="00602D17" w:rsidP="005956A4">
            <w:pPr>
              <w:pStyle w:val="NCLTableText"/>
            </w:pPr>
            <w:r>
              <w:t>Nil identified</w:t>
            </w:r>
          </w:p>
        </w:tc>
      </w:tr>
      <w:tr w:rsidR="00602D17" w:rsidRPr="00751648" w14:paraId="68D02138" w14:textId="77777777" w:rsidTr="000277F8">
        <w:tc>
          <w:tcPr>
            <w:tcW w:w="4106" w:type="dxa"/>
          </w:tcPr>
          <w:p w14:paraId="3E9887A0" w14:textId="77777777" w:rsidR="00602D17" w:rsidRPr="00751648" w:rsidRDefault="00602D17" w:rsidP="005956A4">
            <w:pPr>
              <w:pStyle w:val="NCLTableText"/>
            </w:pPr>
            <w:r>
              <w:t>NCL Shared Care Group</w:t>
            </w:r>
            <w:r w:rsidRPr="00751648">
              <w:t xml:space="preserve"> Approval date:</w:t>
            </w:r>
          </w:p>
        </w:tc>
        <w:tc>
          <w:tcPr>
            <w:tcW w:w="5216" w:type="dxa"/>
          </w:tcPr>
          <w:p w14:paraId="7C97DB97" w14:textId="6FED3B99" w:rsidR="00602D17" w:rsidRPr="00751648" w:rsidRDefault="00762B87" w:rsidP="005956A4">
            <w:pPr>
              <w:pStyle w:val="NCLTableText"/>
            </w:pPr>
            <w:r>
              <w:t>May 2024</w:t>
            </w:r>
          </w:p>
        </w:tc>
      </w:tr>
      <w:tr w:rsidR="00602D17" w:rsidRPr="00751648" w14:paraId="396745A3" w14:textId="77777777" w:rsidTr="000277F8">
        <w:tc>
          <w:tcPr>
            <w:tcW w:w="4106" w:type="dxa"/>
          </w:tcPr>
          <w:p w14:paraId="13975ACE" w14:textId="77777777" w:rsidR="00602D17" w:rsidRPr="00751648" w:rsidRDefault="00602D17" w:rsidP="005956A4">
            <w:pPr>
              <w:pStyle w:val="NCLTableText"/>
            </w:pPr>
            <w:r w:rsidRPr="00751648">
              <w:lastRenderedPageBreak/>
              <w:t>Review date:</w:t>
            </w:r>
          </w:p>
        </w:tc>
        <w:tc>
          <w:tcPr>
            <w:tcW w:w="5216" w:type="dxa"/>
          </w:tcPr>
          <w:p w14:paraId="3083552C" w14:textId="3CF04694" w:rsidR="00602D17" w:rsidRPr="00751648" w:rsidRDefault="000277F8" w:rsidP="0064185A">
            <w:pPr>
              <w:pStyle w:val="NCLTableText"/>
              <w:tabs>
                <w:tab w:val="right" w:pos="5000"/>
              </w:tabs>
            </w:pPr>
            <w:r>
              <w:t>May 2027</w:t>
            </w:r>
            <w:r w:rsidR="0064185A">
              <w:tab/>
            </w:r>
          </w:p>
        </w:tc>
      </w:tr>
    </w:tbl>
    <w:sdt>
      <w:sdtPr>
        <w:rPr>
          <w:rFonts w:eastAsia="Times New Roman" w:cs="Times New Roman"/>
          <w:b w:val="0"/>
          <w:bCs w:val="0"/>
          <w:color w:val="auto"/>
          <w:sz w:val="20"/>
          <w:szCs w:val="20"/>
          <w:lang w:eastAsia="en-US"/>
        </w:rPr>
        <w:id w:val="2147310669"/>
        <w:docPartObj>
          <w:docPartGallery w:val="Table of Contents"/>
          <w:docPartUnique/>
        </w:docPartObj>
      </w:sdtPr>
      <w:sdtEndPr>
        <w:rPr>
          <w:noProof/>
        </w:rPr>
      </w:sdtEndPr>
      <w:sdtContent>
        <w:p w14:paraId="1EB74881" w14:textId="5D347596" w:rsidR="00D67E1D" w:rsidRDefault="00D67E1D">
          <w:pPr>
            <w:pStyle w:val="TOCHeading"/>
          </w:pPr>
          <w:r>
            <w:t>Contents</w:t>
          </w:r>
          <w:r w:rsidR="00057488">
            <w:t xml:space="preserve"> </w:t>
          </w:r>
        </w:p>
        <w:p w14:paraId="0CE85A73" w14:textId="736C9777" w:rsidR="00711334" w:rsidRDefault="00D67E1D">
          <w:pPr>
            <w:pStyle w:val="TOC1"/>
            <w:tabs>
              <w:tab w:val="left" w:pos="442"/>
              <w:tab w:val="right" w:leader="dot" w:pos="9322"/>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42095036" w:history="1">
            <w:r w:rsidR="00711334" w:rsidRPr="00B10712">
              <w:rPr>
                <w:rStyle w:val="Hyperlink"/>
                <w:noProof/>
              </w:rPr>
              <w:t>1.</w:t>
            </w:r>
            <w:r w:rsidR="00711334">
              <w:rPr>
                <w:rFonts w:asciiTheme="minorHAnsi" w:eastAsiaTheme="minorEastAsia" w:hAnsiTheme="minorHAnsi" w:cstheme="minorBidi"/>
                <w:noProof/>
                <w:lang w:eastAsia="en-GB"/>
              </w:rPr>
              <w:tab/>
            </w:r>
            <w:r w:rsidR="00711334" w:rsidRPr="00B10712">
              <w:rPr>
                <w:rStyle w:val="Hyperlink"/>
                <w:noProof/>
              </w:rPr>
              <w:t>Introduction</w:t>
            </w:r>
            <w:r w:rsidR="00711334">
              <w:rPr>
                <w:noProof/>
                <w:webHidden/>
              </w:rPr>
              <w:tab/>
            </w:r>
            <w:r w:rsidR="00711334">
              <w:rPr>
                <w:noProof/>
                <w:webHidden/>
              </w:rPr>
              <w:fldChar w:fldCharType="begin"/>
            </w:r>
            <w:r w:rsidR="00711334">
              <w:rPr>
                <w:noProof/>
                <w:webHidden/>
              </w:rPr>
              <w:instrText xml:space="preserve"> PAGEREF _Toc42095036 \h </w:instrText>
            </w:r>
            <w:r w:rsidR="00711334">
              <w:rPr>
                <w:noProof/>
                <w:webHidden/>
              </w:rPr>
            </w:r>
            <w:r w:rsidR="00711334">
              <w:rPr>
                <w:noProof/>
                <w:webHidden/>
              </w:rPr>
              <w:fldChar w:fldCharType="separate"/>
            </w:r>
            <w:r w:rsidR="00871302">
              <w:rPr>
                <w:noProof/>
                <w:webHidden/>
              </w:rPr>
              <w:t>2</w:t>
            </w:r>
            <w:r w:rsidR="00711334">
              <w:rPr>
                <w:noProof/>
                <w:webHidden/>
              </w:rPr>
              <w:fldChar w:fldCharType="end"/>
            </w:r>
          </w:hyperlink>
        </w:p>
        <w:p w14:paraId="48E29D6E" w14:textId="5FD7DB23" w:rsidR="00711334" w:rsidRDefault="00CE7FE2">
          <w:pPr>
            <w:pStyle w:val="TOC1"/>
            <w:tabs>
              <w:tab w:val="left" w:pos="442"/>
              <w:tab w:val="right" w:leader="dot" w:pos="9322"/>
            </w:tabs>
            <w:rPr>
              <w:rFonts w:asciiTheme="minorHAnsi" w:eastAsiaTheme="minorEastAsia" w:hAnsiTheme="minorHAnsi" w:cstheme="minorBidi"/>
              <w:noProof/>
              <w:lang w:eastAsia="en-GB"/>
            </w:rPr>
          </w:pPr>
          <w:hyperlink w:anchor="_Toc42095037" w:history="1">
            <w:r w:rsidR="00711334" w:rsidRPr="00B10712">
              <w:rPr>
                <w:rStyle w:val="Hyperlink"/>
                <w:noProof/>
              </w:rPr>
              <w:t>2.</w:t>
            </w:r>
            <w:r w:rsidR="00711334">
              <w:rPr>
                <w:rFonts w:asciiTheme="minorHAnsi" w:eastAsiaTheme="minorEastAsia" w:hAnsiTheme="minorHAnsi" w:cstheme="minorBidi"/>
                <w:noProof/>
                <w:lang w:eastAsia="en-GB"/>
              </w:rPr>
              <w:tab/>
            </w:r>
            <w:r w:rsidR="00711334" w:rsidRPr="00B10712">
              <w:rPr>
                <w:rStyle w:val="Hyperlink"/>
                <w:noProof/>
              </w:rPr>
              <w:t>Shared Care criteria</w:t>
            </w:r>
            <w:r w:rsidR="00711334">
              <w:rPr>
                <w:noProof/>
                <w:webHidden/>
              </w:rPr>
              <w:tab/>
            </w:r>
            <w:r w:rsidR="00711334">
              <w:rPr>
                <w:noProof/>
                <w:webHidden/>
              </w:rPr>
              <w:fldChar w:fldCharType="begin"/>
            </w:r>
            <w:r w:rsidR="00711334">
              <w:rPr>
                <w:noProof/>
                <w:webHidden/>
              </w:rPr>
              <w:instrText xml:space="preserve"> PAGEREF _Toc42095037 \h </w:instrText>
            </w:r>
            <w:r w:rsidR="00711334">
              <w:rPr>
                <w:noProof/>
                <w:webHidden/>
              </w:rPr>
            </w:r>
            <w:r w:rsidR="00711334">
              <w:rPr>
                <w:noProof/>
                <w:webHidden/>
              </w:rPr>
              <w:fldChar w:fldCharType="separate"/>
            </w:r>
            <w:r w:rsidR="00871302">
              <w:rPr>
                <w:noProof/>
                <w:webHidden/>
              </w:rPr>
              <w:t>3</w:t>
            </w:r>
            <w:r w:rsidR="00711334">
              <w:rPr>
                <w:noProof/>
                <w:webHidden/>
              </w:rPr>
              <w:fldChar w:fldCharType="end"/>
            </w:r>
          </w:hyperlink>
        </w:p>
        <w:p w14:paraId="38BE72E2" w14:textId="23157CC2" w:rsidR="00711334" w:rsidRDefault="00CE7FE2">
          <w:pPr>
            <w:pStyle w:val="TOC1"/>
            <w:tabs>
              <w:tab w:val="left" w:pos="442"/>
              <w:tab w:val="right" w:leader="dot" w:pos="9322"/>
            </w:tabs>
            <w:rPr>
              <w:rFonts w:asciiTheme="minorHAnsi" w:eastAsiaTheme="minorEastAsia" w:hAnsiTheme="minorHAnsi" w:cstheme="minorBidi"/>
              <w:noProof/>
              <w:lang w:eastAsia="en-GB"/>
            </w:rPr>
          </w:pPr>
          <w:hyperlink w:anchor="_Toc42095038" w:history="1">
            <w:r w:rsidR="00711334" w:rsidRPr="00B10712">
              <w:rPr>
                <w:rStyle w:val="Hyperlink"/>
                <w:noProof/>
              </w:rPr>
              <w:t>3.</w:t>
            </w:r>
            <w:r w:rsidR="00711334">
              <w:rPr>
                <w:rFonts w:asciiTheme="minorHAnsi" w:eastAsiaTheme="minorEastAsia" w:hAnsiTheme="minorHAnsi" w:cstheme="minorBidi"/>
                <w:noProof/>
                <w:lang w:eastAsia="en-GB"/>
              </w:rPr>
              <w:tab/>
            </w:r>
            <w:r w:rsidR="00711334" w:rsidRPr="00B10712">
              <w:rPr>
                <w:rStyle w:val="Hyperlink"/>
                <w:noProof/>
              </w:rPr>
              <w:t>Shared care responsibilities</w:t>
            </w:r>
            <w:r w:rsidR="00711334">
              <w:rPr>
                <w:noProof/>
                <w:webHidden/>
              </w:rPr>
              <w:tab/>
            </w:r>
            <w:r w:rsidR="00711334">
              <w:rPr>
                <w:noProof/>
                <w:webHidden/>
              </w:rPr>
              <w:fldChar w:fldCharType="begin"/>
            </w:r>
            <w:r w:rsidR="00711334">
              <w:rPr>
                <w:noProof/>
                <w:webHidden/>
              </w:rPr>
              <w:instrText xml:space="preserve"> PAGEREF _Toc42095038 \h </w:instrText>
            </w:r>
            <w:r w:rsidR="00711334">
              <w:rPr>
                <w:noProof/>
                <w:webHidden/>
              </w:rPr>
            </w:r>
            <w:r w:rsidR="00711334">
              <w:rPr>
                <w:noProof/>
                <w:webHidden/>
              </w:rPr>
              <w:fldChar w:fldCharType="separate"/>
            </w:r>
            <w:r w:rsidR="00871302">
              <w:rPr>
                <w:noProof/>
                <w:webHidden/>
              </w:rPr>
              <w:t>3</w:t>
            </w:r>
            <w:r w:rsidR="00711334">
              <w:rPr>
                <w:noProof/>
                <w:webHidden/>
              </w:rPr>
              <w:fldChar w:fldCharType="end"/>
            </w:r>
          </w:hyperlink>
        </w:p>
        <w:p w14:paraId="7D4A0D7B" w14:textId="1D619D23" w:rsidR="00711334" w:rsidRDefault="00CE7FE2">
          <w:pPr>
            <w:pStyle w:val="TOC2"/>
            <w:tabs>
              <w:tab w:val="left" w:pos="880"/>
              <w:tab w:val="right" w:leader="dot" w:pos="9322"/>
            </w:tabs>
            <w:rPr>
              <w:rFonts w:asciiTheme="minorHAnsi" w:eastAsiaTheme="minorEastAsia" w:hAnsiTheme="minorHAnsi"/>
              <w:noProof/>
              <w:lang w:eastAsia="en-GB"/>
            </w:rPr>
          </w:pPr>
          <w:hyperlink w:anchor="_Toc42095039" w:history="1">
            <w:r w:rsidR="00711334" w:rsidRPr="00B10712">
              <w:rPr>
                <w:rStyle w:val="Hyperlink"/>
                <w:noProof/>
              </w:rPr>
              <w:t>3.1.</w:t>
            </w:r>
            <w:r w:rsidR="00711334">
              <w:rPr>
                <w:rFonts w:asciiTheme="minorHAnsi" w:eastAsiaTheme="minorEastAsia" w:hAnsiTheme="minorHAnsi"/>
                <w:noProof/>
                <w:lang w:eastAsia="en-GB"/>
              </w:rPr>
              <w:tab/>
            </w:r>
            <w:r w:rsidR="00711334" w:rsidRPr="00B10712">
              <w:rPr>
                <w:rStyle w:val="Hyperlink"/>
                <w:noProof/>
              </w:rPr>
              <w:t>Consultant</w:t>
            </w:r>
            <w:r w:rsidR="00711334">
              <w:rPr>
                <w:noProof/>
                <w:webHidden/>
              </w:rPr>
              <w:tab/>
            </w:r>
            <w:r w:rsidR="00711334">
              <w:rPr>
                <w:noProof/>
                <w:webHidden/>
              </w:rPr>
              <w:fldChar w:fldCharType="begin"/>
            </w:r>
            <w:r w:rsidR="00711334">
              <w:rPr>
                <w:noProof/>
                <w:webHidden/>
              </w:rPr>
              <w:instrText xml:space="preserve"> PAGEREF _Toc42095039 \h </w:instrText>
            </w:r>
            <w:r w:rsidR="00711334">
              <w:rPr>
                <w:noProof/>
                <w:webHidden/>
              </w:rPr>
            </w:r>
            <w:r w:rsidR="00711334">
              <w:rPr>
                <w:noProof/>
                <w:webHidden/>
              </w:rPr>
              <w:fldChar w:fldCharType="separate"/>
            </w:r>
            <w:r w:rsidR="00871302">
              <w:rPr>
                <w:noProof/>
                <w:webHidden/>
              </w:rPr>
              <w:t>3</w:t>
            </w:r>
            <w:r w:rsidR="00711334">
              <w:rPr>
                <w:noProof/>
                <w:webHidden/>
              </w:rPr>
              <w:fldChar w:fldCharType="end"/>
            </w:r>
          </w:hyperlink>
        </w:p>
        <w:p w14:paraId="1CF42F88" w14:textId="61D8840A" w:rsidR="00711334" w:rsidRDefault="00CE7FE2">
          <w:pPr>
            <w:pStyle w:val="TOC2"/>
            <w:tabs>
              <w:tab w:val="left" w:pos="880"/>
              <w:tab w:val="right" w:leader="dot" w:pos="9322"/>
            </w:tabs>
            <w:rPr>
              <w:rFonts w:asciiTheme="minorHAnsi" w:eastAsiaTheme="minorEastAsia" w:hAnsiTheme="minorHAnsi"/>
              <w:noProof/>
              <w:lang w:eastAsia="en-GB"/>
            </w:rPr>
          </w:pPr>
          <w:hyperlink w:anchor="_Toc42095040" w:history="1">
            <w:r w:rsidR="00711334" w:rsidRPr="00B10712">
              <w:rPr>
                <w:rStyle w:val="Hyperlink"/>
                <w:noProof/>
              </w:rPr>
              <w:t>3.2.</w:t>
            </w:r>
            <w:r w:rsidR="00711334">
              <w:rPr>
                <w:rFonts w:asciiTheme="minorHAnsi" w:eastAsiaTheme="minorEastAsia" w:hAnsiTheme="minorHAnsi"/>
                <w:noProof/>
                <w:lang w:eastAsia="en-GB"/>
              </w:rPr>
              <w:tab/>
            </w:r>
            <w:r w:rsidR="00711334" w:rsidRPr="00B10712">
              <w:rPr>
                <w:rStyle w:val="Hyperlink"/>
                <w:noProof/>
              </w:rPr>
              <w:t>General Practitioner</w:t>
            </w:r>
            <w:r w:rsidR="00711334">
              <w:rPr>
                <w:noProof/>
                <w:webHidden/>
              </w:rPr>
              <w:tab/>
            </w:r>
            <w:r w:rsidR="00711334">
              <w:rPr>
                <w:noProof/>
                <w:webHidden/>
              </w:rPr>
              <w:fldChar w:fldCharType="begin"/>
            </w:r>
            <w:r w:rsidR="00711334">
              <w:rPr>
                <w:noProof/>
                <w:webHidden/>
              </w:rPr>
              <w:instrText xml:space="preserve"> PAGEREF _Toc42095040 \h </w:instrText>
            </w:r>
            <w:r w:rsidR="00711334">
              <w:rPr>
                <w:noProof/>
                <w:webHidden/>
              </w:rPr>
            </w:r>
            <w:r w:rsidR="00711334">
              <w:rPr>
                <w:noProof/>
                <w:webHidden/>
              </w:rPr>
              <w:fldChar w:fldCharType="separate"/>
            </w:r>
            <w:r w:rsidR="00871302">
              <w:rPr>
                <w:noProof/>
                <w:webHidden/>
              </w:rPr>
              <w:t>5</w:t>
            </w:r>
            <w:r w:rsidR="00711334">
              <w:rPr>
                <w:noProof/>
                <w:webHidden/>
              </w:rPr>
              <w:fldChar w:fldCharType="end"/>
            </w:r>
          </w:hyperlink>
        </w:p>
        <w:p w14:paraId="5ED03405" w14:textId="3915EB98" w:rsidR="00711334" w:rsidRDefault="00CE7FE2">
          <w:pPr>
            <w:pStyle w:val="TOC2"/>
            <w:tabs>
              <w:tab w:val="left" w:pos="880"/>
              <w:tab w:val="right" w:leader="dot" w:pos="9322"/>
            </w:tabs>
            <w:rPr>
              <w:rFonts w:asciiTheme="minorHAnsi" w:eastAsiaTheme="minorEastAsia" w:hAnsiTheme="minorHAnsi"/>
              <w:noProof/>
              <w:lang w:eastAsia="en-GB"/>
            </w:rPr>
          </w:pPr>
          <w:hyperlink w:anchor="_Toc42095041" w:history="1">
            <w:r w:rsidR="00711334" w:rsidRPr="00B10712">
              <w:rPr>
                <w:rStyle w:val="Hyperlink"/>
                <w:noProof/>
              </w:rPr>
              <w:t>3.3.</w:t>
            </w:r>
            <w:r w:rsidR="00711334">
              <w:rPr>
                <w:rFonts w:asciiTheme="minorHAnsi" w:eastAsiaTheme="minorEastAsia" w:hAnsiTheme="minorHAnsi"/>
                <w:noProof/>
                <w:lang w:eastAsia="en-GB"/>
              </w:rPr>
              <w:tab/>
            </w:r>
            <w:r w:rsidR="00711334" w:rsidRPr="00B10712">
              <w:rPr>
                <w:rStyle w:val="Hyperlink"/>
                <w:noProof/>
              </w:rPr>
              <w:t>Patient and parent or carer responsibility</w:t>
            </w:r>
            <w:r w:rsidR="00711334">
              <w:rPr>
                <w:noProof/>
                <w:webHidden/>
              </w:rPr>
              <w:tab/>
            </w:r>
            <w:r w:rsidR="00711334">
              <w:rPr>
                <w:noProof/>
                <w:webHidden/>
              </w:rPr>
              <w:fldChar w:fldCharType="begin"/>
            </w:r>
            <w:r w:rsidR="00711334">
              <w:rPr>
                <w:noProof/>
                <w:webHidden/>
              </w:rPr>
              <w:instrText xml:space="preserve"> PAGEREF _Toc42095041 \h </w:instrText>
            </w:r>
            <w:r w:rsidR="00711334">
              <w:rPr>
                <w:noProof/>
                <w:webHidden/>
              </w:rPr>
            </w:r>
            <w:r w:rsidR="00711334">
              <w:rPr>
                <w:noProof/>
                <w:webHidden/>
              </w:rPr>
              <w:fldChar w:fldCharType="separate"/>
            </w:r>
            <w:r w:rsidR="00871302">
              <w:rPr>
                <w:noProof/>
                <w:webHidden/>
              </w:rPr>
              <w:t>5</w:t>
            </w:r>
            <w:r w:rsidR="00711334">
              <w:rPr>
                <w:noProof/>
                <w:webHidden/>
              </w:rPr>
              <w:fldChar w:fldCharType="end"/>
            </w:r>
          </w:hyperlink>
        </w:p>
        <w:p w14:paraId="746885D2" w14:textId="4413F86F" w:rsidR="00711334" w:rsidRDefault="00CE7FE2">
          <w:pPr>
            <w:pStyle w:val="TOC2"/>
            <w:tabs>
              <w:tab w:val="left" w:pos="880"/>
              <w:tab w:val="right" w:leader="dot" w:pos="9322"/>
            </w:tabs>
            <w:rPr>
              <w:rFonts w:asciiTheme="minorHAnsi" w:eastAsiaTheme="minorEastAsia" w:hAnsiTheme="minorHAnsi"/>
              <w:noProof/>
              <w:lang w:eastAsia="en-GB"/>
            </w:rPr>
          </w:pPr>
          <w:hyperlink w:anchor="_Toc42095042" w:history="1">
            <w:r w:rsidR="00711334" w:rsidRPr="00B10712">
              <w:rPr>
                <w:rStyle w:val="Hyperlink"/>
                <w:noProof/>
              </w:rPr>
              <w:t>3.4.</w:t>
            </w:r>
            <w:r w:rsidR="00711334">
              <w:rPr>
                <w:rFonts w:asciiTheme="minorHAnsi" w:eastAsiaTheme="minorEastAsia" w:hAnsiTheme="minorHAnsi"/>
                <w:noProof/>
                <w:lang w:eastAsia="en-GB"/>
              </w:rPr>
              <w:tab/>
            </w:r>
            <w:r w:rsidR="009846E3">
              <w:rPr>
                <w:rStyle w:val="Hyperlink"/>
                <w:noProof/>
              </w:rPr>
              <w:t>ICB Medicines Management team</w:t>
            </w:r>
            <w:r w:rsidR="00711334">
              <w:rPr>
                <w:noProof/>
                <w:webHidden/>
              </w:rPr>
              <w:tab/>
            </w:r>
            <w:r w:rsidR="00711334">
              <w:rPr>
                <w:noProof/>
                <w:webHidden/>
              </w:rPr>
              <w:fldChar w:fldCharType="begin"/>
            </w:r>
            <w:r w:rsidR="00711334">
              <w:rPr>
                <w:noProof/>
                <w:webHidden/>
              </w:rPr>
              <w:instrText xml:space="preserve"> PAGEREF _Toc42095042 \h </w:instrText>
            </w:r>
            <w:r w:rsidR="00711334">
              <w:rPr>
                <w:noProof/>
                <w:webHidden/>
              </w:rPr>
              <w:fldChar w:fldCharType="separate"/>
            </w:r>
            <w:r w:rsidR="00871302">
              <w:rPr>
                <w:b/>
                <w:bCs/>
                <w:noProof/>
                <w:webHidden/>
              </w:rPr>
              <w:t>Error! Bookmark not defined.</w:t>
            </w:r>
            <w:r w:rsidR="00711334">
              <w:rPr>
                <w:noProof/>
                <w:webHidden/>
              </w:rPr>
              <w:fldChar w:fldCharType="end"/>
            </w:r>
          </w:hyperlink>
        </w:p>
        <w:p w14:paraId="68E2B99B" w14:textId="10EDEA4D" w:rsidR="00711334" w:rsidRDefault="00CE7FE2">
          <w:pPr>
            <w:pStyle w:val="TOC1"/>
            <w:tabs>
              <w:tab w:val="left" w:pos="442"/>
              <w:tab w:val="right" w:leader="dot" w:pos="9322"/>
            </w:tabs>
            <w:rPr>
              <w:rFonts w:asciiTheme="minorHAnsi" w:eastAsiaTheme="minorEastAsia" w:hAnsiTheme="minorHAnsi" w:cstheme="minorBidi"/>
              <w:noProof/>
              <w:lang w:eastAsia="en-GB"/>
            </w:rPr>
          </w:pPr>
          <w:hyperlink w:anchor="_Toc42095043" w:history="1">
            <w:r w:rsidR="00711334" w:rsidRPr="00B10712">
              <w:rPr>
                <w:rStyle w:val="Hyperlink"/>
                <w:noProof/>
              </w:rPr>
              <w:t>4.</w:t>
            </w:r>
            <w:r w:rsidR="00711334">
              <w:rPr>
                <w:rFonts w:asciiTheme="minorHAnsi" w:eastAsiaTheme="minorEastAsia" w:hAnsiTheme="minorHAnsi" w:cstheme="minorBidi"/>
                <w:noProof/>
                <w:lang w:eastAsia="en-GB"/>
              </w:rPr>
              <w:tab/>
            </w:r>
            <w:r w:rsidR="00711334" w:rsidRPr="00B10712">
              <w:rPr>
                <w:rStyle w:val="Hyperlink"/>
                <w:noProof/>
              </w:rPr>
              <w:t>Indications</w:t>
            </w:r>
            <w:r w:rsidR="00711334">
              <w:rPr>
                <w:noProof/>
                <w:webHidden/>
              </w:rPr>
              <w:tab/>
            </w:r>
            <w:r w:rsidR="00711334">
              <w:rPr>
                <w:noProof/>
                <w:webHidden/>
              </w:rPr>
              <w:fldChar w:fldCharType="begin"/>
            </w:r>
            <w:r w:rsidR="00711334">
              <w:rPr>
                <w:noProof/>
                <w:webHidden/>
              </w:rPr>
              <w:instrText xml:space="preserve"> PAGEREF _Toc42095043 \h </w:instrText>
            </w:r>
            <w:r w:rsidR="00711334">
              <w:rPr>
                <w:noProof/>
                <w:webHidden/>
              </w:rPr>
            </w:r>
            <w:r w:rsidR="00711334">
              <w:rPr>
                <w:noProof/>
                <w:webHidden/>
              </w:rPr>
              <w:fldChar w:fldCharType="separate"/>
            </w:r>
            <w:r w:rsidR="00871302">
              <w:rPr>
                <w:noProof/>
                <w:webHidden/>
              </w:rPr>
              <w:t>6</w:t>
            </w:r>
            <w:r w:rsidR="00711334">
              <w:rPr>
                <w:noProof/>
                <w:webHidden/>
              </w:rPr>
              <w:fldChar w:fldCharType="end"/>
            </w:r>
          </w:hyperlink>
        </w:p>
        <w:p w14:paraId="5CF753F0" w14:textId="139FC3E8" w:rsidR="00711334" w:rsidRDefault="00CE7FE2">
          <w:pPr>
            <w:pStyle w:val="TOC1"/>
            <w:tabs>
              <w:tab w:val="left" w:pos="442"/>
              <w:tab w:val="right" w:leader="dot" w:pos="9322"/>
            </w:tabs>
            <w:rPr>
              <w:rFonts w:asciiTheme="minorHAnsi" w:eastAsiaTheme="minorEastAsia" w:hAnsiTheme="minorHAnsi" w:cstheme="minorBidi"/>
              <w:noProof/>
              <w:lang w:eastAsia="en-GB"/>
            </w:rPr>
          </w:pPr>
          <w:hyperlink w:anchor="_Toc42095044" w:history="1">
            <w:r w:rsidR="00711334" w:rsidRPr="00B10712">
              <w:rPr>
                <w:rStyle w:val="Hyperlink"/>
                <w:noProof/>
              </w:rPr>
              <w:t>5.</w:t>
            </w:r>
            <w:r w:rsidR="00711334">
              <w:rPr>
                <w:rFonts w:asciiTheme="minorHAnsi" w:eastAsiaTheme="minorEastAsia" w:hAnsiTheme="minorHAnsi" w:cstheme="minorBidi"/>
                <w:noProof/>
                <w:lang w:eastAsia="en-GB"/>
              </w:rPr>
              <w:tab/>
            </w:r>
            <w:r w:rsidR="00711334" w:rsidRPr="00B10712">
              <w:rPr>
                <w:rStyle w:val="Hyperlink"/>
                <w:noProof/>
              </w:rPr>
              <w:t>Dose and Administration</w:t>
            </w:r>
            <w:r w:rsidR="00711334">
              <w:rPr>
                <w:noProof/>
                <w:webHidden/>
              </w:rPr>
              <w:tab/>
            </w:r>
            <w:r w:rsidR="00711334">
              <w:rPr>
                <w:noProof/>
                <w:webHidden/>
              </w:rPr>
              <w:fldChar w:fldCharType="begin"/>
            </w:r>
            <w:r w:rsidR="00711334">
              <w:rPr>
                <w:noProof/>
                <w:webHidden/>
              </w:rPr>
              <w:instrText xml:space="preserve"> PAGEREF _Toc42095044 \h </w:instrText>
            </w:r>
            <w:r w:rsidR="00711334">
              <w:rPr>
                <w:noProof/>
                <w:webHidden/>
              </w:rPr>
            </w:r>
            <w:r w:rsidR="00711334">
              <w:rPr>
                <w:noProof/>
                <w:webHidden/>
              </w:rPr>
              <w:fldChar w:fldCharType="separate"/>
            </w:r>
            <w:r w:rsidR="00871302">
              <w:rPr>
                <w:noProof/>
                <w:webHidden/>
              </w:rPr>
              <w:t>7</w:t>
            </w:r>
            <w:r w:rsidR="00711334">
              <w:rPr>
                <w:noProof/>
                <w:webHidden/>
              </w:rPr>
              <w:fldChar w:fldCharType="end"/>
            </w:r>
          </w:hyperlink>
        </w:p>
        <w:p w14:paraId="175BF5DB" w14:textId="62BDB483" w:rsidR="00711334" w:rsidRDefault="00CE7FE2">
          <w:pPr>
            <w:pStyle w:val="TOC1"/>
            <w:tabs>
              <w:tab w:val="left" w:pos="442"/>
              <w:tab w:val="right" w:leader="dot" w:pos="9322"/>
            </w:tabs>
            <w:rPr>
              <w:rFonts w:asciiTheme="minorHAnsi" w:eastAsiaTheme="minorEastAsia" w:hAnsiTheme="minorHAnsi" w:cstheme="minorBidi"/>
              <w:noProof/>
              <w:lang w:eastAsia="en-GB"/>
            </w:rPr>
          </w:pPr>
          <w:hyperlink w:anchor="_Toc42095045" w:history="1">
            <w:r w:rsidR="00711334" w:rsidRPr="00B10712">
              <w:rPr>
                <w:rStyle w:val="Hyperlink"/>
                <w:noProof/>
              </w:rPr>
              <w:t xml:space="preserve">6. </w:t>
            </w:r>
            <w:r w:rsidR="00711334">
              <w:rPr>
                <w:rFonts w:asciiTheme="minorHAnsi" w:eastAsiaTheme="minorEastAsia" w:hAnsiTheme="minorHAnsi" w:cstheme="minorBidi"/>
                <w:noProof/>
                <w:lang w:eastAsia="en-GB"/>
              </w:rPr>
              <w:tab/>
            </w:r>
            <w:r w:rsidR="00711334" w:rsidRPr="00B10712">
              <w:rPr>
                <w:rStyle w:val="Hyperlink"/>
                <w:noProof/>
              </w:rPr>
              <w:t>Adverse effects</w:t>
            </w:r>
            <w:r w:rsidR="00711334">
              <w:rPr>
                <w:noProof/>
                <w:webHidden/>
              </w:rPr>
              <w:tab/>
            </w:r>
            <w:r w:rsidR="00711334">
              <w:rPr>
                <w:noProof/>
                <w:webHidden/>
              </w:rPr>
              <w:fldChar w:fldCharType="begin"/>
            </w:r>
            <w:r w:rsidR="00711334">
              <w:rPr>
                <w:noProof/>
                <w:webHidden/>
              </w:rPr>
              <w:instrText xml:space="preserve"> PAGEREF _Toc42095045 \h </w:instrText>
            </w:r>
            <w:r w:rsidR="00711334">
              <w:rPr>
                <w:noProof/>
                <w:webHidden/>
              </w:rPr>
            </w:r>
            <w:r w:rsidR="00711334">
              <w:rPr>
                <w:noProof/>
                <w:webHidden/>
              </w:rPr>
              <w:fldChar w:fldCharType="separate"/>
            </w:r>
            <w:r w:rsidR="00871302">
              <w:rPr>
                <w:noProof/>
                <w:webHidden/>
              </w:rPr>
              <w:t>8</w:t>
            </w:r>
            <w:r w:rsidR="00711334">
              <w:rPr>
                <w:noProof/>
                <w:webHidden/>
              </w:rPr>
              <w:fldChar w:fldCharType="end"/>
            </w:r>
          </w:hyperlink>
        </w:p>
        <w:p w14:paraId="3DF399F7" w14:textId="2D356044" w:rsidR="00711334" w:rsidRDefault="00CE7FE2">
          <w:pPr>
            <w:pStyle w:val="TOC1"/>
            <w:tabs>
              <w:tab w:val="left" w:pos="442"/>
              <w:tab w:val="right" w:leader="dot" w:pos="9322"/>
            </w:tabs>
            <w:rPr>
              <w:rFonts w:asciiTheme="minorHAnsi" w:eastAsiaTheme="minorEastAsia" w:hAnsiTheme="minorHAnsi" w:cstheme="minorBidi"/>
              <w:noProof/>
              <w:lang w:eastAsia="en-GB"/>
            </w:rPr>
          </w:pPr>
          <w:hyperlink w:anchor="_Toc42095046" w:history="1">
            <w:r w:rsidR="00711334" w:rsidRPr="00B10712">
              <w:rPr>
                <w:rStyle w:val="Hyperlink"/>
                <w:noProof/>
              </w:rPr>
              <w:t>7.</w:t>
            </w:r>
            <w:r w:rsidR="00711334">
              <w:rPr>
                <w:rFonts w:asciiTheme="minorHAnsi" w:eastAsiaTheme="minorEastAsia" w:hAnsiTheme="minorHAnsi" w:cstheme="minorBidi"/>
                <w:noProof/>
                <w:lang w:eastAsia="en-GB"/>
              </w:rPr>
              <w:tab/>
            </w:r>
            <w:r w:rsidR="00711334" w:rsidRPr="00B10712">
              <w:rPr>
                <w:rStyle w:val="Hyperlink"/>
                <w:noProof/>
              </w:rPr>
              <w:t>Cautions</w:t>
            </w:r>
            <w:r w:rsidR="00711334">
              <w:rPr>
                <w:noProof/>
                <w:webHidden/>
              </w:rPr>
              <w:tab/>
            </w:r>
            <w:r w:rsidR="00711334">
              <w:rPr>
                <w:noProof/>
                <w:webHidden/>
              </w:rPr>
              <w:fldChar w:fldCharType="begin"/>
            </w:r>
            <w:r w:rsidR="00711334">
              <w:rPr>
                <w:noProof/>
                <w:webHidden/>
              </w:rPr>
              <w:instrText xml:space="preserve"> PAGEREF _Toc42095046 \h </w:instrText>
            </w:r>
            <w:r w:rsidR="00711334">
              <w:rPr>
                <w:noProof/>
                <w:webHidden/>
              </w:rPr>
            </w:r>
            <w:r w:rsidR="00711334">
              <w:rPr>
                <w:noProof/>
                <w:webHidden/>
              </w:rPr>
              <w:fldChar w:fldCharType="separate"/>
            </w:r>
            <w:r w:rsidR="00871302">
              <w:rPr>
                <w:noProof/>
                <w:webHidden/>
              </w:rPr>
              <w:t>12</w:t>
            </w:r>
            <w:r w:rsidR="00711334">
              <w:rPr>
                <w:noProof/>
                <w:webHidden/>
              </w:rPr>
              <w:fldChar w:fldCharType="end"/>
            </w:r>
          </w:hyperlink>
          <w:r w:rsidR="00FA7025">
            <w:rPr>
              <w:noProof/>
            </w:rPr>
            <w:t>1</w:t>
          </w:r>
        </w:p>
        <w:p w14:paraId="4566768A" w14:textId="63B0B495" w:rsidR="00711334" w:rsidRDefault="00CE7FE2">
          <w:pPr>
            <w:pStyle w:val="TOC1"/>
            <w:tabs>
              <w:tab w:val="left" w:pos="442"/>
              <w:tab w:val="right" w:leader="dot" w:pos="9322"/>
            </w:tabs>
            <w:rPr>
              <w:rFonts w:asciiTheme="minorHAnsi" w:eastAsiaTheme="minorEastAsia" w:hAnsiTheme="minorHAnsi" w:cstheme="minorBidi"/>
              <w:noProof/>
              <w:lang w:eastAsia="en-GB"/>
            </w:rPr>
          </w:pPr>
          <w:hyperlink w:anchor="_Toc42095047" w:history="1">
            <w:r w:rsidR="00711334" w:rsidRPr="00B10712">
              <w:rPr>
                <w:rStyle w:val="Hyperlink"/>
                <w:noProof/>
              </w:rPr>
              <w:t>8.</w:t>
            </w:r>
            <w:r w:rsidR="00711334">
              <w:rPr>
                <w:rFonts w:asciiTheme="minorHAnsi" w:eastAsiaTheme="minorEastAsia" w:hAnsiTheme="minorHAnsi" w:cstheme="minorBidi"/>
                <w:noProof/>
                <w:lang w:eastAsia="en-GB"/>
              </w:rPr>
              <w:tab/>
            </w:r>
            <w:r w:rsidR="00711334" w:rsidRPr="00B10712">
              <w:rPr>
                <w:rStyle w:val="Hyperlink"/>
                <w:noProof/>
              </w:rPr>
              <w:t>Clinical Monitoring</w:t>
            </w:r>
            <w:r w:rsidR="00711334">
              <w:rPr>
                <w:noProof/>
                <w:webHidden/>
              </w:rPr>
              <w:tab/>
            </w:r>
            <w:r w:rsidR="00711334">
              <w:rPr>
                <w:noProof/>
                <w:webHidden/>
              </w:rPr>
              <w:fldChar w:fldCharType="begin"/>
            </w:r>
            <w:r w:rsidR="00711334">
              <w:rPr>
                <w:noProof/>
                <w:webHidden/>
              </w:rPr>
              <w:instrText xml:space="preserve"> PAGEREF _Toc42095047 \h </w:instrText>
            </w:r>
            <w:r w:rsidR="00711334">
              <w:rPr>
                <w:noProof/>
                <w:webHidden/>
              </w:rPr>
            </w:r>
            <w:r w:rsidR="00711334">
              <w:rPr>
                <w:noProof/>
                <w:webHidden/>
              </w:rPr>
              <w:fldChar w:fldCharType="separate"/>
            </w:r>
            <w:r w:rsidR="00871302">
              <w:rPr>
                <w:noProof/>
                <w:webHidden/>
              </w:rPr>
              <w:t>12</w:t>
            </w:r>
            <w:r w:rsidR="00711334">
              <w:rPr>
                <w:noProof/>
                <w:webHidden/>
              </w:rPr>
              <w:fldChar w:fldCharType="end"/>
            </w:r>
          </w:hyperlink>
          <w:r w:rsidR="00FF72BC">
            <w:rPr>
              <w:noProof/>
            </w:rPr>
            <w:t>2</w:t>
          </w:r>
        </w:p>
        <w:p w14:paraId="06DE75DC" w14:textId="38091497" w:rsidR="00711334" w:rsidRDefault="00CE7FE2">
          <w:pPr>
            <w:pStyle w:val="TOC1"/>
            <w:tabs>
              <w:tab w:val="left" w:pos="442"/>
              <w:tab w:val="right" w:leader="dot" w:pos="9322"/>
            </w:tabs>
            <w:rPr>
              <w:rFonts w:asciiTheme="minorHAnsi" w:eastAsiaTheme="minorEastAsia" w:hAnsiTheme="minorHAnsi" w:cstheme="minorBidi"/>
              <w:noProof/>
              <w:lang w:eastAsia="en-GB"/>
            </w:rPr>
          </w:pPr>
          <w:hyperlink w:anchor="_Toc42095048" w:history="1">
            <w:r w:rsidR="00711334" w:rsidRPr="00B10712">
              <w:rPr>
                <w:rStyle w:val="Hyperlink"/>
                <w:noProof/>
              </w:rPr>
              <w:t>9.</w:t>
            </w:r>
            <w:r w:rsidR="00711334">
              <w:rPr>
                <w:rFonts w:asciiTheme="minorHAnsi" w:eastAsiaTheme="minorEastAsia" w:hAnsiTheme="minorHAnsi" w:cstheme="minorBidi"/>
                <w:noProof/>
                <w:lang w:eastAsia="en-GB"/>
              </w:rPr>
              <w:tab/>
            </w:r>
            <w:r w:rsidR="00711334" w:rsidRPr="00B10712">
              <w:rPr>
                <w:rStyle w:val="Hyperlink"/>
                <w:noProof/>
              </w:rPr>
              <w:t>Contraindications</w:t>
            </w:r>
            <w:r w:rsidR="00711334">
              <w:rPr>
                <w:noProof/>
                <w:webHidden/>
              </w:rPr>
              <w:tab/>
            </w:r>
            <w:r w:rsidR="00711334">
              <w:rPr>
                <w:noProof/>
                <w:webHidden/>
              </w:rPr>
              <w:fldChar w:fldCharType="begin"/>
            </w:r>
            <w:r w:rsidR="00711334">
              <w:rPr>
                <w:noProof/>
                <w:webHidden/>
              </w:rPr>
              <w:instrText xml:space="preserve"> PAGEREF _Toc42095048 \h </w:instrText>
            </w:r>
            <w:r w:rsidR="00711334">
              <w:rPr>
                <w:noProof/>
                <w:webHidden/>
              </w:rPr>
            </w:r>
            <w:r w:rsidR="00711334">
              <w:rPr>
                <w:noProof/>
                <w:webHidden/>
              </w:rPr>
              <w:fldChar w:fldCharType="separate"/>
            </w:r>
            <w:r w:rsidR="00871302">
              <w:rPr>
                <w:noProof/>
                <w:webHidden/>
              </w:rPr>
              <w:t>13</w:t>
            </w:r>
            <w:r w:rsidR="00711334">
              <w:rPr>
                <w:noProof/>
                <w:webHidden/>
              </w:rPr>
              <w:fldChar w:fldCharType="end"/>
            </w:r>
          </w:hyperlink>
          <w:r w:rsidR="00FA7025">
            <w:rPr>
              <w:noProof/>
            </w:rPr>
            <w:t>3</w:t>
          </w:r>
        </w:p>
        <w:p w14:paraId="1F5C37B7" w14:textId="5B5EB513" w:rsidR="00711334" w:rsidRDefault="00CE7FE2">
          <w:pPr>
            <w:pStyle w:val="TOC1"/>
            <w:tabs>
              <w:tab w:val="left" w:pos="660"/>
              <w:tab w:val="right" w:leader="dot" w:pos="9322"/>
            </w:tabs>
            <w:rPr>
              <w:rFonts w:asciiTheme="minorHAnsi" w:eastAsiaTheme="minorEastAsia" w:hAnsiTheme="minorHAnsi" w:cstheme="minorBidi"/>
              <w:noProof/>
              <w:lang w:eastAsia="en-GB"/>
            </w:rPr>
          </w:pPr>
          <w:hyperlink w:anchor="_Toc42095049" w:history="1">
            <w:r w:rsidR="00711334" w:rsidRPr="00B10712">
              <w:rPr>
                <w:rStyle w:val="Hyperlink"/>
                <w:noProof/>
              </w:rPr>
              <w:t>10.</w:t>
            </w:r>
            <w:r w:rsidR="00711334">
              <w:rPr>
                <w:rFonts w:asciiTheme="minorHAnsi" w:eastAsiaTheme="minorEastAsia" w:hAnsiTheme="minorHAnsi" w:cstheme="minorBidi"/>
                <w:noProof/>
                <w:lang w:eastAsia="en-GB"/>
              </w:rPr>
              <w:tab/>
            </w:r>
            <w:r w:rsidR="00711334" w:rsidRPr="00B10712">
              <w:rPr>
                <w:rStyle w:val="Hyperlink"/>
                <w:noProof/>
              </w:rPr>
              <w:t>Drug Interactions</w:t>
            </w:r>
            <w:r w:rsidR="00711334">
              <w:rPr>
                <w:noProof/>
                <w:webHidden/>
              </w:rPr>
              <w:tab/>
            </w:r>
            <w:r w:rsidR="00711334">
              <w:rPr>
                <w:noProof/>
                <w:webHidden/>
              </w:rPr>
              <w:fldChar w:fldCharType="begin"/>
            </w:r>
            <w:r w:rsidR="00711334">
              <w:rPr>
                <w:noProof/>
                <w:webHidden/>
              </w:rPr>
              <w:instrText xml:space="preserve"> PAGEREF _Toc42095049 \h </w:instrText>
            </w:r>
            <w:r w:rsidR="00711334">
              <w:rPr>
                <w:noProof/>
                <w:webHidden/>
              </w:rPr>
            </w:r>
            <w:r w:rsidR="00711334">
              <w:rPr>
                <w:noProof/>
                <w:webHidden/>
              </w:rPr>
              <w:fldChar w:fldCharType="separate"/>
            </w:r>
            <w:r w:rsidR="00871302">
              <w:rPr>
                <w:noProof/>
                <w:webHidden/>
              </w:rPr>
              <w:t>13</w:t>
            </w:r>
            <w:r w:rsidR="00711334">
              <w:rPr>
                <w:noProof/>
                <w:webHidden/>
              </w:rPr>
              <w:fldChar w:fldCharType="end"/>
            </w:r>
          </w:hyperlink>
          <w:r w:rsidR="00FA7025">
            <w:rPr>
              <w:noProof/>
            </w:rPr>
            <w:t>3</w:t>
          </w:r>
        </w:p>
        <w:p w14:paraId="2FD22333" w14:textId="7A11FD00" w:rsidR="00711334" w:rsidRDefault="00CE7FE2">
          <w:pPr>
            <w:pStyle w:val="TOC1"/>
            <w:tabs>
              <w:tab w:val="left" w:pos="660"/>
              <w:tab w:val="right" w:leader="dot" w:pos="9322"/>
            </w:tabs>
            <w:rPr>
              <w:rFonts w:asciiTheme="minorHAnsi" w:eastAsiaTheme="minorEastAsia" w:hAnsiTheme="minorHAnsi" w:cstheme="minorBidi"/>
              <w:noProof/>
              <w:lang w:eastAsia="en-GB"/>
            </w:rPr>
          </w:pPr>
          <w:hyperlink w:anchor="_Toc42095050" w:history="1">
            <w:r w:rsidR="00711334" w:rsidRPr="00B10712">
              <w:rPr>
                <w:rStyle w:val="Hyperlink"/>
                <w:noProof/>
              </w:rPr>
              <w:t>11.</w:t>
            </w:r>
            <w:r w:rsidR="00711334">
              <w:rPr>
                <w:rFonts w:asciiTheme="minorHAnsi" w:eastAsiaTheme="minorEastAsia" w:hAnsiTheme="minorHAnsi" w:cstheme="minorBidi"/>
                <w:noProof/>
                <w:lang w:eastAsia="en-GB"/>
              </w:rPr>
              <w:tab/>
            </w:r>
            <w:r w:rsidR="00711334" w:rsidRPr="00B10712">
              <w:rPr>
                <w:rStyle w:val="Hyperlink"/>
                <w:noProof/>
              </w:rPr>
              <w:t>References</w:t>
            </w:r>
            <w:r w:rsidR="00711334">
              <w:rPr>
                <w:noProof/>
                <w:webHidden/>
              </w:rPr>
              <w:tab/>
            </w:r>
            <w:r w:rsidR="00711334">
              <w:rPr>
                <w:noProof/>
                <w:webHidden/>
              </w:rPr>
              <w:fldChar w:fldCharType="begin"/>
            </w:r>
            <w:r w:rsidR="00711334">
              <w:rPr>
                <w:noProof/>
                <w:webHidden/>
              </w:rPr>
              <w:instrText xml:space="preserve"> PAGEREF _Toc42095050 \h </w:instrText>
            </w:r>
            <w:r w:rsidR="00711334">
              <w:rPr>
                <w:noProof/>
                <w:webHidden/>
              </w:rPr>
            </w:r>
            <w:r w:rsidR="00711334">
              <w:rPr>
                <w:noProof/>
                <w:webHidden/>
              </w:rPr>
              <w:fldChar w:fldCharType="separate"/>
            </w:r>
            <w:r w:rsidR="00871302">
              <w:rPr>
                <w:noProof/>
                <w:webHidden/>
              </w:rPr>
              <w:t>15</w:t>
            </w:r>
            <w:r w:rsidR="00711334">
              <w:rPr>
                <w:noProof/>
                <w:webHidden/>
              </w:rPr>
              <w:fldChar w:fldCharType="end"/>
            </w:r>
          </w:hyperlink>
          <w:r w:rsidR="00FF72BC">
            <w:rPr>
              <w:noProof/>
            </w:rPr>
            <w:t>5</w:t>
          </w:r>
        </w:p>
        <w:p w14:paraId="2B9D2C74" w14:textId="3E910ED4" w:rsidR="00711334" w:rsidRDefault="00CE7FE2">
          <w:pPr>
            <w:pStyle w:val="TOC1"/>
            <w:tabs>
              <w:tab w:val="left" w:pos="660"/>
              <w:tab w:val="right" w:leader="dot" w:pos="9322"/>
            </w:tabs>
            <w:rPr>
              <w:rFonts w:asciiTheme="minorHAnsi" w:eastAsiaTheme="minorEastAsia" w:hAnsiTheme="minorHAnsi" w:cstheme="minorBidi"/>
              <w:noProof/>
              <w:lang w:eastAsia="en-GB"/>
            </w:rPr>
          </w:pPr>
          <w:hyperlink w:anchor="_Toc42095051" w:history="1">
            <w:r w:rsidR="00711334" w:rsidRPr="00B10712">
              <w:rPr>
                <w:rStyle w:val="Hyperlink"/>
                <w:noProof/>
              </w:rPr>
              <w:t>12.</w:t>
            </w:r>
            <w:r w:rsidR="00711334">
              <w:rPr>
                <w:rFonts w:asciiTheme="minorHAnsi" w:eastAsiaTheme="minorEastAsia" w:hAnsiTheme="minorHAnsi" w:cstheme="minorBidi"/>
                <w:noProof/>
                <w:lang w:eastAsia="en-GB"/>
              </w:rPr>
              <w:tab/>
            </w:r>
            <w:r w:rsidR="00711334" w:rsidRPr="00B10712">
              <w:rPr>
                <w:rStyle w:val="Hyperlink"/>
                <w:noProof/>
              </w:rPr>
              <w:t>Contact Details</w:t>
            </w:r>
            <w:r w:rsidR="00711334">
              <w:rPr>
                <w:noProof/>
                <w:webHidden/>
              </w:rPr>
              <w:tab/>
            </w:r>
            <w:r w:rsidR="00711334">
              <w:rPr>
                <w:noProof/>
                <w:webHidden/>
              </w:rPr>
              <w:fldChar w:fldCharType="begin"/>
            </w:r>
            <w:r w:rsidR="00711334">
              <w:rPr>
                <w:noProof/>
                <w:webHidden/>
              </w:rPr>
              <w:instrText xml:space="preserve"> PAGEREF _Toc42095051 \h </w:instrText>
            </w:r>
            <w:r w:rsidR="00711334">
              <w:rPr>
                <w:noProof/>
                <w:webHidden/>
              </w:rPr>
            </w:r>
            <w:r w:rsidR="00711334">
              <w:rPr>
                <w:noProof/>
                <w:webHidden/>
              </w:rPr>
              <w:fldChar w:fldCharType="separate"/>
            </w:r>
            <w:r w:rsidR="00871302">
              <w:rPr>
                <w:noProof/>
                <w:webHidden/>
              </w:rPr>
              <w:t>16</w:t>
            </w:r>
            <w:r w:rsidR="00711334">
              <w:rPr>
                <w:noProof/>
                <w:webHidden/>
              </w:rPr>
              <w:fldChar w:fldCharType="end"/>
            </w:r>
          </w:hyperlink>
          <w:r w:rsidR="00136B25">
            <w:rPr>
              <w:noProof/>
            </w:rPr>
            <w:t>6</w:t>
          </w:r>
        </w:p>
        <w:p w14:paraId="47BF1836" w14:textId="43CBDED3" w:rsidR="00711334" w:rsidRDefault="00CE7FE2">
          <w:pPr>
            <w:pStyle w:val="TOC1"/>
            <w:tabs>
              <w:tab w:val="right" w:leader="dot" w:pos="9322"/>
            </w:tabs>
            <w:rPr>
              <w:rFonts w:asciiTheme="minorHAnsi" w:eastAsiaTheme="minorEastAsia" w:hAnsiTheme="minorHAnsi" w:cstheme="minorBidi"/>
              <w:noProof/>
              <w:lang w:eastAsia="en-GB"/>
            </w:rPr>
          </w:pPr>
          <w:hyperlink w:anchor="_Toc42095052" w:history="1">
            <w:r w:rsidR="00711334" w:rsidRPr="00B10712">
              <w:rPr>
                <w:rStyle w:val="Hyperlink"/>
                <w:noProof/>
              </w:rPr>
              <w:t>Appendix 1: Transfer form to GP practice</w:t>
            </w:r>
            <w:r w:rsidR="00711334">
              <w:rPr>
                <w:noProof/>
                <w:webHidden/>
              </w:rPr>
              <w:tab/>
            </w:r>
            <w:r w:rsidR="00711334">
              <w:rPr>
                <w:noProof/>
                <w:webHidden/>
              </w:rPr>
              <w:fldChar w:fldCharType="begin"/>
            </w:r>
            <w:r w:rsidR="00711334">
              <w:rPr>
                <w:noProof/>
                <w:webHidden/>
              </w:rPr>
              <w:instrText xml:space="preserve"> PAGEREF _Toc42095052 \h </w:instrText>
            </w:r>
            <w:r w:rsidR="00711334">
              <w:rPr>
                <w:noProof/>
                <w:webHidden/>
              </w:rPr>
            </w:r>
            <w:r w:rsidR="00711334">
              <w:rPr>
                <w:noProof/>
                <w:webHidden/>
              </w:rPr>
              <w:fldChar w:fldCharType="separate"/>
            </w:r>
            <w:r w:rsidR="00871302">
              <w:rPr>
                <w:noProof/>
                <w:webHidden/>
              </w:rPr>
              <w:t>17</w:t>
            </w:r>
            <w:r w:rsidR="00711334">
              <w:rPr>
                <w:noProof/>
                <w:webHidden/>
              </w:rPr>
              <w:fldChar w:fldCharType="end"/>
            </w:r>
          </w:hyperlink>
          <w:r w:rsidR="00136B25">
            <w:rPr>
              <w:noProof/>
            </w:rPr>
            <w:t>7</w:t>
          </w:r>
        </w:p>
        <w:p w14:paraId="37C776E9" w14:textId="0910A0B1" w:rsidR="00D67E1D" w:rsidRDefault="00D67E1D">
          <w:r>
            <w:rPr>
              <w:b/>
              <w:bCs/>
              <w:noProof/>
            </w:rPr>
            <w:fldChar w:fldCharType="end"/>
          </w:r>
        </w:p>
      </w:sdtContent>
    </w:sdt>
    <w:p w14:paraId="7A2995F8" w14:textId="77777777" w:rsidR="008A5E15" w:rsidRDefault="008A5E15" w:rsidP="00ED5B2E">
      <w:pPr>
        <w:pStyle w:val="NCLBodyText"/>
      </w:pPr>
    </w:p>
    <w:p w14:paraId="286B3651" w14:textId="24FB81E2" w:rsidR="00367357" w:rsidRPr="00751648" w:rsidRDefault="000A2A77" w:rsidP="00D46B50">
      <w:pPr>
        <w:pStyle w:val="NCLHeading1"/>
      </w:pPr>
      <w:bookmarkStart w:id="1" w:name="_Toc42095036"/>
      <w:r>
        <w:t>I</w:t>
      </w:r>
      <w:r w:rsidR="00D46B50" w:rsidRPr="00751648">
        <w:t>ntroduction</w:t>
      </w:r>
      <w:bookmarkEnd w:id="1"/>
      <w:r w:rsidR="00D46B50" w:rsidRPr="00751648">
        <w:t xml:space="preserve"> </w:t>
      </w:r>
    </w:p>
    <w:p w14:paraId="340F9892" w14:textId="77777777" w:rsidR="0008569B" w:rsidRPr="00751648" w:rsidRDefault="0008569B" w:rsidP="0008569B">
      <w:pPr>
        <w:pStyle w:val="NCLBodyText"/>
      </w:pPr>
      <w:r w:rsidRPr="00751648">
        <w:t>Attention Deficit Hyperactivity Disorder (ADHD) is a neuro-developmental condition affecting 1-5% of school age children. Its core symptoms include developmentally inappropriate levels of attention, concentration, hyperactivity, distractibility and impulsivity</w:t>
      </w:r>
      <w:r w:rsidR="005364E4" w:rsidRPr="00751648">
        <w:t>.</w:t>
      </w:r>
      <w:r w:rsidRPr="00751648">
        <w:t xml:space="preserve"> It causes problems at home, in school and with peer relationships and may have long term adverse effects on self-confidence, academic performance, vocational success and social development.</w:t>
      </w:r>
    </w:p>
    <w:p w14:paraId="555CD608" w14:textId="77777777" w:rsidR="008757E1" w:rsidRPr="00751648" w:rsidRDefault="008757E1" w:rsidP="0008569B">
      <w:pPr>
        <w:pStyle w:val="NCLBodyText"/>
      </w:pPr>
      <w:r w:rsidRPr="00751648">
        <w:t>It is often co morbid with learning difficulties. Untreated, a proportion goes on to develop conduct disorder. Substance misuse is another frequently co morbid problem.</w:t>
      </w:r>
    </w:p>
    <w:p w14:paraId="658BC533" w14:textId="77777777" w:rsidR="0008569B" w:rsidRPr="00751648" w:rsidRDefault="0008569B" w:rsidP="0008569B">
      <w:pPr>
        <w:pStyle w:val="NCLBodyText"/>
        <w:rPr>
          <w:sz w:val="6"/>
          <w:szCs w:val="6"/>
        </w:rPr>
      </w:pPr>
    </w:p>
    <w:p w14:paraId="3E191CA1" w14:textId="77777777" w:rsidR="0008569B" w:rsidRPr="00751648" w:rsidRDefault="0008569B" w:rsidP="0008569B">
      <w:pPr>
        <w:pStyle w:val="NCLBodyText"/>
      </w:pPr>
      <w:r w:rsidRPr="00751648">
        <w:t xml:space="preserve">It can be divided into </w:t>
      </w:r>
      <w:r w:rsidR="00CA656E" w:rsidRPr="00751648">
        <w:t xml:space="preserve">three </w:t>
      </w:r>
      <w:r w:rsidR="005C4CDC" w:rsidRPr="00751648">
        <w:t>presentations</w:t>
      </w:r>
      <w:r w:rsidR="0003059B" w:rsidRPr="00751648">
        <w:t xml:space="preserve"> (based on symptoms)</w:t>
      </w:r>
      <w:r w:rsidRPr="00751648">
        <w:t xml:space="preserve">: </w:t>
      </w:r>
      <w:r w:rsidR="006F0DDF" w:rsidRPr="00751648">
        <w:t xml:space="preserve">combined presentation, predominantly inattentive presentation: and predominantly hyperactive/impulsive </w:t>
      </w:r>
      <w:r w:rsidR="004A1C91" w:rsidRPr="00751648">
        <w:t xml:space="preserve">and MUST: </w:t>
      </w:r>
    </w:p>
    <w:p w14:paraId="646C23ED" w14:textId="77777777" w:rsidR="0008569B" w:rsidRPr="00751648" w:rsidRDefault="004A1C91" w:rsidP="0008569B">
      <w:pPr>
        <w:pStyle w:val="NCLBodyText"/>
        <w:numPr>
          <w:ilvl w:val="0"/>
          <w:numId w:val="16"/>
        </w:numPr>
      </w:pPr>
      <w:r w:rsidRPr="00751648">
        <w:t>H</w:t>
      </w:r>
      <w:r w:rsidR="0008569B" w:rsidRPr="00751648">
        <w:t>ave been present for at least 6 months and be developmentally inappropriate.</w:t>
      </w:r>
    </w:p>
    <w:p w14:paraId="23AB3A54" w14:textId="618817DD" w:rsidR="0008569B" w:rsidRPr="00751648" w:rsidRDefault="004A1C91" w:rsidP="0008569B">
      <w:pPr>
        <w:pStyle w:val="NCLBodyText"/>
        <w:numPr>
          <w:ilvl w:val="0"/>
          <w:numId w:val="16"/>
        </w:numPr>
      </w:pPr>
      <w:r w:rsidRPr="00751648">
        <w:t xml:space="preserve">Have </w:t>
      </w:r>
      <w:r w:rsidR="0008569B" w:rsidRPr="00751648">
        <w:t xml:space="preserve">clear evidence of impairment in social and / or academic functioning in at least two </w:t>
      </w:r>
      <w:r w:rsidR="003F57B6" w:rsidRPr="00751648">
        <w:t>settings.</w:t>
      </w:r>
    </w:p>
    <w:p w14:paraId="7AE96C53" w14:textId="15749AE9" w:rsidR="0008569B" w:rsidRPr="00751648" w:rsidRDefault="004A1C91" w:rsidP="0008569B">
      <w:pPr>
        <w:pStyle w:val="NCLBodyText"/>
        <w:numPr>
          <w:ilvl w:val="0"/>
          <w:numId w:val="16"/>
        </w:numPr>
      </w:pPr>
      <w:r w:rsidRPr="00751648">
        <w:t>B</w:t>
      </w:r>
      <w:r w:rsidR="0008569B" w:rsidRPr="00751648">
        <w:t>e present</w:t>
      </w:r>
      <w:r w:rsidRPr="00751648">
        <w:t xml:space="preserve"> (i.e. signs)</w:t>
      </w:r>
      <w:r w:rsidR="0008569B" w:rsidRPr="00751648">
        <w:t xml:space="preserve"> before the age of </w:t>
      </w:r>
      <w:r w:rsidR="0024608A" w:rsidRPr="00751648">
        <w:t>12</w:t>
      </w:r>
      <w:r w:rsidR="00E3772B" w:rsidRPr="00751648">
        <w:t xml:space="preserve">. </w:t>
      </w:r>
      <w:r w:rsidR="0008569B" w:rsidRPr="00751648">
        <w:t>The signs must not be accountable for by any other type of mental disorder although they may occur in conjunction with some development disorders.</w:t>
      </w:r>
    </w:p>
    <w:p w14:paraId="67ED94C0" w14:textId="77777777" w:rsidR="0008569B" w:rsidRPr="00751648" w:rsidRDefault="0008569B" w:rsidP="0008569B">
      <w:pPr>
        <w:pStyle w:val="NCLBodyText"/>
        <w:rPr>
          <w:sz w:val="6"/>
          <w:szCs w:val="6"/>
        </w:rPr>
      </w:pPr>
    </w:p>
    <w:p w14:paraId="20707978" w14:textId="7B02EDBC" w:rsidR="0008569B" w:rsidRPr="00BE4828" w:rsidRDefault="0008569B" w:rsidP="0008569B">
      <w:pPr>
        <w:pStyle w:val="NCLBodyText"/>
      </w:pPr>
      <w:r w:rsidRPr="00751648">
        <w:t xml:space="preserve">Diagnosis </w:t>
      </w:r>
      <w:r w:rsidR="00F25C7C">
        <w:t xml:space="preserve">in children and young people </w:t>
      </w:r>
      <w:r w:rsidRPr="00751648">
        <w:t xml:space="preserve">should be made by a </w:t>
      </w:r>
      <w:r w:rsidR="00F25C7C" w:rsidRPr="00F25C7C">
        <w:t>child and adolescent psychiatrist or paediatrician</w:t>
      </w:r>
      <w:r w:rsidRPr="00751648">
        <w:t xml:space="preserve">. It should be based on a multidisciplinary assessment and include information obtained from </w:t>
      </w:r>
      <w:r w:rsidRPr="00BE4828">
        <w:t xml:space="preserve">the child’s </w:t>
      </w:r>
      <w:r w:rsidR="003F57B6" w:rsidRPr="00BE4828">
        <w:t>schoolteachers</w:t>
      </w:r>
      <w:r w:rsidR="006A3DBE" w:rsidRPr="00BE4828">
        <w:t xml:space="preserve"> </w:t>
      </w:r>
      <w:r w:rsidRPr="00BE4828">
        <w:t>(</w:t>
      </w:r>
      <w:r w:rsidR="006A3DBE" w:rsidRPr="00BE4828">
        <w:t>w</w:t>
      </w:r>
      <w:r w:rsidRPr="00BE4828">
        <w:t>ith parental consent)</w:t>
      </w:r>
      <w:r w:rsidR="006A3DBE" w:rsidRPr="00BE4828">
        <w:t>.</w:t>
      </w:r>
    </w:p>
    <w:p w14:paraId="15F0C3C4" w14:textId="77777777" w:rsidR="0008569B" w:rsidRPr="00BE4828" w:rsidRDefault="0008569B" w:rsidP="00D46B50">
      <w:pPr>
        <w:pStyle w:val="NCLBodyText"/>
        <w:rPr>
          <w:sz w:val="6"/>
          <w:szCs w:val="6"/>
        </w:rPr>
      </w:pPr>
    </w:p>
    <w:p w14:paraId="50930181" w14:textId="6F2DF547" w:rsidR="008B5910" w:rsidRPr="00BE4828" w:rsidRDefault="00F20623" w:rsidP="00D46B50">
      <w:pPr>
        <w:pStyle w:val="NCLBodyText"/>
        <w:rPr>
          <w:rFonts w:cs="Arial"/>
        </w:rPr>
      </w:pPr>
      <w:r w:rsidRPr="00BE4828">
        <w:rPr>
          <w:b/>
        </w:rPr>
        <w:lastRenderedPageBreak/>
        <w:t>Methylphenidate</w:t>
      </w:r>
      <w:r w:rsidRPr="00BE4828">
        <w:t xml:space="preserve"> (immediate release and long acting), </w:t>
      </w:r>
      <w:r w:rsidRPr="00BE4828">
        <w:rPr>
          <w:b/>
        </w:rPr>
        <w:t>Atomoxetine</w:t>
      </w:r>
      <w:r w:rsidRPr="00BE4828">
        <w:t xml:space="preserve">, </w:t>
      </w:r>
      <w:r w:rsidRPr="00BE4828">
        <w:rPr>
          <w:b/>
        </w:rPr>
        <w:t>Dexamfetamine</w:t>
      </w:r>
      <w:r w:rsidR="00BA05B2" w:rsidRPr="00BE4828">
        <w:rPr>
          <w:b/>
        </w:rPr>
        <w:t>,</w:t>
      </w:r>
      <w:r w:rsidRPr="00BE4828">
        <w:t xml:space="preserve"> </w:t>
      </w:r>
      <w:r w:rsidRPr="00BE4828">
        <w:rPr>
          <w:b/>
        </w:rPr>
        <w:t>Lisdexamfetamine</w:t>
      </w:r>
      <w:r w:rsidRPr="00BE4828">
        <w:t xml:space="preserve"> </w:t>
      </w:r>
      <w:r w:rsidR="00BA05B2" w:rsidRPr="00BE4828">
        <w:t xml:space="preserve">and </w:t>
      </w:r>
      <w:r w:rsidR="00BA05B2" w:rsidRPr="00BE4828">
        <w:rPr>
          <w:b/>
          <w:bCs/>
        </w:rPr>
        <w:t>Guanfacine</w:t>
      </w:r>
      <w:r w:rsidR="00BA05B2" w:rsidRPr="00BE4828">
        <w:t xml:space="preserve"> </w:t>
      </w:r>
      <w:r w:rsidRPr="00BE4828">
        <w:t>are used for the treatment of ADHD in children</w:t>
      </w:r>
      <w:r w:rsidR="008B5910" w:rsidRPr="00BE4828">
        <w:t xml:space="preserve"> (and</w:t>
      </w:r>
      <w:r w:rsidR="001861AB" w:rsidRPr="00BE4828">
        <w:rPr>
          <w:b/>
        </w:rPr>
        <w:t xml:space="preserve"> </w:t>
      </w:r>
      <w:r w:rsidR="001861AB" w:rsidRPr="00BE4828">
        <w:t>will be referred to as</w:t>
      </w:r>
      <w:r w:rsidR="001861AB" w:rsidRPr="00BE4828">
        <w:rPr>
          <w:b/>
        </w:rPr>
        <w:t xml:space="preserve"> </w:t>
      </w:r>
      <w:r w:rsidR="008B5910" w:rsidRPr="00BE4828">
        <w:rPr>
          <w:b/>
        </w:rPr>
        <w:t>“</w:t>
      </w:r>
      <w:r w:rsidR="001861AB" w:rsidRPr="00BE4828">
        <w:rPr>
          <w:b/>
        </w:rPr>
        <w:t>Child</w:t>
      </w:r>
      <w:r w:rsidR="00397B4C" w:rsidRPr="00BE4828">
        <w:rPr>
          <w:b/>
        </w:rPr>
        <w:t xml:space="preserve">ren and Adolescent </w:t>
      </w:r>
      <w:r w:rsidR="001861AB" w:rsidRPr="00BE4828">
        <w:rPr>
          <w:b/>
        </w:rPr>
        <w:t>ADHD</w:t>
      </w:r>
      <w:r w:rsidR="008B5910" w:rsidRPr="00BE4828">
        <w:rPr>
          <w:b/>
        </w:rPr>
        <w:t>”</w:t>
      </w:r>
      <w:r w:rsidR="001861AB" w:rsidRPr="00BE4828">
        <w:rPr>
          <w:b/>
        </w:rPr>
        <w:t xml:space="preserve"> drug</w:t>
      </w:r>
      <w:r w:rsidR="008B5910" w:rsidRPr="00BE4828">
        <w:rPr>
          <w:b/>
        </w:rPr>
        <w:t xml:space="preserve"> treatments</w:t>
      </w:r>
      <w:r w:rsidR="001861AB" w:rsidRPr="00BE4828">
        <w:rPr>
          <w:b/>
        </w:rPr>
        <w:t xml:space="preserve"> </w:t>
      </w:r>
      <w:r w:rsidR="001861AB" w:rsidRPr="00BE4828">
        <w:t xml:space="preserve">hereafter within this </w:t>
      </w:r>
      <w:r w:rsidR="008B5910" w:rsidRPr="00BE4828">
        <w:t>document</w:t>
      </w:r>
      <w:r w:rsidR="00C35F6B" w:rsidRPr="00BE4828">
        <w:t>)</w:t>
      </w:r>
      <w:r w:rsidR="00E3772B" w:rsidRPr="00BE4828">
        <w:rPr>
          <w:b/>
        </w:rPr>
        <w:t>.</w:t>
      </w:r>
      <w:r w:rsidR="00E3772B" w:rsidRPr="00BE4828">
        <w:rPr>
          <w:rFonts w:cs="Arial"/>
        </w:rPr>
        <w:t xml:space="preserve"> </w:t>
      </w:r>
    </w:p>
    <w:p w14:paraId="32ADA0C2" w14:textId="098DDD14" w:rsidR="00D46B50" w:rsidRPr="00751648" w:rsidRDefault="008B5910" w:rsidP="00D46B50">
      <w:pPr>
        <w:pStyle w:val="NCLBodyText"/>
        <w:rPr>
          <w:rFonts w:cs="Arial"/>
        </w:rPr>
      </w:pPr>
      <w:r w:rsidRPr="00BE4828">
        <w:rPr>
          <w:rFonts w:cs="Arial"/>
        </w:rPr>
        <w:t xml:space="preserve">The time taken to </w:t>
      </w:r>
      <w:r w:rsidR="007A3625" w:rsidRPr="00BE4828">
        <w:rPr>
          <w:rFonts w:cs="Arial"/>
        </w:rPr>
        <w:t>stabilise</w:t>
      </w:r>
      <w:r w:rsidRPr="00BE4828">
        <w:rPr>
          <w:rFonts w:cs="Arial"/>
        </w:rPr>
        <w:t xml:space="preserve"> </w:t>
      </w:r>
      <w:r w:rsidR="00F647BB" w:rsidRPr="00BE4828">
        <w:rPr>
          <w:rFonts w:cs="Arial"/>
        </w:rPr>
        <w:t>patients</w:t>
      </w:r>
      <w:r w:rsidRPr="00BE4828">
        <w:rPr>
          <w:rFonts w:cs="Arial"/>
        </w:rPr>
        <w:t xml:space="preserve"> on an </w:t>
      </w:r>
      <w:r w:rsidR="00D46B50" w:rsidRPr="00BE4828">
        <w:rPr>
          <w:rFonts w:cs="Arial"/>
        </w:rPr>
        <w:t xml:space="preserve">optimal dose </w:t>
      </w:r>
      <w:r w:rsidR="00F647BB" w:rsidRPr="00BE4828">
        <w:rPr>
          <w:rFonts w:cs="Arial"/>
        </w:rPr>
        <w:t xml:space="preserve">of medication </w:t>
      </w:r>
      <w:r w:rsidRPr="00BE4828">
        <w:rPr>
          <w:rFonts w:cs="Arial"/>
        </w:rPr>
        <w:t>u</w:t>
      </w:r>
      <w:r w:rsidR="00D46B50" w:rsidRPr="00BE4828">
        <w:rPr>
          <w:rFonts w:cs="Arial"/>
        </w:rPr>
        <w:t>sually takes approximately</w:t>
      </w:r>
      <w:r w:rsidR="00D46B50" w:rsidRPr="00751648">
        <w:rPr>
          <w:rFonts w:cs="Arial"/>
        </w:rPr>
        <w:t xml:space="preserve"> </w:t>
      </w:r>
      <w:r w:rsidR="001861AB" w:rsidRPr="00751648">
        <w:rPr>
          <w:rFonts w:cs="Arial"/>
        </w:rPr>
        <w:t>8 – 12 weeks</w:t>
      </w:r>
      <w:r w:rsidR="00751648">
        <w:rPr>
          <w:rFonts w:cs="Arial"/>
        </w:rPr>
        <w:t>, though this can sometimes take longer</w:t>
      </w:r>
      <w:r w:rsidR="00E3772B" w:rsidRPr="00751648">
        <w:rPr>
          <w:rFonts w:cs="Arial"/>
        </w:rPr>
        <w:t>.</w:t>
      </w:r>
      <w:r w:rsidR="00E3772B" w:rsidRPr="00751648">
        <w:rPr>
          <w:rFonts w:cs="Arial"/>
          <w:sz w:val="24"/>
        </w:rPr>
        <w:t xml:space="preserve"> </w:t>
      </w:r>
      <w:r w:rsidR="00D46B50" w:rsidRPr="00751648">
        <w:rPr>
          <w:rFonts w:cs="Arial"/>
        </w:rPr>
        <w:t>Once achieved, a shared care arrangement will be requested</w:t>
      </w:r>
      <w:r w:rsidR="00F647BB" w:rsidRPr="00751648">
        <w:rPr>
          <w:rFonts w:cs="Arial"/>
        </w:rPr>
        <w:t xml:space="preserve"> with the GP</w:t>
      </w:r>
      <w:r w:rsidR="00E3772B" w:rsidRPr="00751648">
        <w:rPr>
          <w:rFonts w:cs="Arial"/>
        </w:rPr>
        <w:t xml:space="preserve">. </w:t>
      </w:r>
      <w:r w:rsidRPr="00751648">
        <w:rPr>
          <w:rFonts w:cs="Arial"/>
        </w:rPr>
        <w:t>This document</w:t>
      </w:r>
      <w:r w:rsidR="00D46B50" w:rsidRPr="00751648">
        <w:rPr>
          <w:rFonts w:cs="Arial"/>
        </w:rPr>
        <w:t xml:space="preserve"> will clarify responsibilities between the specialist and general practitioner (GP) for managing the prescribing of </w:t>
      </w:r>
      <w:r w:rsidRPr="00751648">
        <w:rPr>
          <w:rFonts w:cs="Arial"/>
        </w:rPr>
        <w:t>Child</w:t>
      </w:r>
      <w:r w:rsidR="00397B4C" w:rsidRPr="00751648">
        <w:rPr>
          <w:rFonts w:cs="Arial"/>
        </w:rPr>
        <w:t>ren and Adolescent</w:t>
      </w:r>
      <w:r w:rsidRPr="00751648">
        <w:rPr>
          <w:rFonts w:cs="Arial"/>
        </w:rPr>
        <w:t xml:space="preserve"> ADHD drug treatment </w:t>
      </w:r>
      <w:r w:rsidR="00D46B50" w:rsidRPr="00751648">
        <w:rPr>
          <w:rFonts w:cs="Arial"/>
        </w:rPr>
        <w:t>such as:</w:t>
      </w:r>
    </w:p>
    <w:p w14:paraId="49FD05B9" w14:textId="79DDBB96" w:rsidR="00D46B50" w:rsidRPr="00751648" w:rsidRDefault="00D46B50" w:rsidP="00D46B50">
      <w:pPr>
        <w:pStyle w:val="ListBullet"/>
      </w:pPr>
      <w:r w:rsidRPr="00751648">
        <w:t>Who will prescribe</w:t>
      </w:r>
      <w:r w:rsidR="00AC1DA7">
        <w:t>.</w:t>
      </w:r>
    </w:p>
    <w:p w14:paraId="0AD15C7B" w14:textId="4A727083" w:rsidR="00D46B50" w:rsidRPr="00751648" w:rsidRDefault="00D46B50" w:rsidP="00D46B50">
      <w:pPr>
        <w:pStyle w:val="ListBullet"/>
      </w:pPr>
      <w:r w:rsidRPr="00751648">
        <w:t>Who will monitor</w:t>
      </w:r>
      <w:r w:rsidR="00AC1DA7">
        <w:t>.</w:t>
      </w:r>
    </w:p>
    <w:p w14:paraId="1CD59F18" w14:textId="2B5FB250" w:rsidR="00D46B50" w:rsidRPr="00751648" w:rsidRDefault="00D46B50" w:rsidP="00D46B50">
      <w:pPr>
        <w:pStyle w:val="ListBullet"/>
      </w:pPr>
      <w:r w:rsidRPr="00751648">
        <w:t xml:space="preserve">Any tests required (e.g. blood tests), the exact names/nature of the tests, why they are needed, the frequency of testing, the location in which these will be carried out and action to be taken for any abnormal </w:t>
      </w:r>
      <w:r w:rsidR="00AC1DA7" w:rsidRPr="00751648">
        <w:t>results.</w:t>
      </w:r>
      <w:r w:rsidRPr="00751648">
        <w:t xml:space="preserve"> </w:t>
      </w:r>
    </w:p>
    <w:p w14:paraId="4A452F57" w14:textId="43F9C568" w:rsidR="00D46B50" w:rsidRPr="00751648" w:rsidRDefault="00D46B50" w:rsidP="00D46B50">
      <w:pPr>
        <w:pStyle w:val="ListBullet"/>
      </w:pPr>
      <w:r w:rsidRPr="00751648">
        <w:t xml:space="preserve">Which clinician will be responsible for receipt and review of the </w:t>
      </w:r>
      <w:r w:rsidR="00AC1DA7" w:rsidRPr="00751648">
        <w:t>results.</w:t>
      </w:r>
    </w:p>
    <w:p w14:paraId="5B35EB5B" w14:textId="77777777" w:rsidR="00D46B50" w:rsidRPr="00751648" w:rsidRDefault="00D46B50" w:rsidP="00D46B50">
      <w:pPr>
        <w:pStyle w:val="ListBullet"/>
      </w:pPr>
      <w:r w:rsidRPr="00751648">
        <w:t>Who will communicate any necessary changes in dose to the patient</w:t>
      </w:r>
      <w:r w:rsidR="001861AB" w:rsidRPr="00751648">
        <w:t xml:space="preserve"> </w:t>
      </w:r>
      <w:r w:rsidRPr="00751648">
        <w:t>and the GP</w:t>
      </w:r>
      <w:r w:rsidR="008B5910" w:rsidRPr="00751648">
        <w:t>.</w:t>
      </w:r>
    </w:p>
    <w:p w14:paraId="3E92D83A" w14:textId="77777777" w:rsidR="004A1C91" w:rsidRPr="00751648" w:rsidRDefault="004A1C91" w:rsidP="00592DE9">
      <w:pPr>
        <w:pStyle w:val="NCLBodyText"/>
      </w:pPr>
    </w:p>
    <w:p w14:paraId="51722AE4" w14:textId="334F0774" w:rsidR="00EE4129" w:rsidRPr="000F63FB" w:rsidRDefault="004A1C91" w:rsidP="00592DE9">
      <w:pPr>
        <w:pStyle w:val="NCLBodyText"/>
        <w:rPr>
          <w:i/>
        </w:rPr>
      </w:pPr>
      <w:r w:rsidRPr="00751648">
        <w:t xml:space="preserve">This document should provide sufficient information to enable </w:t>
      </w:r>
      <w:r w:rsidR="00F647BB" w:rsidRPr="00751648">
        <w:t xml:space="preserve">the GP to make </w:t>
      </w:r>
      <w:r w:rsidRPr="00751648">
        <w:t>an informed decision regarding the clinical and legal responsibility for prescribing these drugs</w:t>
      </w:r>
      <w:r w:rsidR="00AC1DA7" w:rsidRPr="00751648">
        <w:rPr>
          <w:i/>
        </w:rPr>
        <w:t xml:space="preserve">. </w:t>
      </w:r>
    </w:p>
    <w:p w14:paraId="569BBDD1" w14:textId="77777777" w:rsidR="00592DE9" w:rsidRPr="00751648" w:rsidRDefault="00D46B50" w:rsidP="00D46B50">
      <w:pPr>
        <w:pStyle w:val="NCLHeading1"/>
      </w:pPr>
      <w:bookmarkStart w:id="2" w:name="_Toc42095037"/>
      <w:r w:rsidRPr="00751648">
        <w:t>Shared Care criteria</w:t>
      </w:r>
      <w:bookmarkEnd w:id="2"/>
    </w:p>
    <w:p w14:paraId="2FCDDD28" w14:textId="77777777" w:rsidR="001861AB" w:rsidRPr="00751648" w:rsidRDefault="001861AB" w:rsidP="008B5910">
      <w:pPr>
        <w:pStyle w:val="NCLBodyText"/>
        <w:numPr>
          <w:ilvl w:val="0"/>
          <w:numId w:val="31"/>
        </w:numPr>
      </w:pPr>
      <w:r w:rsidRPr="00751648">
        <w:t>If medication is indicated as part of the treatment package, the</w:t>
      </w:r>
      <w:r w:rsidR="008B5910" w:rsidRPr="00751648">
        <w:t>n the</w:t>
      </w:r>
      <w:r w:rsidRPr="00751648">
        <w:t xml:space="preserve"> medication </w:t>
      </w:r>
      <w:r w:rsidR="008B5910" w:rsidRPr="00751648">
        <w:t>will be</w:t>
      </w:r>
      <w:r w:rsidRPr="00751648">
        <w:t xml:space="preserve"> initiated in the specialist clinic. </w:t>
      </w:r>
      <w:r w:rsidR="008B5910" w:rsidRPr="00751648">
        <w:t>Child</w:t>
      </w:r>
      <w:r w:rsidR="00397B4C" w:rsidRPr="00751648">
        <w:t>ren and Adolescent</w:t>
      </w:r>
      <w:r w:rsidR="008B5910" w:rsidRPr="00751648">
        <w:t xml:space="preserve"> ADHD drug </w:t>
      </w:r>
      <w:r w:rsidRPr="00751648">
        <w:t>treatments may form part of a comprehensive treatment programme that focuses on psychological, behavioural and educational advice and interventions.</w:t>
      </w:r>
    </w:p>
    <w:p w14:paraId="07AA2665" w14:textId="77777777" w:rsidR="001861AB" w:rsidRPr="00751648" w:rsidRDefault="001861AB" w:rsidP="001861AB">
      <w:pPr>
        <w:pStyle w:val="NCLBodyText"/>
        <w:numPr>
          <w:ilvl w:val="0"/>
          <w:numId w:val="17"/>
        </w:numPr>
      </w:pPr>
      <w:r w:rsidRPr="00751648">
        <w:t>Patients will be stabilised on the “Child</w:t>
      </w:r>
      <w:r w:rsidR="00397B4C" w:rsidRPr="00751648">
        <w:t>ren and Adolescent</w:t>
      </w:r>
      <w:r w:rsidRPr="00751648">
        <w:t xml:space="preserve"> ADHD” drug</w:t>
      </w:r>
      <w:r w:rsidR="008B5910" w:rsidRPr="00751648">
        <w:t xml:space="preserve"> treatments</w:t>
      </w:r>
      <w:r w:rsidRPr="00751648">
        <w:t xml:space="preserve"> and </w:t>
      </w:r>
      <w:r w:rsidR="00C121FF">
        <w:t xml:space="preserve">will </w:t>
      </w:r>
      <w:r w:rsidRPr="00751648">
        <w:t>have been monitored appropriately at baseline and after initiation of treatment, with no problems identified during this period, prior to referral to the GP for shared care.</w:t>
      </w:r>
    </w:p>
    <w:p w14:paraId="258FA285" w14:textId="7617B660" w:rsidR="001861AB" w:rsidRPr="00751648" w:rsidRDefault="001861AB" w:rsidP="008B5910">
      <w:pPr>
        <w:pStyle w:val="NCLBodyText"/>
        <w:numPr>
          <w:ilvl w:val="0"/>
          <w:numId w:val="17"/>
        </w:numPr>
      </w:pPr>
      <w:r w:rsidRPr="00751648">
        <w:t xml:space="preserve">Prescribing responsibility will only be transferred when it is agreed by the </w:t>
      </w:r>
      <w:r w:rsidR="008B5910" w:rsidRPr="00751648">
        <w:t>C</w:t>
      </w:r>
      <w:r w:rsidRPr="00751648">
        <w:t xml:space="preserve">onsultant and the GP that the patient’s condition is reasonably </w:t>
      </w:r>
      <w:proofErr w:type="gramStart"/>
      <w:r w:rsidRPr="00751648">
        <w:t>predictable</w:t>
      </w:r>
      <w:proofErr w:type="gramEnd"/>
      <w:r w:rsidRPr="00751648">
        <w:t xml:space="preserve"> and the treatment regime</w:t>
      </w:r>
      <w:r w:rsidR="008B5910" w:rsidRPr="00751648">
        <w:t>n</w:t>
      </w:r>
      <w:r w:rsidRPr="00751648">
        <w:t xml:space="preserve"> has been specified.</w:t>
      </w:r>
    </w:p>
    <w:p w14:paraId="125A9A24" w14:textId="77777777" w:rsidR="001861AB" w:rsidRPr="00751648" w:rsidRDefault="001861AB" w:rsidP="001861AB">
      <w:pPr>
        <w:pStyle w:val="NCLBodyText"/>
        <w:numPr>
          <w:ilvl w:val="0"/>
          <w:numId w:val="17"/>
        </w:numPr>
      </w:pPr>
      <w:r w:rsidRPr="00751648">
        <w:t xml:space="preserve">The </w:t>
      </w:r>
      <w:r w:rsidR="008B5910" w:rsidRPr="00751648">
        <w:t>specialist</w:t>
      </w:r>
      <w:r w:rsidRPr="00751648">
        <w:t xml:space="preserve"> clinic will continue to provide prescriptions until there has been a successful transfer of the responsibilities as outlined below.</w:t>
      </w:r>
    </w:p>
    <w:p w14:paraId="38D8180B" w14:textId="517C6650" w:rsidR="0050375B" w:rsidRPr="00751648" w:rsidRDefault="001861AB" w:rsidP="0050375B">
      <w:pPr>
        <w:pStyle w:val="NCLBodyText"/>
        <w:numPr>
          <w:ilvl w:val="0"/>
          <w:numId w:val="17"/>
        </w:numPr>
      </w:pPr>
      <w:r w:rsidRPr="00751648">
        <w:t>The patient will be supplied sufficient quantity for</w:t>
      </w:r>
      <w:r w:rsidR="00DD6413">
        <w:t xml:space="preserve"> a minimum</w:t>
      </w:r>
      <w:r w:rsidRPr="00751648">
        <w:t xml:space="preserve"> </w:t>
      </w:r>
      <w:r w:rsidR="00EA65B8">
        <w:t xml:space="preserve">of </w:t>
      </w:r>
      <w:r w:rsidRPr="00751648">
        <w:t xml:space="preserve">4 weeks </w:t>
      </w:r>
      <w:r w:rsidR="00EA65B8">
        <w:t xml:space="preserve">(or until the patient has been stabilised) </w:t>
      </w:r>
      <w:r w:rsidRPr="00751648">
        <w:t>which is to be continued by the GP.</w:t>
      </w:r>
    </w:p>
    <w:p w14:paraId="551F23FA" w14:textId="77777777" w:rsidR="001861AB" w:rsidRPr="00751648" w:rsidRDefault="008B5910" w:rsidP="0050375B">
      <w:pPr>
        <w:pStyle w:val="NCLBodyText"/>
        <w:numPr>
          <w:ilvl w:val="0"/>
          <w:numId w:val="17"/>
        </w:numPr>
      </w:pPr>
      <w:r w:rsidRPr="00751648">
        <w:t>On discharge from specialist services</w:t>
      </w:r>
      <w:r w:rsidR="00B12F10" w:rsidRPr="00751648">
        <w:t>,</w:t>
      </w:r>
      <w:r w:rsidRPr="00751648">
        <w:t xml:space="preserve"> advice will be given in a letter to continue with treatment in primary care.</w:t>
      </w:r>
    </w:p>
    <w:p w14:paraId="26B420B0" w14:textId="77777777" w:rsidR="00592DE9" w:rsidRPr="00751648" w:rsidRDefault="00D46B50" w:rsidP="00D46B50">
      <w:pPr>
        <w:pStyle w:val="NCLHeading1"/>
      </w:pPr>
      <w:bookmarkStart w:id="3" w:name="_Toc3556216"/>
      <w:bookmarkStart w:id="4" w:name="_Toc3556250"/>
      <w:bookmarkStart w:id="5" w:name="_Toc42095038"/>
      <w:bookmarkEnd w:id="3"/>
      <w:bookmarkEnd w:id="4"/>
      <w:r w:rsidRPr="00751648">
        <w:t>Shared care responsibilities</w:t>
      </w:r>
      <w:bookmarkEnd w:id="5"/>
    </w:p>
    <w:p w14:paraId="6756C4DF" w14:textId="44C2B058" w:rsidR="00D46B50" w:rsidRPr="00751648" w:rsidRDefault="00D46B50" w:rsidP="00A36D21">
      <w:pPr>
        <w:pStyle w:val="NCLHeading2"/>
        <w:jc w:val="left"/>
      </w:pPr>
      <w:bookmarkStart w:id="6" w:name="_Toc42095039"/>
      <w:r w:rsidRPr="00751648">
        <w:t>Consultant</w:t>
      </w:r>
      <w:bookmarkEnd w:id="6"/>
      <w:r w:rsidRPr="00751648">
        <w:t xml:space="preserve"> </w:t>
      </w:r>
      <w:r w:rsidR="00FC0BD8">
        <w:t>/ CAMHS Specialists</w:t>
      </w:r>
    </w:p>
    <w:p w14:paraId="06CB7D0D" w14:textId="77777777" w:rsidR="00806633" w:rsidRPr="00751648" w:rsidRDefault="00806633" w:rsidP="00A36D21">
      <w:pPr>
        <w:pStyle w:val="NCLBodyText"/>
        <w:numPr>
          <w:ilvl w:val="0"/>
          <w:numId w:val="18"/>
        </w:numPr>
        <w:jc w:val="left"/>
      </w:pPr>
      <w:r w:rsidRPr="00751648">
        <w:t>Diagnosis of ADHD and decision to initiate treatment.</w:t>
      </w:r>
    </w:p>
    <w:p w14:paraId="19624FE7" w14:textId="77777777" w:rsidR="00352213" w:rsidRDefault="00806633" w:rsidP="00133BB4">
      <w:pPr>
        <w:pStyle w:val="NCLBodyText"/>
        <w:numPr>
          <w:ilvl w:val="0"/>
          <w:numId w:val="18"/>
        </w:numPr>
      </w:pPr>
      <w:r w:rsidRPr="00751648">
        <w:t>Ensure baseline monitoring of height, weight, blood pressure and pulse have been performed</w:t>
      </w:r>
      <w:r w:rsidR="00B53362" w:rsidRPr="00751648">
        <w:t>,</w:t>
      </w:r>
      <w:r w:rsidRPr="00751648">
        <w:t xml:space="preserve"> plus any additional relevant investigations</w:t>
      </w:r>
      <w:r w:rsidR="000277DE" w:rsidRPr="00751648">
        <w:t xml:space="preserve"> (these must be shared with the GP)</w:t>
      </w:r>
      <w:r w:rsidRPr="00751648">
        <w:t xml:space="preserve">. </w:t>
      </w:r>
    </w:p>
    <w:p w14:paraId="174AE388" w14:textId="1117C541" w:rsidR="00352213" w:rsidRDefault="00352213" w:rsidP="00133BB4">
      <w:pPr>
        <w:pStyle w:val="NCLBodyText"/>
        <w:numPr>
          <w:ilvl w:val="0"/>
          <w:numId w:val="18"/>
        </w:numPr>
      </w:pPr>
      <w:r>
        <w:t xml:space="preserve">The Specialist must also refer for a cardiology opinion in </w:t>
      </w:r>
      <w:r w:rsidR="00713F14">
        <w:t>specific</w:t>
      </w:r>
      <w:r>
        <w:t xml:space="preserve"> circumstances (or a paediatric hypertension specialist if blood pressure is consistently above the 95</w:t>
      </w:r>
      <w:r w:rsidRPr="00352213">
        <w:rPr>
          <w:vertAlign w:val="superscript"/>
        </w:rPr>
        <w:t>th</w:t>
      </w:r>
      <w:r>
        <w:t xml:space="preserve"> centile for age/height)</w:t>
      </w:r>
      <w:r w:rsidR="00DC2B5F">
        <w:t xml:space="preserve"> prior to</w:t>
      </w:r>
      <w:r w:rsidR="00713F14">
        <w:t xml:space="preserve"> medication</w:t>
      </w:r>
      <w:r w:rsidR="00DC2B5F">
        <w:t xml:space="preserve"> initiation</w:t>
      </w:r>
      <w:r>
        <w:t xml:space="preserve">. A full list of cardiac related scenarios where this is necessary can be found in </w:t>
      </w:r>
      <w:hyperlink r:id="rId13" w:history="1">
        <w:r w:rsidRPr="00352213">
          <w:rPr>
            <w:rStyle w:val="Hyperlink"/>
          </w:rPr>
          <w:t>NICE Guidance</w:t>
        </w:r>
      </w:hyperlink>
      <w:r>
        <w:t xml:space="preserve">. </w:t>
      </w:r>
    </w:p>
    <w:p w14:paraId="47890DA0" w14:textId="750C2474" w:rsidR="00986E32" w:rsidRPr="00751648" w:rsidRDefault="007163E0" w:rsidP="00133BB4">
      <w:pPr>
        <w:pStyle w:val="NCLBodyText"/>
        <w:numPr>
          <w:ilvl w:val="0"/>
          <w:numId w:val="18"/>
        </w:numPr>
      </w:pPr>
      <w:r w:rsidRPr="00751648">
        <w:t>Discuss</w:t>
      </w:r>
      <w:r w:rsidR="001B4095" w:rsidRPr="00751648">
        <w:t xml:space="preserve"> the benefits and adverse effects of treatment with the patient (if appropriate)</w:t>
      </w:r>
      <w:r w:rsidR="004D1D3C" w:rsidRPr="00751648">
        <w:t xml:space="preserve"> and/ or </w:t>
      </w:r>
      <w:r w:rsidR="001B4095" w:rsidRPr="00751648">
        <w:t>parents</w:t>
      </w:r>
      <w:r w:rsidR="00986E32" w:rsidRPr="00751648">
        <w:t xml:space="preserve"> or</w:t>
      </w:r>
      <w:r w:rsidR="001B4095" w:rsidRPr="00751648">
        <w:t xml:space="preserve"> carers</w:t>
      </w:r>
      <w:r w:rsidR="00EC6309" w:rsidRPr="00751648">
        <w:t xml:space="preserve">. </w:t>
      </w:r>
    </w:p>
    <w:p w14:paraId="6FDC8BEA" w14:textId="77777777" w:rsidR="001B4095" w:rsidRPr="00751648" w:rsidRDefault="001B4095" w:rsidP="001B4095">
      <w:pPr>
        <w:pStyle w:val="NCLBodyText"/>
        <w:numPr>
          <w:ilvl w:val="0"/>
          <w:numId w:val="18"/>
        </w:numPr>
      </w:pPr>
      <w:r w:rsidRPr="00751648">
        <w:lastRenderedPageBreak/>
        <w:t>Provide the patient (as appropriate), parent/ carer, and class teachers with written information about ADHD, its management including</w:t>
      </w:r>
      <w:r w:rsidR="004D1D3C" w:rsidRPr="00751648">
        <w:t>,</w:t>
      </w:r>
      <w:r w:rsidRPr="00751648">
        <w:t xml:space="preserve"> medical management, explaining the effects and side effects of medication. Document this discussion in the patient’s clinical notes.</w:t>
      </w:r>
    </w:p>
    <w:p w14:paraId="7AF07336" w14:textId="7C0AF491" w:rsidR="001B4095" w:rsidRPr="00751648" w:rsidRDefault="001B4095" w:rsidP="004000B2">
      <w:pPr>
        <w:pStyle w:val="NCLBodyText"/>
        <w:numPr>
          <w:ilvl w:val="0"/>
          <w:numId w:val="18"/>
        </w:numPr>
      </w:pPr>
      <w:r w:rsidRPr="00751648">
        <w:t>Assess the effects of the medication</w:t>
      </w:r>
      <w:r w:rsidR="002D5B0A">
        <w:t>;</w:t>
      </w:r>
      <w:r w:rsidRPr="00751648">
        <w:t xml:space="preserve"> continued liaison is required with the parents</w:t>
      </w:r>
      <w:r w:rsidR="00986E32" w:rsidRPr="00751648">
        <w:t xml:space="preserve"> or</w:t>
      </w:r>
      <w:r w:rsidR="004D1D3C" w:rsidRPr="00751648">
        <w:t xml:space="preserve"> carer</w:t>
      </w:r>
      <w:r w:rsidRPr="00751648">
        <w:t xml:space="preserve"> and class teachers. </w:t>
      </w:r>
    </w:p>
    <w:p w14:paraId="7580CB56" w14:textId="2DF4A083" w:rsidR="00FD4E18" w:rsidRPr="00BE4828" w:rsidRDefault="00806633" w:rsidP="004000B2">
      <w:pPr>
        <w:pStyle w:val="NCLBodyText"/>
        <w:numPr>
          <w:ilvl w:val="0"/>
          <w:numId w:val="18"/>
        </w:numPr>
      </w:pPr>
      <w:r w:rsidRPr="00BE4828">
        <w:t>Initiat</w:t>
      </w:r>
      <w:r w:rsidR="0050375B" w:rsidRPr="00BE4828">
        <w:t>e</w:t>
      </w:r>
      <w:r w:rsidRPr="00BE4828">
        <w:t xml:space="preserve"> and stabilis</w:t>
      </w:r>
      <w:r w:rsidR="0050375B" w:rsidRPr="00BE4828">
        <w:t xml:space="preserve">e </w:t>
      </w:r>
      <w:r w:rsidRPr="00BE4828">
        <w:t>medication treatment</w:t>
      </w:r>
      <w:r w:rsidR="0050375B" w:rsidRPr="00BE4828">
        <w:t>, or according to local agreements regarding minimum supply durations</w:t>
      </w:r>
      <w:r w:rsidR="00EC6309" w:rsidRPr="00BE4828">
        <w:t xml:space="preserve">. </w:t>
      </w:r>
    </w:p>
    <w:p w14:paraId="690591A9" w14:textId="6710BB3E" w:rsidR="00806633" w:rsidRPr="00BE4828" w:rsidRDefault="004D1D3C" w:rsidP="004000B2">
      <w:pPr>
        <w:pStyle w:val="NCLBodyText"/>
        <w:numPr>
          <w:ilvl w:val="0"/>
          <w:numId w:val="40"/>
        </w:numPr>
        <w:ind w:left="709" w:hanging="425"/>
      </w:pPr>
      <w:r w:rsidRPr="00BE4828">
        <w:t>Prescribe the medication until the dose is stabilised</w:t>
      </w:r>
      <w:r w:rsidR="009B1174" w:rsidRPr="00BE4828">
        <w:t xml:space="preserve"> </w:t>
      </w:r>
      <w:r w:rsidR="003B75A2" w:rsidRPr="00BE4828">
        <w:t>i</w:t>
      </w:r>
      <w:r w:rsidR="009B1174" w:rsidRPr="00BE4828">
        <w:t>n terms of maximum effect and minimum/ tolerable adverse effects</w:t>
      </w:r>
      <w:r w:rsidRPr="00BE4828">
        <w:t xml:space="preserve">. </w:t>
      </w:r>
      <w:r w:rsidR="00806633" w:rsidRPr="00BE4828">
        <w:t>Doses should be gradually increased until there is no further clinical improvement in ADHD</w:t>
      </w:r>
      <w:r w:rsidR="003B75A2" w:rsidRPr="00BE4828">
        <w:t>;</w:t>
      </w:r>
      <w:r w:rsidR="00806633" w:rsidRPr="00BE4828">
        <w:t xml:space="preserve"> that is, symptom reduction, behaviour change, improvements in education and/or relationships</w:t>
      </w:r>
      <w:r w:rsidR="00AF5202" w:rsidRPr="00BE4828">
        <w:t xml:space="preserve"> </w:t>
      </w:r>
      <w:r w:rsidR="00806633" w:rsidRPr="00BE4828">
        <w:t>and side effects are tolerable.</w:t>
      </w:r>
    </w:p>
    <w:p w14:paraId="15B1DE22" w14:textId="2615CE6C" w:rsidR="009B1174" w:rsidRPr="00751648" w:rsidRDefault="009B1174" w:rsidP="004000B2">
      <w:pPr>
        <w:pStyle w:val="NCLBodyText"/>
        <w:numPr>
          <w:ilvl w:val="0"/>
          <w:numId w:val="40"/>
        </w:numPr>
        <w:ind w:left="709" w:hanging="425"/>
      </w:pPr>
      <w:bookmarkStart w:id="7" w:name="_Hlk39163562"/>
      <w:r w:rsidRPr="00BE4828">
        <w:t>Advise when and how to stop the medication</w:t>
      </w:r>
      <w:r w:rsidR="00FD3723" w:rsidRPr="00BE4828">
        <w:t>, including when drug</w:t>
      </w:r>
      <w:r w:rsidR="00FD3723">
        <w:t xml:space="preserve"> holidays are recommended</w:t>
      </w:r>
      <w:r w:rsidRPr="00751648">
        <w:t>.</w:t>
      </w:r>
    </w:p>
    <w:bookmarkEnd w:id="7"/>
    <w:p w14:paraId="63A37ABE" w14:textId="77777777" w:rsidR="008065C2" w:rsidRPr="00751648" w:rsidRDefault="008065C2" w:rsidP="004000B2">
      <w:pPr>
        <w:pStyle w:val="NCLBodyText"/>
        <w:numPr>
          <w:ilvl w:val="0"/>
          <w:numId w:val="40"/>
        </w:numPr>
        <w:ind w:left="709" w:hanging="425"/>
      </w:pPr>
      <w:r w:rsidRPr="00751648">
        <w:t>Advise on the duration of continuation of the medication and if appropriate transition to adult services.</w:t>
      </w:r>
    </w:p>
    <w:p w14:paraId="11A8B44D" w14:textId="686A9925" w:rsidR="001B4095" w:rsidRPr="00751648" w:rsidRDefault="001B4095" w:rsidP="004000B2">
      <w:pPr>
        <w:pStyle w:val="NCLBodyText"/>
        <w:numPr>
          <w:ilvl w:val="0"/>
          <w:numId w:val="18"/>
        </w:numPr>
        <w:ind w:left="714" w:hanging="425"/>
      </w:pPr>
      <w:r w:rsidRPr="00751648">
        <w:t>Send a letter to the GP along with shared care criteria requesting shared care for this patient</w:t>
      </w:r>
      <w:r w:rsidR="00527AC1" w:rsidRPr="00751648">
        <w:t xml:space="preserve">. </w:t>
      </w:r>
      <w:r w:rsidR="00C121FF">
        <w:t>If applicable, c</w:t>
      </w:r>
      <w:r w:rsidRPr="00751648">
        <w:t xml:space="preserve">ommunicate to the GP which brand of </w:t>
      </w:r>
      <w:r w:rsidR="00527AC1" w:rsidRPr="00751648">
        <w:t>long-acting</w:t>
      </w:r>
      <w:r w:rsidRPr="00751648">
        <w:t xml:space="preserve"> methylphenidate is </w:t>
      </w:r>
      <w:r w:rsidR="00F330CA" w:rsidRPr="00751648">
        <w:t xml:space="preserve">to be </w:t>
      </w:r>
      <w:r w:rsidRPr="00751648">
        <w:t xml:space="preserve">prescribed, as </w:t>
      </w:r>
      <w:r w:rsidR="00F330CA" w:rsidRPr="00751648">
        <w:t xml:space="preserve">the </w:t>
      </w:r>
      <w:r w:rsidRPr="00751648">
        <w:t>different brands are not interchangeable</w:t>
      </w:r>
      <w:r w:rsidR="00F330CA" w:rsidRPr="00751648">
        <w:t>.</w:t>
      </w:r>
    </w:p>
    <w:p w14:paraId="1019A952" w14:textId="77777777" w:rsidR="00F330CA" w:rsidRPr="00751648" w:rsidRDefault="00F330CA" w:rsidP="004000B2">
      <w:pPr>
        <w:pStyle w:val="ListParagraph"/>
        <w:numPr>
          <w:ilvl w:val="0"/>
          <w:numId w:val="18"/>
        </w:numPr>
        <w:spacing w:before="60"/>
        <w:ind w:left="714" w:hanging="425"/>
        <w:jc w:val="both"/>
        <w:rPr>
          <w:rFonts w:eastAsiaTheme="minorHAnsi" w:cs="Calibri"/>
          <w:sz w:val="22"/>
          <w:szCs w:val="22"/>
        </w:rPr>
      </w:pPr>
      <w:r w:rsidRPr="00751648">
        <w:rPr>
          <w:rFonts w:eastAsiaTheme="minorHAnsi" w:cs="Calibri"/>
          <w:sz w:val="22"/>
          <w:szCs w:val="22"/>
        </w:rPr>
        <w:t>Provide results of baseline tests and recommend freq</w:t>
      </w:r>
      <w:r w:rsidR="007163E0" w:rsidRPr="00751648">
        <w:rPr>
          <w:rFonts w:eastAsiaTheme="minorHAnsi" w:cs="Calibri"/>
          <w:sz w:val="22"/>
          <w:szCs w:val="22"/>
        </w:rPr>
        <w:t>uency of monitoring to GP. The C</w:t>
      </w:r>
      <w:r w:rsidRPr="00751648">
        <w:rPr>
          <w:rFonts w:eastAsiaTheme="minorHAnsi" w:cs="Calibri"/>
          <w:sz w:val="22"/>
          <w:szCs w:val="22"/>
        </w:rPr>
        <w:t>onsultant must also explain what the recommended tests are, why they are needed and the location in which these tests will be carried out</w:t>
      </w:r>
      <w:r w:rsidR="00EF3C4F" w:rsidRPr="00751648">
        <w:rPr>
          <w:rFonts w:eastAsiaTheme="minorHAnsi" w:cs="Calibri"/>
          <w:sz w:val="22"/>
          <w:szCs w:val="22"/>
        </w:rPr>
        <w:t>.</w:t>
      </w:r>
    </w:p>
    <w:p w14:paraId="43815CDF" w14:textId="03372F37" w:rsidR="00806633" w:rsidRPr="00751648" w:rsidRDefault="00806633" w:rsidP="004000B2">
      <w:pPr>
        <w:pStyle w:val="NCLBodyText"/>
        <w:numPr>
          <w:ilvl w:val="0"/>
          <w:numId w:val="18"/>
        </w:numPr>
        <w:ind w:hanging="425"/>
      </w:pPr>
      <w:r w:rsidRPr="00751648">
        <w:t xml:space="preserve">Evaluate adverse drug reactions reported by the GP, child, young person or the carer. Report events to the CSM/MHRA via yellow card </w:t>
      </w:r>
      <w:r w:rsidR="00527AC1" w:rsidRPr="00751648">
        <w:t>system, www.yellowcard.gov.uk</w:t>
      </w:r>
      <w:r w:rsidR="00F330CA" w:rsidRPr="00751648">
        <w:t>.</w:t>
      </w:r>
    </w:p>
    <w:p w14:paraId="54D4A5AF" w14:textId="4384AEBF" w:rsidR="00806633" w:rsidRPr="00751648" w:rsidRDefault="00806633" w:rsidP="00E27448">
      <w:pPr>
        <w:pStyle w:val="NCLBodyText"/>
        <w:numPr>
          <w:ilvl w:val="0"/>
          <w:numId w:val="18"/>
        </w:numPr>
        <w:spacing w:after="200" w:line="276" w:lineRule="auto"/>
      </w:pPr>
      <w:r w:rsidRPr="00751648">
        <w:t xml:space="preserve">Set the review interval and criteria. Regular follow up should take place </w:t>
      </w:r>
      <w:r w:rsidR="00F25C7C">
        <w:t xml:space="preserve">with a </w:t>
      </w:r>
      <w:r w:rsidR="00F25C7C" w:rsidRPr="00F25C7C">
        <w:t>child and adolescent psychiatrist or paediatrician</w:t>
      </w:r>
      <w:r w:rsidRPr="00751648">
        <w:t xml:space="preserve"> until </w:t>
      </w:r>
      <w:r w:rsidR="00527AC1" w:rsidRPr="00751648">
        <w:t>the child’s</w:t>
      </w:r>
      <w:r w:rsidR="000561A8">
        <w:t xml:space="preserve"> condition</w:t>
      </w:r>
      <w:r w:rsidRPr="00751648">
        <w:t xml:space="preserve"> is stabilised. Following that, </w:t>
      </w:r>
      <w:r w:rsidR="00FD3723">
        <w:t>6- to 12-</w:t>
      </w:r>
      <w:r w:rsidRPr="00751648">
        <w:t>monthly medication review appointments are offered by the CAMHS service. Specialist ADHD nurse, junior doctors and other staff are closely involved with the monitoring of the patients. In addition to medication review appointments, more frequent appointments for behavioural and family interventions may be offered.</w:t>
      </w:r>
    </w:p>
    <w:p w14:paraId="7CE52022" w14:textId="1B1735B4" w:rsidR="00806633" w:rsidRPr="00751648" w:rsidRDefault="00806633" w:rsidP="00A36D21">
      <w:pPr>
        <w:pStyle w:val="NCLBodyText"/>
        <w:numPr>
          <w:ilvl w:val="0"/>
          <w:numId w:val="18"/>
        </w:numPr>
        <w:ind w:hanging="425"/>
      </w:pPr>
      <w:r w:rsidRPr="00751648">
        <w:t>Undertake any necessary monitoring at clinic appointments: blood pressure, pulse rate, weight and height (on a growth chart and record centiles)</w:t>
      </w:r>
      <w:r w:rsidR="007E1E14">
        <w:t xml:space="preserve">, including ECG </w:t>
      </w:r>
      <w:r w:rsidR="00623748">
        <w:t xml:space="preserve">/ requesting an ECG </w:t>
      </w:r>
      <w:r w:rsidR="007E1E14">
        <w:t>where required</w:t>
      </w:r>
      <w:r w:rsidRPr="00751648">
        <w:t>.</w:t>
      </w:r>
    </w:p>
    <w:p w14:paraId="7D0EB853" w14:textId="77777777" w:rsidR="00FE2AC9" w:rsidRPr="00751648" w:rsidRDefault="00806633" w:rsidP="00A36D21">
      <w:pPr>
        <w:pStyle w:val="NCLBodyText"/>
        <w:numPr>
          <w:ilvl w:val="0"/>
          <w:numId w:val="18"/>
        </w:numPr>
        <w:ind w:hanging="425"/>
      </w:pPr>
      <w:r w:rsidRPr="00751648">
        <w:t>Maintain</w:t>
      </w:r>
      <w:r w:rsidR="00FE2AC9" w:rsidRPr="00751648">
        <w:t xml:space="preserve"> good communication with the GP by:</w:t>
      </w:r>
      <w:r w:rsidRPr="00751648">
        <w:t xml:space="preserve"> </w:t>
      </w:r>
    </w:p>
    <w:p w14:paraId="38C251A6" w14:textId="3E211BA5" w:rsidR="00FE2AC9" w:rsidRPr="00751648" w:rsidRDefault="00FE2AC9" w:rsidP="00A36D21">
      <w:pPr>
        <w:pStyle w:val="NCLBodyText"/>
        <w:numPr>
          <w:ilvl w:val="0"/>
          <w:numId w:val="21"/>
        </w:numPr>
        <w:ind w:hanging="425"/>
      </w:pPr>
      <w:r w:rsidRPr="00751648">
        <w:t>Sending a</w:t>
      </w:r>
      <w:r w:rsidR="00806633" w:rsidRPr="00751648">
        <w:t xml:space="preserve"> letter after each clinic visit notifying the GP of changes in medication regime, adverse </w:t>
      </w:r>
      <w:r w:rsidR="006710B8" w:rsidRPr="00751648">
        <w:t>effects,</w:t>
      </w:r>
      <w:r w:rsidR="00806633" w:rsidRPr="00751648">
        <w:t xml:space="preserve"> and results of the patient’s routine monitoring. </w:t>
      </w:r>
    </w:p>
    <w:p w14:paraId="11C30CC6" w14:textId="18B792C0" w:rsidR="00FE2AC9" w:rsidRPr="00751648" w:rsidRDefault="00ED6FEA" w:rsidP="00A36D21">
      <w:pPr>
        <w:pStyle w:val="NCLBodyText"/>
        <w:numPr>
          <w:ilvl w:val="0"/>
          <w:numId w:val="21"/>
        </w:numPr>
        <w:ind w:hanging="425"/>
      </w:pPr>
      <w:r>
        <w:t>Annual review of</w:t>
      </w:r>
      <w:r w:rsidR="00FE2AC9" w:rsidRPr="00751648">
        <w:t xml:space="preserve"> t</w:t>
      </w:r>
      <w:r w:rsidR="00806633" w:rsidRPr="00751648">
        <w:t xml:space="preserve">he </w:t>
      </w:r>
      <w:r w:rsidR="00F330CA" w:rsidRPr="00751648">
        <w:rPr>
          <w:snapToGrid w:val="0"/>
        </w:rPr>
        <w:t xml:space="preserve">patient’s condition and </w:t>
      </w:r>
      <w:r w:rsidR="00FE2AC9" w:rsidRPr="00751648">
        <w:rPr>
          <w:snapToGrid w:val="0"/>
        </w:rPr>
        <w:t>the</w:t>
      </w:r>
      <w:r w:rsidR="00F330CA" w:rsidRPr="00751648">
        <w:t xml:space="preserve"> </w:t>
      </w:r>
      <w:r w:rsidR="00806633" w:rsidRPr="00751648">
        <w:t xml:space="preserve">need for on-going treatment </w:t>
      </w:r>
      <w:r w:rsidR="00F330CA" w:rsidRPr="00751648">
        <w:rPr>
          <w:snapToGrid w:val="0"/>
        </w:rPr>
        <w:t xml:space="preserve">and </w:t>
      </w:r>
      <w:r w:rsidR="00607E79" w:rsidRPr="00751648">
        <w:rPr>
          <w:snapToGrid w:val="0"/>
        </w:rPr>
        <w:t>communicating</w:t>
      </w:r>
      <w:r w:rsidR="00F330CA" w:rsidRPr="00751648">
        <w:rPr>
          <w:snapToGrid w:val="0"/>
        </w:rPr>
        <w:t xml:space="preserve"> promptly with the GP when treatment is changed</w:t>
      </w:r>
      <w:r w:rsidR="00F330CA" w:rsidRPr="00751648">
        <w:t xml:space="preserve">. </w:t>
      </w:r>
    </w:p>
    <w:p w14:paraId="02CDB5A4" w14:textId="3C79A8AD" w:rsidR="00B33060" w:rsidRPr="00751648" w:rsidRDefault="002C41CF" w:rsidP="00A36D21">
      <w:pPr>
        <w:pStyle w:val="NCLBodyText"/>
        <w:numPr>
          <w:ilvl w:val="0"/>
          <w:numId w:val="21"/>
        </w:numPr>
        <w:ind w:hanging="425"/>
        <w:rPr>
          <w:sz w:val="24"/>
        </w:rPr>
      </w:pPr>
      <w:r>
        <w:rPr>
          <w:snapToGrid w:val="0"/>
        </w:rPr>
        <w:t xml:space="preserve">Where blood tests are taken, results should be communicated to the GP, as well as </w:t>
      </w:r>
      <w:r w:rsidR="00B33060" w:rsidRPr="00751648">
        <w:t xml:space="preserve">actions to </w:t>
      </w:r>
      <w:r w:rsidR="00607E79" w:rsidRPr="00751648">
        <w:t xml:space="preserve">be </w:t>
      </w:r>
      <w:r w:rsidR="00B33060" w:rsidRPr="00751648">
        <w:t>take</w:t>
      </w:r>
      <w:r w:rsidR="00607E79" w:rsidRPr="00751648">
        <w:t>n</w:t>
      </w:r>
      <w:r w:rsidR="00B33060" w:rsidRPr="00751648">
        <w:t xml:space="preserve"> in case of abnormal results, and advis</w:t>
      </w:r>
      <w:r w:rsidR="00607E79" w:rsidRPr="00751648">
        <w:t>ing</w:t>
      </w:r>
      <w:r w:rsidR="00B33060" w:rsidRPr="00751648">
        <w:t xml:space="preserve"> the GP on when to adjust the dose, stop treatment, or </w:t>
      </w:r>
      <w:r w:rsidR="00607E79" w:rsidRPr="00751648">
        <w:t xml:space="preserve">when to </w:t>
      </w:r>
      <w:r w:rsidR="00B33060" w:rsidRPr="00751648">
        <w:t xml:space="preserve">consult </w:t>
      </w:r>
      <w:r w:rsidR="00607E79" w:rsidRPr="00751648">
        <w:t>the</w:t>
      </w:r>
      <w:r w:rsidR="00B33060" w:rsidRPr="00751648">
        <w:t xml:space="preserve"> specialist.</w:t>
      </w:r>
    </w:p>
    <w:p w14:paraId="28BE006A" w14:textId="77777777" w:rsidR="00FD4E18" w:rsidRPr="00751648" w:rsidRDefault="00FD4E18" w:rsidP="00A36D21">
      <w:pPr>
        <w:pStyle w:val="NCLBodyText"/>
        <w:ind w:left="1080" w:hanging="425"/>
        <w:rPr>
          <w:sz w:val="6"/>
          <w:szCs w:val="6"/>
        </w:rPr>
      </w:pPr>
    </w:p>
    <w:p w14:paraId="1C229FF4" w14:textId="77777777" w:rsidR="00B33060" w:rsidRPr="00751648" w:rsidRDefault="00B33060" w:rsidP="00A36D21">
      <w:pPr>
        <w:pStyle w:val="NCLBodyText"/>
        <w:numPr>
          <w:ilvl w:val="0"/>
          <w:numId w:val="19"/>
        </w:numPr>
        <w:ind w:hanging="425"/>
        <w:rPr>
          <w:sz w:val="24"/>
        </w:rPr>
      </w:pPr>
      <w:r w:rsidRPr="00751648">
        <w:t>Counsel the patient and parent</w:t>
      </w:r>
      <w:r w:rsidR="00D878E2" w:rsidRPr="00751648">
        <w:t xml:space="preserve"> or </w:t>
      </w:r>
      <w:r w:rsidRPr="00751648">
        <w:t>carer on any dose changes that are made during clinic appointments.</w:t>
      </w:r>
    </w:p>
    <w:p w14:paraId="775F1C05" w14:textId="2CA5120D" w:rsidR="00B33060" w:rsidRPr="00751648" w:rsidRDefault="00B33060" w:rsidP="00A36D21">
      <w:pPr>
        <w:pStyle w:val="ListNumber"/>
        <w:numPr>
          <w:ilvl w:val="0"/>
          <w:numId w:val="19"/>
        </w:numPr>
        <w:ind w:hanging="425"/>
        <w:jc w:val="both"/>
      </w:pPr>
      <w:r w:rsidRPr="00751648">
        <w:t>Inform GP of patients who do not attend clinic appointments</w:t>
      </w:r>
      <w:r w:rsidR="00F23ED9">
        <w:t xml:space="preserve"> with any suitable actions needed</w:t>
      </w:r>
      <w:r w:rsidRPr="00751648">
        <w:t>.</w:t>
      </w:r>
    </w:p>
    <w:p w14:paraId="16C2D77E" w14:textId="77777777" w:rsidR="00B33060" w:rsidRPr="00751648" w:rsidRDefault="00B33060" w:rsidP="00A36D21">
      <w:pPr>
        <w:pStyle w:val="ListNumber"/>
        <w:numPr>
          <w:ilvl w:val="0"/>
          <w:numId w:val="19"/>
        </w:numPr>
        <w:ind w:hanging="425"/>
        <w:jc w:val="both"/>
      </w:pPr>
      <w:r w:rsidRPr="00751648">
        <w:t>Ensure that clear arrangements exist for GPs to obtain advice and support.</w:t>
      </w:r>
    </w:p>
    <w:p w14:paraId="4BD1B100" w14:textId="3837EA53" w:rsidR="00DA39E3" w:rsidRPr="00751648" w:rsidRDefault="00DA39E3" w:rsidP="00A36D21">
      <w:pPr>
        <w:pStyle w:val="ListNumber"/>
        <w:numPr>
          <w:ilvl w:val="0"/>
          <w:numId w:val="19"/>
        </w:numPr>
        <w:ind w:hanging="425"/>
        <w:jc w:val="both"/>
      </w:pPr>
      <w:r w:rsidRPr="00751648">
        <w:t xml:space="preserve">Respond to GP queries, usually within </w:t>
      </w:r>
      <w:r w:rsidR="006710B8" w:rsidRPr="00751648">
        <w:t>two</w:t>
      </w:r>
      <w:r w:rsidRPr="00751648">
        <w:t xml:space="preserve"> working days.</w:t>
      </w:r>
    </w:p>
    <w:p w14:paraId="468017A1" w14:textId="77777777" w:rsidR="00347FD0" w:rsidRPr="00751648" w:rsidRDefault="00347FD0" w:rsidP="00347FD0">
      <w:pPr>
        <w:pStyle w:val="ListNumber"/>
        <w:ind w:left="720"/>
      </w:pPr>
    </w:p>
    <w:p w14:paraId="3B175208" w14:textId="77777777" w:rsidR="00D46B50" w:rsidRPr="00751648" w:rsidRDefault="00D46B50" w:rsidP="00133BB4">
      <w:pPr>
        <w:pStyle w:val="NCLHeading2"/>
      </w:pPr>
      <w:bookmarkStart w:id="8" w:name="_Toc42095040"/>
      <w:r w:rsidRPr="00751648">
        <w:lastRenderedPageBreak/>
        <w:t>General Practitioner</w:t>
      </w:r>
      <w:bookmarkEnd w:id="8"/>
    </w:p>
    <w:p w14:paraId="08B2CEE2" w14:textId="77777777" w:rsidR="0095057B" w:rsidRPr="00751648" w:rsidRDefault="0095057B" w:rsidP="00133BB4">
      <w:pPr>
        <w:pStyle w:val="NCLBodyText"/>
        <w:numPr>
          <w:ilvl w:val="0"/>
          <w:numId w:val="24"/>
        </w:numPr>
        <w:ind w:left="709" w:hanging="425"/>
      </w:pPr>
      <w:r w:rsidRPr="00751648">
        <w:t>Initial referral letter to Tier 3 CAMHS for assessment of ADHD highlighting relevant history and impairments at home and school.</w:t>
      </w:r>
    </w:p>
    <w:p w14:paraId="4EB75CA3" w14:textId="77777777" w:rsidR="0095057B" w:rsidRPr="00751648" w:rsidRDefault="0095057B" w:rsidP="00133BB4">
      <w:pPr>
        <w:pStyle w:val="NCLBodyText"/>
        <w:numPr>
          <w:ilvl w:val="0"/>
          <w:numId w:val="24"/>
        </w:numPr>
        <w:ind w:left="709" w:hanging="425"/>
      </w:pPr>
      <w:r w:rsidRPr="00751648">
        <w:t>Prescribe the Child</w:t>
      </w:r>
      <w:r w:rsidR="00397B4C" w:rsidRPr="00751648">
        <w:t>ren and Adolescent</w:t>
      </w:r>
      <w:r w:rsidRPr="00751648">
        <w:t xml:space="preserve"> ADHD drugs at the dose recommended by the specialist. The term “as directed” SHOULD NOT be used</w:t>
      </w:r>
      <w:r w:rsidR="008335B2" w:rsidRPr="00751648">
        <w:t xml:space="preserve"> when prescribing these medicines</w:t>
      </w:r>
      <w:r w:rsidRPr="00751648">
        <w:t>.</w:t>
      </w:r>
    </w:p>
    <w:p w14:paraId="6B69BD51" w14:textId="0906285E" w:rsidR="00476318" w:rsidRPr="00D67E1D" w:rsidRDefault="00476318" w:rsidP="00133BB4">
      <w:pPr>
        <w:pStyle w:val="ListNumber"/>
        <w:numPr>
          <w:ilvl w:val="0"/>
          <w:numId w:val="24"/>
        </w:numPr>
        <w:ind w:left="709" w:hanging="425"/>
        <w:jc w:val="both"/>
        <w:rPr>
          <w:sz w:val="24"/>
        </w:rPr>
      </w:pPr>
      <w:r w:rsidRPr="00751648">
        <w:rPr>
          <w:snapToGrid w:val="0"/>
        </w:rPr>
        <w:t xml:space="preserve">Adjust the dose as advised by the </w:t>
      </w:r>
      <w:r w:rsidRPr="00751648">
        <w:t>Consultant</w:t>
      </w:r>
      <w:r w:rsidR="00326ADA" w:rsidRPr="00751648">
        <w:t xml:space="preserve"> or </w:t>
      </w:r>
      <w:r w:rsidR="006710B8" w:rsidRPr="00751648">
        <w:rPr>
          <w:snapToGrid w:val="0"/>
        </w:rPr>
        <w:t>specialist.</w:t>
      </w:r>
      <w:r w:rsidRPr="00751648">
        <w:rPr>
          <w:snapToGrid w:val="0"/>
        </w:rPr>
        <w:t xml:space="preserve"> </w:t>
      </w:r>
    </w:p>
    <w:p w14:paraId="5290C00A" w14:textId="77777777" w:rsidR="0095057B" w:rsidRPr="00751648" w:rsidRDefault="0095057B" w:rsidP="00133BB4">
      <w:pPr>
        <w:pStyle w:val="ListNumber"/>
        <w:numPr>
          <w:ilvl w:val="0"/>
          <w:numId w:val="24"/>
        </w:numPr>
        <w:ind w:left="709" w:hanging="425"/>
        <w:jc w:val="both"/>
      </w:pPr>
      <w:r w:rsidRPr="00751648">
        <w:t>Ensure that the patient</w:t>
      </w:r>
      <w:r w:rsidR="004E026A" w:rsidRPr="00751648">
        <w:t xml:space="preserve">, </w:t>
      </w:r>
      <w:r w:rsidR="00AA163B" w:rsidRPr="00751648">
        <w:t>parent</w:t>
      </w:r>
      <w:r w:rsidR="004E026A" w:rsidRPr="00751648">
        <w:t xml:space="preserve"> or </w:t>
      </w:r>
      <w:r w:rsidR="00AA163B" w:rsidRPr="00751648">
        <w:t>carer</w:t>
      </w:r>
      <w:r w:rsidRPr="00751648">
        <w:t xml:space="preserve"> understands the dosing</w:t>
      </w:r>
      <w:r w:rsidR="00AA163B" w:rsidRPr="00751648">
        <w:t xml:space="preserve"> regimen.</w:t>
      </w:r>
    </w:p>
    <w:p w14:paraId="162423F7" w14:textId="77777777" w:rsidR="00087DD7" w:rsidRPr="00751648" w:rsidRDefault="00087DD7" w:rsidP="00133BB4">
      <w:pPr>
        <w:pStyle w:val="ListNumber"/>
        <w:numPr>
          <w:ilvl w:val="0"/>
          <w:numId w:val="24"/>
        </w:numPr>
        <w:ind w:left="709" w:hanging="425"/>
        <w:jc w:val="both"/>
      </w:pPr>
      <w:r w:rsidRPr="00751648">
        <w:t>Ensure the</w:t>
      </w:r>
      <w:r w:rsidR="004E026A" w:rsidRPr="00751648">
        <w:t xml:space="preserve"> patient, parent or care</w:t>
      </w:r>
      <w:r w:rsidRPr="00751648">
        <w:t xml:space="preserve">r understands that </w:t>
      </w:r>
      <w:r w:rsidR="00326ADA" w:rsidRPr="00751648">
        <w:t>they</w:t>
      </w:r>
      <w:r w:rsidRPr="00751648">
        <w:t xml:space="preserve"> must report any adverse effects to the GP</w:t>
      </w:r>
      <w:r w:rsidR="00DC1CFD" w:rsidRPr="00751648">
        <w:t xml:space="preserve"> and report non-compliance to the specialist</w:t>
      </w:r>
      <w:r w:rsidR="00326ADA" w:rsidRPr="00751648">
        <w:t xml:space="preserve"> or</w:t>
      </w:r>
      <w:r w:rsidR="00EF3C4F" w:rsidRPr="00751648">
        <w:t xml:space="preserve"> Consultant</w:t>
      </w:r>
      <w:r w:rsidR="00DC1CFD" w:rsidRPr="00751648">
        <w:t>, where appropriate</w:t>
      </w:r>
      <w:r w:rsidR="004E026A" w:rsidRPr="00751648">
        <w:t>.</w:t>
      </w:r>
    </w:p>
    <w:p w14:paraId="03847687" w14:textId="2A2060D5" w:rsidR="00087DD7" w:rsidRPr="00751648" w:rsidRDefault="00087DD7" w:rsidP="00133BB4">
      <w:pPr>
        <w:pStyle w:val="ListNumber"/>
        <w:numPr>
          <w:ilvl w:val="0"/>
          <w:numId w:val="24"/>
        </w:numPr>
        <w:ind w:left="709" w:hanging="425"/>
        <w:jc w:val="both"/>
      </w:pPr>
      <w:r w:rsidRPr="00751648">
        <w:t>Ensure compatibility with concomitant medication</w:t>
      </w:r>
      <w:r w:rsidR="00B3781A">
        <w:t xml:space="preserve"> and provide advice on </w:t>
      </w:r>
      <w:r w:rsidR="007D5197">
        <w:t>drug interactions e.g. grapefruit with guanfacine</w:t>
      </w:r>
      <w:r w:rsidR="004E026A" w:rsidRPr="00751648">
        <w:t>.</w:t>
      </w:r>
    </w:p>
    <w:p w14:paraId="0BC3CA93" w14:textId="77777777" w:rsidR="00DE5C7A" w:rsidRPr="00BE7C47" w:rsidRDefault="00087DD7" w:rsidP="00133BB4">
      <w:pPr>
        <w:pStyle w:val="ListNumber"/>
        <w:numPr>
          <w:ilvl w:val="0"/>
          <w:numId w:val="24"/>
        </w:numPr>
        <w:ind w:left="709" w:hanging="425"/>
        <w:jc w:val="both"/>
      </w:pPr>
      <w:r w:rsidRPr="00751648">
        <w:t>Monitor results at recommended frequencies as described under “</w:t>
      </w:r>
      <w:r w:rsidR="00326ADA" w:rsidRPr="00751648">
        <w:t>C</w:t>
      </w:r>
      <w:r w:rsidRPr="00751648">
        <w:t xml:space="preserve">linical </w:t>
      </w:r>
      <w:r w:rsidR="00326ADA" w:rsidRPr="00751648">
        <w:t>M</w:t>
      </w:r>
      <w:r w:rsidRPr="00751648">
        <w:t xml:space="preserve">onitoring” </w:t>
      </w:r>
      <w:r w:rsidR="008131F3" w:rsidRPr="00751648">
        <w:t xml:space="preserve">in </w:t>
      </w:r>
      <w:r w:rsidR="008131F3" w:rsidRPr="00BE7C47">
        <w:t xml:space="preserve">section 8 </w:t>
      </w:r>
      <w:r w:rsidRPr="00BE7C47">
        <w:t xml:space="preserve">and inform the Consultant if abnormal. </w:t>
      </w:r>
    </w:p>
    <w:p w14:paraId="713F1F59" w14:textId="77777777" w:rsidR="00DE5C7A" w:rsidRPr="00BE7C47" w:rsidRDefault="00DE5C7A" w:rsidP="00B31C2B">
      <w:pPr>
        <w:pStyle w:val="ListNumber"/>
        <w:numPr>
          <w:ilvl w:val="0"/>
          <w:numId w:val="24"/>
        </w:numPr>
        <w:ind w:left="709" w:hanging="425"/>
        <w:jc w:val="both"/>
      </w:pPr>
      <w:r w:rsidRPr="00BE7C47">
        <w:t xml:space="preserve">Help </w:t>
      </w:r>
      <w:r w:rsidR="008131F3" w:rsidRPr="00BE7C47">
        <w:t xml:space="preserve">with the </w:t>
      </w:r>
      <w:r w:rsidRPr="00BE7C47">
        <w:t>monitoring</w:t>
      </w:r>
      <w:r w:rsidR="008131F3" w:rsidRPr="00BE7C47">
        <w:t xml:space="preserve"> of disease </w:t>
      </w:r>
      <w:r w:rsidRPr="00BE7C47">
        <w:t>progression and inform the hospital team of any changes to medication.</w:t>
      </w:r>
    </w:p>
    <w:p w14:paraId="1DA29125" w14:textId="1EEA79D4" w:rsidR="0095057B" w:rsidRPr="00751648" w:rsidRDefault="0095057B" w:rsidP="00B31C2B">
      <w:pPr>
        <w:pStyle w:val="ListNumber"/>
        <w:numPr>
          <w:ilvl w:val="0"/>
          <w:numId w:val="24"/>
        </w:numPr>
        <w:ind w:left="709" w:hanging="425"/>
        <w:jc w:val="both"/>
      </w:pPr>
      <w:r w:rsidRPr="00751648">
        <w:t xml:space="preserve">Report to and seek advice from the </w:t>
      </w:r>
      <w:r w:rsidR="004E026A" w:rsidRPr="00751648">
        <w:t>C</w:t>
      </w:r>
      <w:r w:rsidRPr="00751648">
        <w:t>onsultant</w:t>
      </w:r>
      <w:r w:rsidR="007E0BB0" w:rsidRPr="00751648">
        <w:t xml:space="preserve"> or </w:t>
      </w:r>
      <w:r w:rsidR="0060638B" w:rsidRPr="00751648">
        <w:t>specialist on</w:t>
      </w:r>
      <w:r w:rsidRPr="00751648">
        <w:t xml:space="preserve"> any aspect of patient care that is of concern and may affect treatment.</w:t>
      </w:r>
    </w:p>
    <w:p w14:paraId="00A6FD01" w14:textId="6EB48C75" w:rsidR="0095057B" w:rsidRPr="00751648" w:rsidRDefault="0095057B" w:rsidP="00B31C2B">
      <w:pPr>
        <w:pStyle w:val="NCLBodyText"/>
        <w:numPr>
          <w:ilvl w:val="0"/>
          <w:numId w:val="24"/>
        </w:numPr>
        <w:spacing w:after="60"/>
        <w:ind w:left="709" w:hanging="425"/>
      </w:pPr>
      <w:r w:rsidRPr="00751648">
        <w:t xml:space="preserve">Refer to the </w:t>
      </w:r>
      <w:r w:rsidR="00F516E5" w:rsidRPr="00751648">
        <w:t>C</w:t>
      </w:r>
      <w:r w:rsidRPr="00751648">
        <w:t xml:space="preserve">onsultant if the patient’s condition </w:t>
      </w:r>
      <w:r w:rsidR="0060638B" w:rsidRPr="00751648">
        <w:t>deteriorates</w:t>
      </w:r>
      <w:r w:rsidRPr="00751648">
        <w:t>.</w:t>
      </w:r>
    </w:p>
    <w:p w14:paraId="2144CA8F" w14:textId="5835B4CB" w:rsidR="00EC4FD8" w:rsidRPr="00751648" w:rsidRDefault="00EC4FD8" w:rsidP="00B31C2B">
      <w:pPr>
        <w:pStyle w:val="ListNumber"/>
        <w:numPr>
          <w:ilvl w:val="0"/>
          <w:numId w:val="24"/>
        </w:numPr>
        <w:spacing w:after="60"/>
        <w:ind w:left="709" w:hanging="425"/>
        <w:jc w:val="both"/>
      </w:pPr>
      <w:r w:rsidRPr="00751648">
        <w:t>Seek advice from the specialist when discontinuing medicines</w:t>
      </w:r>
      <w:r w:rsidR="00FD3723">
        <w:t>, including short-term discontinuations (i.e. drug holidays)</w:t>
      </w:r>
      <w:r w:rsidRPr="00751648">
        <w:t>.</w:t>
      </w:r>
    </w:p>
    <w:p w14:paraId="671B9675" w14:textId="77777777" w:rsidR="007F0CEC" w:rsidRPr="00751648" w:rsidRDefault="0095057B" w:rsidP="00B31C2B">
      <w:pPr>
        <w:pStyle w:val="ListNumber"/>
        <w:numPr>
          <w:ilvl w:val="0"/>
          <w:numId w:val="24"/>
        </w:numPr>
        <w:spacing w:after="60"/>
        <w:ind w:left="709" w:hanging="425"/>
        <w:jc w:val="both"/>
      </w:pPr>
      <w:r w:rsidRPr="00751648">
        <w:t xml:space="preserve">Stop treatment on the advice of the </w:t>
      </w:r>
      <w:r w:rsidR="00F516E5" w:rsidRPr="00751648">
        <w:t>C</w:t>
      </w:r>
      <w:r w:rsidRPr="00751648">
        <w:t>onsultant or immediately if an urgent need arises.</w:t>
      </w:r>
      <w:r w:rsidR="007F0CEC" w:rsidRPr="00751648">
        <w:rPr>
          <w:color w:val="000000"/>
        </w:rPr>
        <w:t xml:space="preserve"> </w:t>
      </w:r>
    </w:p>
    <w:p w14:paraId="52800797" w14:textId="6D278EE8" w:rsidR="0095057B" w:rsidRPr="00751648" w:rsidRDefault="007F0CEC" w:rsidP="00B31C2B">
      <w:pPr>
        <w:pStyle w:val="NCLBodyText"/>
        <w:numPr>
          <w:ilvl w:val="0"/>
          <w:numId w:val="24"/>
        </w:numPr>
        <w:ind w:left="709" w:hanging="425"/>
      </w:pPr>
      <w:r w:rsidRPr="00751648">
        <w:t>Report adverse events to the C</w:t>
      </w:r>
      <w:r w:rsidR="0095057B" w:rsidRPr="00751648">
        <w:t>onsultant</w:t>
      </w:r>
      <w:r w:rsidRPr="00751648">
        <w:t xml:space="preserve"> or specialist</w:t>
      </w:r>
      <w:r w:rsidR="0095057B" w:rsidRPr="00751648">
        <w:t xml:space="preserve"> and the MHRA/ CSM via Yellow</w:t>
      </w:r>
      <w:r w:rsidR="007A3625" w:rsidRPr="00751648">
        <w:t>-</w:t>
      </w:r>
      <w:r w:rsidR="0095057B" w:rsidRPr="00751648">
        <w:t>card located in BNF or online www.yellowcard.gov.uk.</w:t>
      </w:r>
    </w:p>
    <w:p w14:paraId="58CDD3CA" w14:textId="77777777" w:rsidR="009E2030" w:rsidRDefault="0095057B" w:rsidP="00B31C2B">
      <w:pPr>
        <w:pStyle w:val="NCLBodyText"/>
        <w:numPr>
          <w:ilvl w:val="0"/>
          <w:numId w:val="24"/>
        </w:numPr>
        <w:spacing w:after="60"/>
        <w:ind w:left="709" w:hanging="425"/>
      </w:pPr>
      <w:r w:rsidRPr="00751648">
        <w:t>Communicate</w:t>
      </w:r>
      <w:r w:rsidR="007163E0" w:rsidRPr="00751648">
        <w:t xml:space="preserve"> any test results to </w:t>
      </w:r>
      <w:r w:rsidR="00F44777" w:rsidRPr="00751648">
        <w:t xml:space="preserve">the </w:t>
      </w:r>
      <w:r w:rsidR="007163E0" w:rsidRPr="00751648">
        <w:t>C</w:t>
      </w:r>
      <w:r w:rsidRPr="00751648">
        <w:t>onsultant.</w:t>
      </w:r>
    </w:p>
    <w:p w14:paraId="1A8C4113" w14:textId="76529292" w:rsidR="00177A47" w:rsidRDefault="00FD4E18" w:rsidP="00B31C2B">
      <w:pPr>
        <w:pStyle w:val="NCLBodyText"/>
        <w:numPr>
          <w:ilvl w:val="0"/>
          <w:numId w:val="24"/>
        </w:numPr>
        <w:spacing w:after="60"/>
        <w:ind w:left="709" w:hanging="425"/>
      </w:pPr>
      <w:r w:rsidRPr="00751648">
        <w:t xml:space="preserve">All requests </w:t>
      </w:r>
      <w:r w:rsidR="00C042E6">
        <w:t xml:space="preserve">from the patient </w:t>
      </w:r>
      <w:r w:rsidRPr="00751648">
        <w:t xml:space="preserve">for </w:t>
      </w:r>
      <w:r w:rsidRPr="009E2030">
        <w:rPr>
          <w:color w:val="000000"/>
        </w:rPr>
        <w:t>repeat</w:t>
      </w:r>
      <w:r w:rsidRPr="00751648">
        <w:t xml:space="preserve"> prescriptions should be reviewed individually prior to issuing.</w:t>
      </w:r>
      <w:r w:rsidR="000E2ECC">
        <w:t xml:space="preserve"> </w:t>
      </w:r>
      <w:r w:rsidR="00400AFC" w:rsidRPr="009666EA">
        <w:t xml:space="preserve">Be aware of the potential </w:t>
      </w:r>
      <w:r w:rsidR="000C4037" w:rsidRPr="009666EA">
        <w:t>for</w:t>
      </w:r>
      <w:r w:rsidR="00400AFC" w:rsidRPr="009666EA">
        <w:t xml:space="preserve"> </w:t>
      </w:r>
      <w:r w:rsidR="000C4037" w:rsidRPr="009666EA">
        <w:t xml:space="preserve">diversion of </w:t>
      </w:r>
      <w:r w:rsidR="009666EA" w:rsidRPr="009666EA">
        <w:t>the Children and Adolescent ADHD drugs.</w:t>
      </w:r>
    </w:p>
    <w:p w14:paraId="7B5F4E84" w14:textId="77777777" w:rsidR="009E2030" w:rsidRPr="00751648" w:rsidRDefault="009E2030" w:rsidP="00B31C2B">
      <w:pPr>
        <w:pStyle w:val="NCLBodyText"/>
        <w:spacing w:after="60"/>
        <w:ind w:left="709"/>
      </w:pPr>
    </w:p>
    <w:p w14:paraId="11A9343F" w14:textId="77777777" w:rsidR="00D46B50" w:rsidRPr="00751648" w:rsidRDefault="00D46B50" w:rsidP="00B31C2B">
      <w:pPr>
        <w:pStyle w:val="NCLHeading2"/>
        <w:tabs>
          <w:tab w:val="left" w:pos="567"/>
        </w:tabs>
      </w:pPr>
      <w:bookmarkStart w:id="9" w:name="_Toc42095041"/>
      <w:r w:rsidRPr="00751648">
        <w:t>Patient</w:t>
      </w:r>
      <w:r w:rsidR="002A69B2" w:rsidRPr="00751648">
        <w:t xml:space="preserve"> and </w:t>
      </w:r>
      <w:r w:rsidR="00177A47" w:rsidRPr="00751648">
        <w:t>parent</w:t>
      </w:r>
      <w:r w:rsidR="002A69B2" w:rsidRPr="00751648">
        <w:t xml:space="preserve"> or</w:t>
      </w:r>
      <w:r w:rsidR="00177A47" w:rsidRPr="00751648">
        <w:t xml:space="preserve"> carer</w:t>
      </w:r>
      <w:r w:rsidRPr="00751648">
        <w:t xml:space="preserve"> responsibility</w:t>
      </w:r>
      <w:bookmarkEnd w:id="9"/>
    </w:p>
    <w:p w14:paraId="23460D29" w14:textId="77777777" w:rsidR="00D2116F" w:rsidRPr="00751648" w:rsidRDefault="00D2116F" w:rsidP="00B31C2B">
      <w:pPr>
        <w:pStyle w:val="ListNumber"/>
        <w:numPr>
          <w:ilvl w:val="0"/>
          <w:numId w:val="3"/>
        </w:numPr>
        <w:ind w:left="709" w:hanging="425"/>
        <w:jc w:val="both"/>
      </w:pPr>
      <w:r w:rsidRPr="00751648">
        <w:t>Attend review appointments at the GP surgery</w:t>
      </w:r>
      <w:r w:rsidR="00793B7F">
        <w:t xml:space="preserve"> </w:t>
      </w:r>
      <w:r w:rsidRPr="00751648">
        <w:t xml:space="preserve">for </w:t>
      </w:r>
      <w:r w:rsidR="00793B7F">
        <w:t>clinical monitoring as outlined in the original transfer of prescribing letter by the specialist (e.g.</w:t>
      </w:r>
      <w:r w:rsidRPr="00751648">
        <w:t xml:space="preserve"> blood pressure</w:t>
      </w:r>
      <w:r w:rsidR="00793B7F">
        <w:t>,</w:t>
      </w:r>
      <w:r w:rsidRPr="00751648">
        <w:t xml:space="preserve"> pulse, height and weight</w:t>
      </w:r>
      <w:r w:rsidR="00793B7F">
        <w:t>)</w:t>
      </w:r>
      <w:r w:rsidRPr="00751648">
        <w:t>.</w:t>
      </w:r>
    </w:p>
    <w:p w14:paraId="5173A12E" w14:textId="7E1C43F8" w:rsidR="00D2116F" w:rsidRPr="00751648" w:rsidRDefault="00D2116F" w:rsidP="00B31C2B">
      <w:pPr>
        <w:pStyle w:val="ListNumber"/>
        <w:numPr>
          <w:ilvl w:val="0"/>
          <w:numId w:val="3"/>
        </w:numPr>
        <w:ind w:left="709" w:hanging="425"/>
        <w:jc w:val="both"/>
      </w:pPr>
      <w:r w:rsidRPr="00751648">
        <w:t xml:space="preserve">Attend review appointments </w:t>
      </w:r>
      <w:r w:rsidR="00F25C7C">
        <w:t xml:space="preserve">with </w:t>
      </w:r>
      <w:r w:rsidR="00F25C7C" w:rsidRPr="00F25C7C">
        <w:t>child and adolescent psychiatrist or paediatrician</w:t>
      </w:r>
      <w:r w:rsidRPr="00751648">
        <w:t xml:space="preserve"> every 6</w:t>
      </w:r>
      <w:r w:rsidR="00FE7BD9">
        <w:t>-12</w:t>
      </w:r>
      <w:r w:rsidRPr="00751648">
        <w:t xml:space="preserve"> months or as advised, as continuing prescription will not be possible without regular review</w:t>
      </w:r>
      <w:r w:rsidR="00EF3C4F" w:rsidRPr="00751648">
        <w:t>.</w:t>
      </w:r>
    </w:p>
    <w:p w14:paraId="5BFB3FE5" w14:textId="77777777" w:rsidR="00D46B50" w:rsidRPr="00751648" w:rsidRDefault="00D46B50" w:rsidP="00B31C2B">
      <w:pPr>
        <w:pStyle w:val="ListNumber"/>
        <w:numPr>
          <w:ilvl w:val="0"/>
          <w:numId w:val="3"/>
        </w:numPr>
        <w:ind w:left="709" w:hanging="425"/>
        <w:jc w:val="both"/>
      </w:pPr>
      <w:r w:rsidRPr="00751648">
        <w:t xml:space="preserve">Take medicines as </w:t>
      </w:r>
      <w:r w:rsidR="002A69B2" w:rsidRPr="00751648">
        <w:t xml:space="preserve">prescribed and </w:t>
      </w:r>
      <w:r w:rsidRPr="00751648">
        <w:t>agreed</w:t>
      </w:r>
      <w:r w:rsidR="00EF3C4F" w:rsidRPr="00751648">
        <w:t>.</w:t>
      </w:r>
    </w:p>
    <w:p w14:paraId="50CF1A65" w14:textId="15743C67" w:rsidR="00D46B50" w:rsidRPr="00751648" w:rsidRDefault="00D46B50" w:rsidP="00B31C2B">
      <w:pPr>
        <w:pStyle w:val="ListNumber"/>
        <w:numPr>
          <w:ilvl w:val="0"/>
          <w:numId w:val="3"/>
        </w:numPr>
        <w:ind w:left="709" w:hanging="425"/>
        <w:jc w:val="both"/>
      </w:pPr>
      <w:r w:rsidRPr="00751648">
        <w:t>Report to the specialist</w:t>
      </w:r>
      <w:r w:rsidR="002A69B2" w:rsidRPr="00751648">
        <w:t xml:space="preserve"> or</w:t>
      </w:r>
      <w:r w:rsidR="00EF3C4F" w:rsidRPr="00751648">
        <w:t xml:space="preserve"> Consultant</w:t>
      </w:r>
      <w:r w:rsidRPr="00751648">
        <w:t xml:space="preserve"> or GP if </w:t>
      </w:r>
      <w:r w:rsidR="002A69B2" w:rsidRPr="00751648">
        <w:t xml:space="preserve">there is not a </w:t>
      </w:r>
      <w:r w:rsidRPr="00751648">
        <w:t>clear understanding of the treatment</w:t>
      </w:r>
      <w:r w:rsidR="00CE2162">
        <w:t xml:space="preserve"> or problems </w:t>
      </w:r>
      <w:r w:rsidR="006144D6">
        <w:t>taking the medication</w:t>
      </w:r>
      <w:r w:rsidR="00EF3C4F" w:rsidRPr="00751648">
        <w:t>.</w:t>
      </w:r>
    </w:p>
    <w:p w14:paraId="3434653E" w14:textId="77777777" w:rsidR="00D46B50" w:rsidRPr="00751648" w:rsidRDefault="00D46B50" w:rsidP="00B31C2B">
      <w:pPr>
        <w:pStyle w:val="ListNumber"/>
        <w:numPr>
          <w:ilvl w:val="0"/>
          <w:numId w:val="3"/>
        </w:numPr>
        <w:ind w:left="709" w:hanging="425"/>
        <w:jc w:val="both"/>
      </w:pPr>
      <w:r w:rsidRPr="00751648">
        <w:t>Inform specialist</w:t>
      </w:r>
      <w:r w:rsidR="002A69B2" w:rsidRPr="00751648">
        <w:t xml:space="preserve"> or </w:t>
      </w:r>
      <w:r w:rsidR="00EF3C4F" w:rsidRPr="00751648">
        <w:t>Consultant</w:t>
      </w:r>
      <w:r w:rsidRPr="00751648">
        <w:t xml:space="preserve"> or GP of any other medication being taken</w:t>
      </w:r>
      <w:r w:rsidR="00CA61D3" w:rsidRPr="00751648">
        <w:t xml:space="preserve"> concomitantly</w:t>
      </w:r>
      <w:r w:rsidRPr="00751648">
        <w:t>, including over-the-counter products</w:t>
      </w:r>
      <w:r w:rsidR="00EF3C4F" w:rsidRPr="00751648">
        <w:t>.</w:t>
      </w:r>
    </w:p>
    <w:p w14:paraId="591CB91D" w14:textId="77777777" w:rsidR="00D46B50" w:rsidRPr="00751648" w:rsidRDefault="00D46B50" w:rsidP="00B31C2B">
      <w:pPr>
        <w:pStyle w:val="ListNumber"/>
        <w:numPr>
          <w:ilvl w:val="0"/>
          <w:numId w:val="3"/>
        </w:numPr>
        <w:ind w:left="709" w:hanging="425"/>
        <w:jc w:val="both"/>
      </w:pPr>
      <w:r w:rsidRPr="00751648">
        <w:t>Report any adverse effects or warning symptoms to GP or specialist</w:t>
      </w:r>
      <w:r w:rsidR="00EF3C4F" w:rsidRPr="00751648">
        <w:t>/ Consultant.</w:t>
      </w:r>
    </w:p>
    <w:p w14:paraId="3DF67337" w14:textId="77777777" w:rsidR="00D46B50" w:rsidRPr="00751648" w:rsidRDefault="00D46B50" w:rsidP="00793B7F">
      <w:pPr>
        <w:pStyle w:val="ListNumber"/>
        <w:numPr>
          <w:ilvl w:val="0"/>
          <w:numId w:val="3"/>
        </w:numPr>
        <w:ind w:left="709" w:hanging="425"/>
      </w:pPr>
      <w:r w:rsidRPr="00751648">
        <w:t>Inform hospital and GP of any changes in address or telephone numbers</w:t>
      </w:r>
      <w:r w:rsidR="00EF3C4F" w:rsidRPr="00751648">
        <w:t>.</w:t>
      </w:r>
    </w:p>
    <w:p w14:paraId="32AECB1D" w14:textId="77777777" w:rsidR="00177A47" w:rsidRPr="00751648" w:rsidRDefault="00177A47" w:rsidP="00177A47">
      <w:pPr>
        <w:pStyle w:val="ListNumber"/>
        <w:ind w:left="567"/>
      </w:pPr>
    </w:p>
    <w:p w14:paraId="76B2F1F8" w14:textId="15783A64" w:rsidR="00D46B50" w:rsidRPr="00751648" w:rsidRDefault="00FD7D19" w:rsidP="00793B7F">
      <w:pPr>
        <w:pStyle w:val="NCLHeading2"/>
        <w:ind w:left="0" w:firstLine="0"/>
      </w:pPr>
      <w:r>
        <w:t>ICB Medicines Management Team</w:t>
      </w:r>
    </w:p>
    <w:p w14:paraId="49F9C083" w14:textId="77777777" w:rsidR="00D862EC" w:rsidRPr="00751648" w:rsidRDefault="00D862EC" w:rsidP="00793B7F">
      <w:pPr>
        <w:pStyle w:val="ListNumber"/>
        <w:numPr>
          <w:ilvl w:val="0"/>
          <w:numId w:val="23"/>
        </w:numPr>
        <w:ind w:left="709" w:hanging="425"/>
      </w:pPr>
      <w:r w:rsidRPr="00751648">
        <w:t>To provide feedback to Trusts via the Shared Care and Fact Sheet group.</w:t>
      </w:r>
    </w:p>
    <w:p w14:paraId="0D5B4087" w14:textId="77777777" w:rsidR="00D862EC" w:rsidRPr="00751648" w:rsidRDefault="00D862EC" w:rsidP="00B31C2B">
      <w:pPr>
        <w:pStyle w:val="ListNumber"/>
        <w:numPr>
          <w:ilvl w:val="0"/>
          <w:numId w:val="23"/>
        </w:numPr>
        <w:ind w:left="709" w:hanging="425"/>
        <w:jc w:val="both"/>
      </w:pPr>
      <w:r w:rsidRPr="00751648">
        <w:lastRenderedPageBreak/>
        <w:t xml:space="preserve">To support GPs to make the decision whether or not to accept clinical responsibility for prescribing. </w:t>
      </w:r>
    </w:p>
    <w:p w14:paraId="00C733D8" w14:textId="3A9257F9" w:rsidR="00D862EC" w:rsidRPr="00751648" w:rsidRDefault="00D862EC" w:rsidP="00B31C2B">
      <w:pPr>
        <w:pStyle w:val="ListNumber"/>
        <w:numPr>
          <w:ilvl w:val="0"/>
          <w:numId w:val="23"/>
        </w:numPr>
        <w:ind w:left="709" w:hanging="425"/>
        <w:jc w:val="both"/>
      </w:pPr>
      <w:r w:rsidRPr="00751648">
        <w:t xml:space="preserve">To support Trusts in resolving issues that may arise as a result of shared care. </w:t>
      </w:r>
    </w:p>
    <w:p w14:paraId="6352A289" w14:textId="77777777" w:rsidR="00D67E1D" w:rsidRPr="00751648" w:rsidRDefault="00D67E1D" w:rsidP="00DE5C7A">
      <w:pPr>
        <w:pStyle w:val="NCLBodyText"/>
        <w:rPr>
          <w:sz w:val="16"/>
          <w:szCs w:val="16"/>
        </w:rPr>
      </w:pPr>
    </w:p>
    <w:p w14:paraId="2A09F3A8" w14:textId="77777777" w:rsidR="00D46B50" w:rsidRPr="00751648" w:rsidRDefault="00D46B50" w:rsidP="00D46B50">
      <w:pPr>
        <w:pStyle w:val="NCLHeading1"/>
      </w:pPr>
      <w:bookmarkStart w:id="10" w:name="_Toc42095043"/>
      <w:r w:rsidRPr="00751648">
        <w:t>Indications</w:t>
      </w:r>
      <w:bookmarkEnd w:id="10"/>
    </w:p>
    <w:p w14:paraId="5AD52D6D" w14:textId="77777777" w:rsidR="00B36699" w:rsidRPr="00751648" w:rsidRDefault="00B36699" w:rsidP="00DE5C7A">
      <w:pPr>
        <w:pStyle w:val="NCLBodyText"/>
        <w:rPr>
          <w:b/>
        </w:rPr>
      </w:pPr>
    </w:p>
    <w:p w14:paraId="3F3C8DAF" w14:textId="77CE06D3" w:rsidR="00DE5C7A" w:rsidRDefault="00DE5C7A" w:rsidP="00DE5C7A">
      <w:pPr>
        <w:pStyle w:val="NCLBodyText"/>
      </w:pPr>
      <w:r w:rsidRPr="00751648">
        <w:rPr>
          <w:b/>
        </w:rPr>
        <w:t>Methylphenidate</w:t>
      </w:r>
      <w:r w:rsidRPr="00751648">
        <w:t xml:space="preserve"> (immediate release and long acting), </w:t>
      </w:r>
      <w:r w:rsidRPr="00751648">
        <w:rPr>
          <w:b/>
        </w:rPr>
        <w:t>Atomoxetine</w:t>
      </w:r>
      <w:r w:rsidRPr="00751648">
        <w:t xml:space="preserve">, </w:t>
      </w:r>
      <w:r w:rsidR="00EE22BE" w:rsidRPr="00751648">
        <w:t xml:space="preserve">and </w:t>
      </w:r>
      <w:r w:rsidRPr="00751648">
        <w:rPr>
          <w:b/>
        </w:rPr>
        <w:t>Dexamfetamine</w:t>
      </w:r>
      <w:r w:rsidRPr="00751648">
        <w:t xml:space="preserve"> and </w:t>
      </w:r>
      <w:r w:rsidRPr="00BE4828">
        <w:rPr>
          <w:b/>
        </w:rPr>
        <w:t>Lisdexamfetamine</w:t>
      </w:r>
      <w:r w:rsidR="00AF5202" w:rsidRPr="00BE4828">
        <w:rPr>
          <w:b/>
        </w:rPr>
        <w:t xml:space="preserve"> and Guanfacine</w:t>
      </w:r>
      <w:r w:rsidRPr="00BE4828">
        <w:rPr>
          <w:b/>
        </w:rPr>
        <w:t xml:space="preserve"> </w:t>
      </w:r>
      <w:r w:rsidRPr="00BE4828">
        <w:t xml:space="preserve">are </w:t>
      </w:r>
      <w:r w:rsidR="00D2116F" w:rsidRPr="00BE4828">
        <w:t>indicated for</w:t>
      </w:r>
      <w:r w:rsidR="00D2116F" w:rsidRPr="00751648">
        <w:t xml:space="preserve"> the treatment of </w:t>
      </w:r>
      <w:r w:rsidR="00B31C2B">
        <w:t>A</w:t>
      </w:r>
      <w:r w:rsidR="00D2116F" w:rsidRPr="00751648">
        <w:t xml:space="preserve">DHD in children of </w:t>
      </w:r>
      <w:r w:rsidR="00FE7BD9">
        <w:t>5</w:t>
      </w:r>
      <w:r w:rsidR="00FE7BD9" w:rsidRPr="00751648">
        <w:t xml:space="preserve"> </w:t>
      </w:r>
      <w:r w:rsidR="00D2116F" w:rsidRPr="00751648">
        <w:t>years and older, in adolescents and in adults as part of a comprehensive treatment programme.</w:t>
      </w:r>
    </w:p>
    <w:p w14:paraId="1D4E1D47" w14:textId="5FBF902C" w:rsidR="00FE7BD9" w:rsidRPr="00751648" w:rsidRDefault="00FE7BD9" w:rsidP="00FE7BD9">
      <w:pPr>
        <w:pStyle w:val="NCLBodyText"/>
      </w:pPr>
      <w:r>
        <w:t>These medications are licensed for use in children from the age of 6 years, and do</w:t>
      </w:r>
      <w:r w:rsidRPr="00FD3723">
        <w:t xml:space="preserve"> not have a UK marketing authorisation for </w:t>
      </w:r>
      <w:r>
        <w:t xml:space="preserve">ADHD </w:t>
      </w:r>
      <w:r w:rsidRPr="00FD3723">
        <w:t>in children aged 5 years or under</w:t>
      </w:r>
      <w:r>
        <w:t xml:space="preserve">. However, </w:t>
      </w:r>
      <w:hyperlink r:id="rId14" w:history="1">
        <w:r w:rsidRPr="00FE7BD9">
          <w:rPr>
            <w:rStyle w:val="Hyperlink"/>
          </w:rPr>
          <w:t>NICE Guidance</w:t>
        </w:r>
      </w:hyperlink>
      <w:r w:rsidR="00B31C2B">
        <w:rPr>
          <w:rStyle w:val="Hyperlink"/>
        </w:rPr>
        <w:t xml:space="preserve"> (NG87)</w:t>
      </w:r>
      <w:r>
        <w:t xml:space="preserve"> does support the use of these medicines in this population</w:t>
      </w:r>
      <w:r w:rsidR="00753DC3">
        <w:t xml:space="preserve"> as off-label use</w:t>
      </w:r>
      <w:r w:rsidRPr="00FD3723">
        <w:t xml:space="preserve">. The prescriber should follow relevant professional guidance, taking full responsibility for the decision. Informed consent should be obtained and documented. </w:t>
      </w:r>
      <w:r w:rsidRPr="00FE7BD9">
        <w:t>See the General Medical Council's </w:t>
      </w:r>
      <w:hyperlink r:id="rId15" w:tgtFrame="_top" w:history="1">
        <w:r w:rsidRPr="00FE7BD9">
          <w:rPr>
            <w:rStyle w:val="Hyperlink"/>
          </w:rPr>
          <w:t>Prescribing guidance: prescribing unlicensed medicines</w:t>
        </w:r>
      </w:hyperlink>
      <w:r w:rsidRPr="00FE7BD9">
        <w:t> for further information.</w:t>
      </w:r>
    </w:p>
    <w:p w14:paraId="1114394F" w14:textId="77777777" w:rsidR="00B36699" w:rsidRPr="00751648" w:rsidRDefault="00B36699" w:rsidP="00DE5C7A">
      <w:pPr>
        <w:pStyle w:val="NCLBodyText"/>
        <w:rPr>
          <w:b/>
        </w:rPr>
      </w:pPr>
    </w:p>
    <w:p w14:paraId="4FE75128" w14:textId="77777777" w:rsidR="00B36699" w:rsidRPr="00751648" w:rsidRDefault="00B36699" w:rsidP="00DE5C7A">
      <w:pPr>
        <w:pStyle w:val="NCLBodyText"/>
      </w:pPr>
      <w:r w:rsidRPr="00751648">
        <w:rPr>
          <w:b/>
        </w:rPr>
        <w:t>Note 1</w:t>
      </w:r>
      <w:r w:rsidRPr="00751648">
        <w:t xml:space="preserve">: </w:t>
      </w:r>
    </w:p>
    <w:p w14:paraId="782153FA" w14:textId="3107F84B" w:rsidR="00EE22BE" w:rsidRPr="00751648" w:rsidRDefault="00EE22BE" w:rsidP="00B36699">
      <w:pPr>
        <w:pStyle w:val="NCLBodyText"/>
        <w:numPr>
          <w:ilvl w:val="0"/>
          <w:numId w:val="35"/>
        </w:numPr>
      </w:pPr>
      <w:r w:rsidRPr="00751648">
        <w:rPr>
          <w:b/>
        </w:rPr>
        <w:t>Lisdexamfetamine</w:t>
      </w:r>
      <w:r w:rsidRPr="00751648">
        <w:t xml:space="preserve"> is indicated as part of a comprehensive treatment programme for </w:t>
      </w:r>
      <w:r w:rsidR="00B31C2B">
        <w:t>ADHD</w:t>
      </w:r>
      <w:r w:rsidRPr="00751648">
        <w:t xml:space="preserve"> in children aged </w:t>
      </w:r>
      <w:r w:rsidR="00FE7BD9">
        <w:t>5</w:t>
      </w:r>
      <w:r w:rsidR="00FE7BD9" w:rsidRPr="00751648">
        <w:t xml:space="preserve"> </w:t>
      </w:r>
      <w:r w:rsidRPr="00751648">
        <w:t>years and over when response to previous methylphenidate treatment is considered clinically inadequate.</w:t>
      </w:r>
    </w:p>
    <w:p w14:paraId="319FA5F7" w14:textId="77777777" w:rsidR="001618B1" w:rsidRPr="00751648" w:rsidRDefault="001618B1" w:rsidP="00DE5C7A">
      <w:pPr>
        <w:pStyle w:val="NCLBodyText"/>
        <w:rPr>
          <w:sz w:val="6"/>
          <w:szCs w:val="6"/>
        </w:rPr>
      </w:pPr>
    </w:p>
    <w:p w14:paraId="54AED038" w14:textId="77777777" w:rsidR="00B36699" w:rsidRPr="00751648" w:rsidRDefault="00B36699" w:rsidP="001618B1">
      <w:pPr>
        <w:pStyle w:val="NCLBodyText"/>
      </w:pPr>
      <w:r w:rsidRPr="00751648">
        <w:rPr>
          <w:b/>
        </w:rPr>
        <w:t>Note 2:</w:t>
      </w:r>
      <w:r w:rsidRPr="00751648">
        <w:t xml:space="preserve">  </w:t>
      </w:r>
    </w:p>
    <w:p w14:paraId="5176C5DD" w14:textId="1A7B2616" w:rsidR="007132A4" w:rsidRPr="00751648" w:rsidRDefault="001618B1" w:rsidP="00B36699">
      <w:pPr>
        <w:pStyle w:val="NCLBodyText"/>
        <w:numPr>
          <w:ilvl w:val="0"/>
          <w:numId w:val="34"/>
        </w:numPr>
      </w:pPr>
      <w:r w:rsidRPr="00751648">
        <w:rPr>
          <w:b/>
        </w:rPr>
        <w:t>Methylphenidate</w:t>
      </w:r>
      <w:r w:rsidRPr="00751648">
        <w:t xml:space="preserve">, </w:t>
      </w:r>
      <w:r w:rsidR="00A44148" w:rsidRPr="00751648">
        <w:rPr>
          <w:b/>
        </w:rPr>
        <w:t>D</w:t>
      </w:r>
      <w:r w:rsidRPr="00751648">
        <w:rPr>
          <w:b/>
        </w:rPr>
        <w:t>examfetamine</w:t>
      </w:r>
      <w:r w:rsidRPr="00751648">
        <w:t xml:space="preserve"> and </w:t>
      </w:r>
      <w:r w:rsidR="00A44148" w:rsidRPr="00751648">
        <w:rPr>
          <w:b/>
        </w:rPr>
        <w:t>L</w:t>
      </w:r>
      <w:r w:rsidRPr="00751648">
        <w:rPr>
          <w:b/>
        </w:rPr>
        <w:t>isdexamfetamine</w:t>
      </w:r>
      <w:r w:rsidRPr="00751648">
        <w:t xml:space="preserve"> are schedule 2 controlled drugs (CD) thus are subject to prescription requirements. </w:t>
      </w:r>
      <w:r w:rsidR="00F25C7C">
        <w:t>Prescriptions must include:</w:t>
      </w:r>
    </w:p>
    <w:p w14:paraId="5491A11A" w14:textId="081075C1" w:rsidR="007132A4" w:rsidRPr="00751648" w:rsidRDefault="007132A4" w:rsidP="007132A4">
      <w:pPr>
        <w:pStyle w:val="NCLBodyText"/>
        <w:numPr>
          <w:ilvl w:val="1"/>
          <w:numId w:val="34"/>
        </w:numPr>
      </w:pPr>
      <w:r w:rsidRPr="00751648">
        <w:t>N</w:t>
      </w:r>
      <w:r w:rsidR="001618B1" w:rsidRPr="00751648">
        <w:t xml:space="preserve">ame and address of </w:t>
      </w:r>
      <w:r w:rsidR="00C614DB" w:rsidRPr="00751648">
        <w:t>patient.</w:t>
      </w:r>
      <w:r w:rsidR="001618B1" w:rsidRPr="00751648">
        <w:t xml:space="preserve"> </w:t>
      </w:r>
    </w:p>
    <w:p w14:paraId="71DE38E9" w14:textId="6B1B0A31" w:rsidR="007132A4" w:rsidRPr="00751648" w:rsidRDefault="007132A4" w:rsidP="007132A4">
      <w:pPr>
        <w:pStyle w:val="NCLBodyText"/>
        <w:numPr>
          <w:ilvl w:val="1"/>
          <w:numId w:val="34"/>
        </w:numPr>
      </w:pPr>
      <w:r w:rsidRPr="00751648">
        <w:t>F</w:t>
      </w:r>
      <w:r w:rsidR="001618B1" w:rsidRPr="00751648">
        <w:t>orm and strength of preparation (e.g. 20mg capsules</w:t>
      </w:r>
      <w:r w:rsidR="00C614DB" w:rsidRPr="00751648">
        <w:t>).</w:t>
      </w:r>
      <w:r w:rsidR="001618B1" w:rsidRPr="00751648">
        <w:t xml:space="preserve"> </w:t>
      </w:r>
    </w:p>
    <w:p w14:paraId="753A3402" w14:textId="12CB9BA1" w:rsidR="001618B1" w:rsidRDefault="007132A4" w:rsidP="007132A4">
      <w:pPr>
        <w:pStyle w:val="NCLBodyText"/>
        <w:numPr>
          <w:ilvl w:val="1"/>
          <w:numId w:val="34"/>
        </w:numPr>
      </w:pPr>
      <w:r w:rsidRPr="00751648">
        <w:t>T</w:t>
      </w:r>
      <w:r w:rsidR="001618B1" w:rsidRPr="00751648">
        <w:t xml:space="preserve">he dose (e.g. 20mg </w:t>
      </w:r>
      <w:r w:rsidR="0068173E">
        <w:t>three times daily</w:t>
      </w:r>
      <w:r w:rsidR="001618B1" w:rsidRPr="00751648">
        <w:t>) and total quantity or number of dose units in words AND figures (e.g. 420mg = Four Hundred and Twenty milligrams or Twenty One (21) capsules).</w:t>
      </w:r>
    </w:p>
    <w:p w14:paraId="38F0AFA2" w14:textId="04D857FE" w:rsidR="00F25C7C" w:rsidRPr="00751648" w:rsidRDefault="00F25C7C" w:rsidP="007132A4">
      <w:pPr>
        <w:pStyle w:val="NCLBodyText"/>
        <w:numPr>
          <w:ilvl w:val="1"/>
          <w:numId w:val="34"/>
        </w:numPr>
      </w:pPr>
      <w:r>
        <w:t>Sign</w:t>
      </w:r>
      <w:r w:rsidR="0064453D">
        <w:t>ed by</w:t>
      </w:r>
      <w:r>
        <w:t xml:space="preserve"> the prescribing clinician</w:t>
      </w:r>
      <w:r w:rsidR="004370FF">
        <w:t xml:space="preserve"> (either in indelible ink or advanced electronic signature)</w:t>
      </w:r>
      <w:r>
        <w:t>.</w:t>
      </w:r>
    </w:p>
    <w:p w14:paraId="54EA2A2F" w14:textId="780A9EC1" w:rsidR="001618B1" w:rsidRPr="00751648" w:rsidRDefault="001618B1" w:rsidP="001E1C45">
      <w:pPr>
        <w:pStyle w:val="NCLBodyText"/>
        <w:ind w:left="720"/>
      </w:pPr>
      <w:r w:rsidRPr="00751648">
        <w:t xml:space="preserve">  </w:t>
      </w:r>
    </w:p>
    <w:p w14:paraId="366137D9" w14:textId="536534F2" w:rsidR="001618B1" w:rsidRPr="00751648" w:rsidRDefault="00EA4DCC" w:rsidP="00B36699">
      <w:pPr>
        <w:pStyle w:val="NCLBodyText"/>
        <w:numPr>
          <w:ilvl w:val="0"/>
          <w:numId w:val="34"/>
        </w:numPr>
      </w:pPr>
      <w:r w:rsidRPr="00751648">
        <w:t>Prescriptions for schedule 2 CDs are valid for 28 days from the date stated on the prescription and prescriptions are limited to a supply of 30 days treatment; in exceptional circumstances, a prescription can be issued for a longer period, but the reasons for the decision should be recorded on the patient’s notes</w:t>
      </w:r>
      <w:r w:rsidR="00EA5879">
        <w:t>.</w:t>
      </w:r>
    </w:p>
    <w:p w14:paraId="4AA85374" w14:textId="77777777" w:rsidR="00B90389" w:rsidRPr="00751648" w:rsidRDefault="00B90389" w:rsidP="00DE5C7A">
      <w:pPr>
        <w:pStyle w:val="NCLBodyText"/>
        <w:rPr>
          <w:b/>
          <w:sz w:val="6"/>
          <w:szCs w:val="6"/>
        </w:rPr>
      </w:pPr>
    </w:p>
    <w:p w14:paraId="369657E4" w14:textId="77777777" w:rsidR="00B36699" w:rsidRPr="00751648" w:rsidRDefault="00B36699" w:rsidP="00DE5C7A">
      <w:pPr>
        <w:pStyle w:val="NCLBodyText"/>
      </w:pPr>
      <w:r w:rsidRPr="00751648">
        <w:rPr>
          <w:b/>
        </w:rPr>
        <w:t>Note 3:</w:t>
      </w:r>
      <w:r w:rsidRPr="00751648">
        <w:t xml:space="preserve">  </w:t>
      </w:r>
    </w:p>
    <w:p w14:paraId="40B69BFF" w14:textId="77777777" w:rsidR="00DE5C7A" w:rsidRPr="00751648" w:rsidRDefault="00DE5C7A" w:rsidP="00B36699">
      <w:pPr>
        <w:pStyle w:val="NCLBodyText"/>
        <w:numPr>
          <w:ilvl w:val="0"/>
          <w:numId w:val="36"/>
        </w:numPr>
      </w:pPr>
      <w:r w:rsidRPr="00751648">
        <w:t xml:space="preserve">NICE guidance recommends </w:t>
      </w:r>
      <w:r w:rsidR="00A44148" w:rsidRPr="00751648">
        <w:t>M</w:t>
      </w:r>
      <w:r w:rsidR="000B3802" w:rsidRPr="00751648">
        <w:t>ethylphenidate (either short or long acting) as the first line pharmacological treatment for children aged 5 years and over and young people with ADHD.</w:t>
      </w:r>
    </w:p>
    <w:p w14:paraId="30845118" w14:textId="77777777" w:rsidR="00231324" w:rsidRDefault="00231324" w:rsidP="00F3092A">
      <w:pPr>
        <w:pStyle w:val="NCLBodyText"/>
      </w:pPr>
    </w:p>
    <w:p w14:paraId="388B5B21" w14:textId="5F27DAB0" w:rsidR="00F3092A" w:rsidRDefault="00231324" w:rsidP="00F3092A">
      <w:pPr>
        <w:pStyle w:val="NCLBodyText"/>
        <w:rPr>
          <w:b/>
          <w:bCs/>
        </w:rPr>
      </w:pPr>
      <w:r w:rsidRPr="00231324">
        <w:rPr>
          <w:b/>
          <w:bCs/>
        </w:rPr>
        <w:t xml:space="preserve">Note 4: </w:t>
      </w:r>
    </w:p>
    <w:p w14:paraId="6958B413" w14:textId="49056A5C" w:rsidR="00231324" w:rsidRPr="00B7118A" w:rsidRDefault="00EF0745" w:rsidP="00B7118A">
      <w:pPr>
        <w:pStyle w:val="NCLBodyText"/>
        <w:numPr>
          <w:ilvl w:val="0"/>
          <w:numId w:val="36"/>
        </w:numPr>
      </w:pPr>
      <w:r w:rsidRPr="00B7118A">
        <w:t>NICE guidance recommends to o</w:t>
      </w:r>
      <w:r w:rsidR="00231324" w:rsidRPr="00B7118A">
        <w:t xml:space="preserve">ffer </w:t>
      </w:r>
      <w:r w:rsidR="00231324" w:rsidRPr="00CF3FA3">
        <w:rPr>
          <w:b/>
          <w:bCs/>
        </w:rPr>
        <w:t>atomoxetine</w:t>
      </w:r>
      <w:r w:rsidR="00231324" w:rsidRPr="00B7118A">
        <w:t xml:space="preserve"> or </w:t>
      </w:r>
      <w:r w:rsidR="00231324" w:rsidRPr="00CF3FA3">
        <w:rPr>
          <w:b/>
          <w:bCs/>
        </w:rPr>
        <w:t>guanfacine</w:t>
      </w:r>
      <w:r w:rsidR="00231324" w:rsidRPr="00B7118A">
        <w:t xml:space="preserve"> to children aged 5 years and over and young people if:</w:t>
      </w:r>
    </w:p>
    <w:p w14:paraId="0B01273B" w14:textId="77777777" w:rsidR="00231324" w:rsidRPr="00B7118A" w:rsidRDefault="00231324" w:rsidP="00B7118A">
      <w:pPr>
        <w:pStyle w:val="NCLBodyText"/>
        <w:numPr>
          <w:ilvl w:val="1"/>
          <w:numId w:val="36"/>
        </w:numPr>
      </w:pPr>
      <w:r w:rsidRPr="00B7118A">
        <w:t>they cannot tolerate methylphenidate or lisdexamfetamine or</w:t>
      </w:r>
    </w:p>
    <w:p w14:paraId="4DB135E0" w14:textId="77777777" w:rsidR="00B7118A" w:rsidRDefault="00231324" w:rsidP="00B7118A">
      <w:pPr>
        <w:pStyle w:val="NCLBodyText"/>
        <w:numPr>
          <w:ilvl w:val="1"/>
          <w:numId w:val="36"/>
        </w:numPr>
        <w:spacing w:after="240"/>
      </w:pPr>
      <w:r w:rsidRPr="00B7118A">
        <w:t>their symptoms have not responded to separate 6</w:t>
      </w:r>
      <w:r w:rsidRPr="00B7118A">
        <w:noBreakHyphen/>
        <w:t>week trials of lisdexamfetamine and methylphenidate, having considered alternative preparations and adequate doses.</w:t>
      </w:r>
    </w:p>
    <w:p w14:paraId="6A1C8028" w14:textId="77777777" w:rsidR="00FF72BC" w:rsidRDefault="00FF72BC" w:rsidP="00FF72BC">
      <w:pPr>
        <w:pStyle w:val="NCLBodyText"/>
        <w:spacing w:after="240"/>
      </w:pPr>
    </w:p>
    <w:p w14:paraId="1DF4405A" w14:textId="77777777" w:rsidR="00FF72BC" w:rsidRDefault="00FF72BC" w:rsidP="00FF72BC">
      <w:pPr>
        <w:pStyle w:val="NCLBodyText"/>
        <w:spacing w:after="240"/>
      </w:pPr>
    </w:p>
    <w:p w14:paraId="2D4331F2" w14:textId="77777777" w:rsidR="00D46B50" w:rsidRPr="00751648" w:rsidRDefault="00D46B50" w:rsidP="00CC34C1">
      <w:pPr>
        <w:pStyle w:val="NCLHeading1"/>
      </w:pPr>
      <w:bookmarkStart w:id="11" w:name="_Toc3556223"/>
      <w:bookmarkStart w:id="12" w:name="_Toc3556257"/>
      <w:bookmarkStart w:id="13" w:name="_Toc42095044"/>
      <w:bookmarkEnd w:id="11"/>
      <w:bookmarkEnd w:id="12"/>
      <w:r w:rsidRPr="00751648">
        <w:t xml:space="preserve">Dose and </w:t>
      </w:r>
      <w:r w:rsidR="00DE5C7A" w:rsidRPr="00751648">
        <w:t>Administratio</w:t>
      </w:r>
      <w:r w:rsidR="00D2116F" w:rsidRPr="00751648">
        <w:t>n</w:t>
      </w:r>
      <w:bookmarkEnd w:id="13"/>
    </w:p>
    <w:p w14:paraId="05DFE463" w14:textId="6589EA45" w:rsidR="009569D9" w:rsidRPr="00751648" w:rsidRDefault="009569D9" w:rsidP="009569D9">
      <w:pPr>
        <w:pStyle w:val="NCLBodyText"/>
      </w:pPr>
      <w:r w:rsidRPr="00751648">
        <w:t xml:space="preserve">Refer to most current BNF for children </w:t>
      </w:r>
      <w:hyperlink r:id="rId16" w:history="1">
        <w:r w:rsidR="00C614DB" w:rsidRPr="00930C8A">
          <w:rPr>
            <w:rStyle w:val="Hyperlink"/>
          </w:rPr>
          <w:t>https://bnfc.nice.org.uk/</w:t>
        </w:r>
      </w:hyperlink>
      <w:r w:rsidR="00C614DB">
        <w:t xml:space="preserve"> . </w:t>
      </w:r>
      <w:r w:rsidRPr="00751648">
        <w:t xml:space="preserve"> </w:t>
      </w:r>
    </w:p>
    <w:p w14:paraId="79496AC6" w14:textId="60CC3FA9" w:rsidR="00DE5C7A" w:rsidRDefault="009569D9" w:rsidP="009569D9">
      <w:pPr>
        <w:pStyle w:val="NCLBodyText"/>
      </w:pPr>
      <w:r w:rsidRPr="00751648">
        <w:t xml:space="preserve">For a full list, see manufacturer’s Summary of Product Characteristics (SPC) </w:t>
      </w:r>
      <w:r w:rsidR="00FE7BD9">
        <w:t xml:space="preserve">(on </w:t>
      </w:r>
      <w:hyperlink r:id="rId17" w:history="1">
        <w:r w:rsidR="00FE7BD9" w:rsidRPr="00FF4356">
          <w:rPr>
            <w:rStyle w:val="Hyperlink"/>
          </w:rPr>
          <w:t>www.medicines.org.uk</w:t>
        </w:r>
      </w:hyperlink>
      <w:r w:rsidR="00FE7BD9" w:rsidRPr="00751648">
        <w:t xml:space="preserve">  </w:t>
      </w:r>
      <w:r w:rsidR="00FE7BD9">
        <w:t xml:space="preserve">or </w:t>
      </w:r>
      <w:hyperlink r:id="rId18" w:history="1">
        <w:r w:rsidR="00FE7BD9">
          <w:rPr>
            <w:rStyle w:val="Hyperlink"/>
          </w:rPr>
          <w:t>https://products.mhra.gov.uk/</w:t>
        </w:r>
      </w:hyperlink>
      <w:r w:rsidR="00FE7BD9">
        <w:t>).</w:t>
      </w:r>
    </w:p>
    <w:p w14:paraId="0ADAA0D4" w14:textId="02243E02" w:rsidR="00EE4129" w:rsidRDefault="007040CA" w:rsidP="009569D9">
      <w:pPr>
        <w:pStyle w:val="NCLBodyText"/>
      </w:pPr>
      <w:r>
        <w:t xml:space="preserve">Please note that the BNF for children supports higher than normal doses of some formulations (e.g. Equasym XL, Medikinet XL, Concerta XL etc.). In these instances, the Specialist must take responsibility of titrating the dose upward </w:t>
      </w:r>
      <w:r w:rsidR="00352213">
        <w:t>and stabilising the patient</w:t>
      </w:r>
      <w:r>
        <w:t xml:space="preserve"> before considering transfer back to the GP.</w:t>
      </w:r>
    </w:p>
    <w:p w14:paraId="51998E6B" w14:textId="77777777" w:rsidR="00EE4129" w:rsidRPr="00751648" w:rsidRDefault="00EE4129" w:rsidP="009569D9">
      <w:pPr>
        <w:pStyle w:val="NCLBodyText"/>
      </w:pPr>
    </w:p>
    <w:p w14:paraId="109232B5" w14:textId="77777777" w:rsidR="00DB4CF4" w:rsidRPr="00751648" w:rsidRDefault="00DB4CF4" w:rsidP="009569D9">
      <w:pPr>
        <w:pStyle w:val="NCLBodyText"/>
        <w:rPr>
          <w:sz w:val="16"/>
          <w:szCs w:val="16"/>
        </w:rPr>
      </w:pP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2630"/>
        <w:gridCol w:w="5796"/>
      </w:tblGrid>
      <w:tr w:rsidR="00136686" w:rsidRPr="00751648" w14:paraId="11CEF7F8" w14:textId="77777777" w:rsidTr="00EE4129">
        <w:trPr>
          <w:jc w:val="center"/>
        </w:trPr>
        <w:tc>
          <w:tcPr>
            <w:tcW w:w="2205" w:type="dxa"/>
            <w:shd w:val="clear" w:color="auto" w:fill="D9D9D9" w:themeFill="background1" w:themeFillShade="D9"/>
          </w:tcPr>
          <w:p w14:paraId="53AFF822" w14:textId="77777777" w:rsidR="00136686" w:rsidRPr="00751648" w:rsidRDefault="00136686" w:rsidP="00DB4CF4">
            <w:pPr>
              <w:autoSpaceDE w:val="0"/>
              <w:autoSpaceDN w:val="0"/>
              <w:adjustRightInd w:val="0"/>
              <w:spacing w:after="0"/>
              <w:rPr>
                <w:rFonts w:asciiTheme="minorHAnsi" w:eastAsiaTheme="minorHAnsi" w:hAnsiTheme="minorHAnsi" w:cstheme="minorHAnsi"/>
                <w:color w:val="000000"/>
                <w:sz w:val="22"/>
                <w:szCs w:val="22"/>
              </w:rPr>
            </w:pPr>
            <w:r w:rsidRPr="00751648">
              <w:rPr>
                <w:rFonts w:asciiTheme="minorHAnsi" w:eastAsiaTheme="minorHAnsi" w:hAnsiTheme="minorHAnsi" w:cstheme="minorHAnsi"/>
                <w:b/>
                <w:bCs/>
                <w:color w:val="000000"/>
                <w:sz w:val="22"/>
                <w:szCs w:val="22"/>
              </w:rPr>
              <w:t xml:space="preserve">Drugs covered by the agreement </w:t>
            </w:r>
          </w:p>
        </w:tc>
        <w:tc>
          <w:tcPr>
            <w:tcW w:w="2630" w:type="dxa"/>
            <w:shd w:val="clear" w:color="auto" w:fill="D9D9D9" w:themeFill="background1" w:themeFillShade="D9"/>
          </w:tcPr>
          <w:p w14:paraId="20CF1AE7" w14:textId="77777777" w:rsidR="00136686" w:rsidRPr="00751648" w:rsidRDefault="00136686" w:rsidP="00DB4CF4">
            <w:pPr>
              <w:autoSpaceDE w:val="0"/>
              <w:autoSpaceDN w:val="0"/>
              <w:adjustRightInd w:val="0"/>
              <w:spacing w:after="0"/>
              <w:rPr>
                <w:rFonts w:asciiTheme="minorHAnsi" w:eastAsiaTheme="minorHAnsi" w:hAnsiTheme="minorHAnsi" w:cstheme="minorHAnsi"/>
                <w:color w:val="000000"/>
                <w:sz w:val="22"/>
                <w:szCs w:val="22"/>
              </w:rPr>
            </w:pPr>
            <w:r w:rsidRPr="00751648">
              <w:rPr>
                <w:rFonts w:asciiTheme="minorHAnsi" w:eastAsiaTheme="minorHAnsi" w:hAnsiTheme="minorHAnsi" w:cstheme="minorHAnsi"/>
                <w:b/>
                <w:bCs/>
                <w:color w:val="000000"/>
                <w:sz w:val="22"/>
                <w:szCs w:val="22"/>
              </w:rPr>
              <w:t xml:space="preserve">Brand </w:t>
            </w:r>
          </w:p>
        </w:tc>
        <w:tc>
          <w:tcPr>
            <w:tcW w:w="5796" w:type="dxa"/>
            <w:shd w:val="clear" w:color="auto" w:fill="D9D9D9" w:themeFill="background1" w:themeFillShade="D9"/>
          </w:tcPr>
          <w:p w14:paraId="4447CEA2" w14:textId="77777777" w:rsidR="00136686" w:rsidRPr="00751648" w:rsidRDefault="00136686" w:rsidP="00DB4CF4">
            <w:pPr>
              <w:autoSpaceDE w:val="0"/>
              <w:autoSpaceDN w:val="0"/>
              <w:adjustRightInd w:val="0"/>
              <w:spacing w:after="0"/>
              <w:rPr>
                <w:rFonts w:asciiTheme="minorHAnsi" w:eastAsiaTheme="minorHAnsi" w:hAnsiTheme="minorHAnsi" w:cstheme="minorHAnsi"/>
                <w:color w:val="000000"/>
                <w:sz w:val="22"/>
                <w:szCs w:val="22"/>
              </w:rPr>
            </w:pPr>
            <w:r w:rsidRPr="00751648">
              <w:rPr>
                <w:rFonts w:asciiTheme="minorHAnsi" w:eastAsiaTheme="minorHAnsi" w:hAnsiTheme="minorHAnsi" w:cstheme="minorHAnsi"/>
                <w:b/>
                <w:bCs/>
                <w:color w:val="000000"/>
                <w:sz w:val="22"/>
                <w:szCs w:val="22"/>
              </w:rPr>
              <w:t xml:space="preserve">Dosage </w:t>
            </w:r>
          </w:p>
        </w:tc>
      </w:tr>
      <w:tr w:rsidR="00136686" w:rsidRPr="00751648" w14:paraId="5EE1D4D2" w14:textId="77777777" w:rsidTr="00EE4129">
        <w:trPr>
          <w:jc w:val="center"/>
        </w:trPr>
        <w:tc>
          <w:tcPr>
            <w:tcW w:w="2205" w:type="dxa"/>
            <w:shd w:val="clear" w:color="auto" w:fill="F2F2F2" w:themeFill="background1" w:themeFillShade="F2"/>
          </w:tcPr>
          <w:p w14:paraId="4C0B93C6" w14:textId="77777777" w:rsidR="00136686" w:rsidRPr="00751648" w:rsidRDefault="00136686" w:rsidP="00DB4CF4">
            <w:pPr>
              <w:autoSpaceDE w:val="0"/>
              <w:autoSpaceDN w:val="0"/>
              <w:adjustRightInd w:val="0"/>
              <w:spacing w:after="0"/>
              <w:rPr>
                <w:rFonts w:asciiTheme="minorHAnsi" w:eastAsiaTheme="minorHAnsi" w:hAnsiTheme="minorHAnsi" w:cstheme="minorHAnsi"/>
                <w:color w:val="000000"/>
                <w:sz w:val="22"/>
                <w:szCs w:val="22"/>
              </w:rPr>
            </w:pPr>
            <w:r w:rsidRPr="00751648">
              <w:rPr>
                <w:rFonts w:asciiTheme="minorHAnsi" w:eastAsiaTheme="minorHAnsi" w:hAnsiTheme="minorHAnsi" w:cstheme="minorHAnsi"/>
                <w:color w:val="000000"/>
                <w:sz w:val="22"/>
                <w:szCs w:val="22"/>
              </w:rPr>
              <w:t>Methylphenidate Immediate Release –</w:t>
            </w:r>
          </w:p>
          <w:p w14:paraId="7330F2FC" w14:textId="77777777" w:rsidR="00136686" w:rsidRPr="00751648" w:rsidRDefault="00136686" w:rsidP="00DB4CF4">
            <w:pPr>
              <w:autoSpaceDE w:val="0"/>
              <w:autoSpaceDN w:val="0"/>
              <w:adjustRightInd w:val="0"/>
              <w:spacing w:after="0"/>
              <w:rPr>
                <w:rFonts w:asciiTheme="minorHAnsi" w:eastAsiaTheme="minorHAnsi" w:hAnsiTheme="minorHAnsi" w:cstheme="minorHAnsi"/>
                <w:color w:val="000000"/>
                <w:sz w:val="22"/>
                <w:szCs w:val="22"/>
              </w:rPr>
            </w:pPr>
            <w:r w:rsidRPr="00751648">
              <w:rPr>
                <w:rFonts w:asciiTheme="minorHAnsi" w:eastAsiaTheme="minorHAnsi" w:hAnsiTheme="minorHAnsi" w:cstheme="minorHAnsi"/>
                <w:color w:val="000000"/>
                <w:sz w:val="22"/>
                <w:szCs w:val="22"/>
              </w:rPr>
              <w:t xml:space="preserve">Generic </w:t>
            </w:r>
          </w:p>
          <w:p w14:paraId="37E6A881" w14:textId="77777777" w:rsidR="00136686" w:rsidRPr="00751648" w:rsidRDefault="00136686" w:rsidP="00DB4CF4">
            <w:pPr>
              <w:autoSpaceDE w:val="0"/>
              <w:autoSpaceDN w:val="0"/>
              <w:adjustRightInd w:val="0"/>
              <w:spacing w:after="0"/>
              <w:rPr>
                <w:rFonts w:asciiTheme="minorHAnsi" w:eastAsiaTheme="minorHAnsi" w:hAnsiTheme="minorHAnsi" w:cstheme="minorHAnsi"/>
                <w:color w:val="000000"/>
                <w:sz w:val="22"/>
                <w:szCs w:val="22"/>
              </w:rPr>
            </w:pPr>
          </w:p>
          <w:p w14:paraId="26DB398D" w14:textId="77777777" w:rsidR="00136686" w:rsidRPr="00751648" w:rsidRDefault="00136686" w:rsidP="00DB4CF4">
            <w:pPr>
              <w:autoSpaceDE w:val="0"/>
              <w:autoSpaceDN w:val="0"/>
              <w:adjustRightInd w:val="0"/>
              <w:spacing w:after="0"/>
              <w:rPr>
                <w:rFonts w:asciiTheme="minorHAnsi" w:eastAsiaTheme="minorHAnsi" w:hAnsiTheme="minorHAnsi" w:cstheme="minorHAnsi"/>
                <w:i/>
                <w:color w:val="000000"/>
                <w:sz w:val="22"/>
                <w:szCs w:val="22"/>
              </w:rPr>
            </w:pPr>
            <w:r w:rsidRPr="00751648">
              <w:rPr>
                <w:rFonts w:asciiTheme="minorHAnsi" w:eastAsiaTheme="minorHAnsi" w:hAnsiTheme="minorHAnsi" w:cstheme="minorHAnsi"/>
                <w:i/>
                <w:color w:val="000000"/>
                <w:sz w:val="22"/>
                <w:szCs w:val="22"/>
              </w:rPr>
              <w:t xml:space="preserve">Schedule 2 CD </w:t>
            </w:r>
          </w:p>
        </w:tc>
        <w:tc>
          <w:tcPr>
            <w:tcW w:w="2630" w:type="dxa"/>
          </w:tcPr>
          <w:p w14:paraId="433BA426" w14:textId="77777777" w:rsidR="00136686" w:rsidRPr="00751648" w:rsidRDefault="00136686" w:rsidP="00DB4CF4">
            <w:pPr>
              <w:autoSpaceDE w:val="0"/>
              <w:autoSpaceDN w:val="0"/>
              <w:adjustRightInd w:val="0"/>
              <w:spacing w:after="0"/>
              <w:rPr>
                <w:rFonts w:asciiTheme="minorHAnsi" w:eastAsiaTheme="minorHAnsi" w:hAnsiTheme="minorHAnsi" w:cstheme="minorHAnsi"/>
                <w:color w:val="000000"/>
                <w:sz w:val="22"/>
                <w:szCs w:val="22"/>
              </w:rPr>
            </w:pPr>
            <w:r w:rsidRPr="00751648">
              <w:rPr>
                <w:rFonts w:asciiTheme="minorHAnsi" w:eastAsiaTheme="minorHAnsi" w:hAnsiTheme="minorHAnsi" w:cstheme="minorHAnsi"/>
                <w:color w:val="000000"/>
                <w:sz w:val="22"/>
                <w:szCs w:val="22"/>
              </w:rPr>
              <w:t xml:space="preserve">Ritalin®, Equasym®, Medikinet®. </w:t>
            </w:r>
          </w:p>
        </w:tc>
        <w:tc>
          <w:tcPr>
            <w:tcW w:w="5796" w:type="dxa"/>
          </w:tcPr>
          <w:p w14:paraId="62151C0C" w14:textId="77777777" w:rsidR="00136686" w:rsidRPr="00751648" w:rsidRDefault="00136686" w:rsidP="00DB4CF4">
            <w:pPr>
              <w:autoSpaceDE w:val="0"/>
              <w:autoSpaceDN w:val="0"/>
              <w:adjustRightInd w:val="0"/>
              <w:spacing w:after="0"/>
              <w:rPr>
                <w:rFonts w:asciiTheme="minorHAnsi" w:eastAsiaTheme="minorHAnsi" w:hAnsiTheme="minorHAnsi" w:cstheme="minorHAnsi"/>
                <w:color w:val="000000"/>
                <w:sz w:val="22"/>
                <w:szCs w:val="22"/>
              </w:rPr>
            </w:pPr>
            <w:r w:rsidRPr="00751648">
              <w:rPr>
                <w:rFonts w:asciiTheme="minorHAnsi" w:eastAsiaTheme="minorHAnsi" w:hAnsiTheme="minorHAnsi" w:cstheme="minorHAnsi"/>
                <w:color w:val="000000"/>
                <w:sz w:val="22"/>
                <w:szCs w:val="22"/>
              </w:rPr>
              <w:t>Initially 5mg once or twice daily, increased if necessary at weekly intervals by 5-10mg daily to a maximum of 60mg daily in divided doses.</w:t>
            </w:r>
          </w:p>
        </w:tc>
      </w:tr>
      <w:tr w:rsidR="00136686" w:rsidRPr="00751648" w14:paraId="67ACCCAC" w14:textId="77777777" w:rsidTr="00EE4129">
        <w:trPr>
          <w:jc w:val="center"/>
        </w:trPr>
        <w:tc>
          <w:tcPr>
            <w:tcW w:w="2205" w:type="dxa"/>
            <w:shd w:val="clear" w:color="auto" w:fill="F2F2F2" w:themeFill="background1" w:themeFillShade="F2"/>
          </w:tcPr>
          <w:p w14:paraId="18AE5BAD" w14:textId="77777777" w:rsidR="00136686" w:rsidRPr="00BE4828" w:rsidRDefault="00136686" w:rsidP="00DB4CF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 xml:space="preserve">Methylphenidate Modified Release </w:t>
            </w:r>
          </w:p>
          <w:p w14:paraId="73FFB816" w14:textId="77777777" w:rsidR="00136686" w:rsidRPr="00BE4828" w:rsidRDefault="00136686" w:rsidP="00DB4CF4">
            <w:pPr>
              <w:autoSpaceDE w:val="0"/>
              <w:autoSpaceDN w:val="0"/>
              <w:adjustRightInd w:val="0"/>
              <w:spacing w:after="0"/>
              <w:rPr>
                <w:rFonts w:asciiTheme="minorHAnsi" w:eastAsiaTheme="minorHAnsi" w:hAnsiTheme="minorHAnsi" w:cstheme="minorHAnsi"/>
                <w:color w:val="000000"/>
                <w:sz w:val="22"/>
                <w:szCs w:val="22"/>
              </w:rPr>
            </w:pPr>
          </w:p>
          <w:p w14:paraId="344625B2" w14:textId="77777777" w:rsidR="00136686" w:rsidRPr="00BE4828" w:rsidRDefault="00136686" w:rsidP="00DB4CF4">
            <w:pPr>
              <w:autoSpaceDE w:val="0"/>
              <w:autoSpaceDN w:val="0"/>
              <w:adjustRightInd w:val="0"/>
              <w:spacing w:after="0"/>
              <w:rPr>
                <w:rFonts w:asciiTheme="minorHAnsi" w:eastAsiaTheme="minorHAnsi" w:hAnsiTheme="minorHAnsi" w:cstheme="minorHAnsi"/>
                <w:i/>
                <w:color w:val="000000"/>
                <w:sz w:val="22"/>
                <w:szCs w:val="22"/>
              </w:rPr>
            </w:pPr>
            <w:r w:rsidRPr="00BE4828">
              <w:rPr>
                <w:rFonts w:asciiTheme="minorHAnsi" w:eastAsiaTheme="minorHAnsi" w:hAnsiTheme="minorHAnsi" w:cstheme="minorHAnsi"/>
                <w:i/>
                <w:color w:val="000000"/>
                <w:sz w:val="22"/>
                <w:szCs w:val="22"/>
              </w:rPr>
              <w:t>Schedule 2 CD</w:t>
            </w:r>
          </w:p>
        </w:tc>
        <w:tc>
          <w:tcPr>
            <w:tcW w:w="2630" w:type="dxa"/>
          </w:tcPr>
          <w:p w14:paraId="0220E154" w14:textId="77777777" w:rsidR="00136686" w:rsidRPr="00BE4828" w:rsidRDefault="00136686" w:rsidP="00DB4CF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 xml:space="preserve">a) Equasym® XL </w:t>
            </w:r>
          </w:p>
          <w:p w14:paraId="427107D1" w14:textId="77777777" w:rsidR="00136686" w:rsidRPr="00BE4828" w:rsidRDefault="00136686" w:rsidP="00DB4CF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 xml:space="preserve">b) Medikinet® XL </w:t>
            </w:r>
          </w:p>
          <w:p w14:paraId="0545AE87" w14:textId="58D07FF4" w:rsidR="00136686" w:rsidRPr="00BE4828" w:rsidRDefault="00136686" w:rsidP="00DB4CF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c) Concerta® XL (</w:t>
            </w:r>
            <w:r w:rsidR="002D7E08" w:rsidRPr="00BE4828">
              <w:rPr>
                <w:rFonts w:asciiTheme="minorHAnsi" w:eastAsiaTheme="minorHAnsi" w:hAnsiTheme="minorHAnsi" w:cstheme="minorHAnsi"/>
                <w:color w:val="000000"/>
                <w:sz w:val="22"/>
                <w:szCs w:val="22"/>
              </w:rPr>
              <w:t>branded generics</w:t>
            </w:r>
            <w:r w:rsidRPr="00BE4828">
              <w:rPr>
                <w:rFonts w:asciiTheme="minorHAnsi" w:eastAsiaTheme="minorHAnsi" w:hAnsiTheme="minorHAnsi" w:cstheme="minorHAnsi"/>
                <w:color w:val="000000"/>
                <w:sz w:val="22"/>
                <w:szCs w:val="22"/>
              </w:rPr>
              <w:t xml:space="preserve"> also include Xenidate XL, Matoride XL, Delmosart and Xaggitin).</w:t>
            </w:r>
          </w:p>
          <w:p w14:paraId="5D45341A" w14:textId="77777777" w:rsidR="00136686" w:rsidRPr="00BE4828" w:rsidRDefault="00136686" w:rsidP="00A256A0">
            <w:pPr>
              <w:autoSpaceDE w:val="0"/>
              <w:autoSpaceDN w:val="0"/>
              <w:adjustRightInd w:val="0"/>
              <w:spacing w:after="0"/>
              <w:rPr>
                <w:rFonts w:asciiTheme="minorHAnsi" w:eastAsiaTheme="minorHAnsi" w:hAnsiTheme="minorHAnsi" w:cstheme="minorHAnsi"/>
                <w:color w:val="000000"/>
              </w:rPr>
            </w:pPr>
          </w:p>
          <w:p w14:paraId="42ECB917" w14:textId="77777777" w:rsidR="00136686" w:rsidRPr="00BE4828" w:rsidRDefault="00136686" w:rsidP="00A256A0">
            <w:pPr>
              <w:autoSpaceDE w:val="0"/>
              <w:autoSpaceDN w:val="0"/>
              <w:adjustRightInd w:val="0"/>
              <w:spacing w:after="0"/>
              <w:rPr>
                <w:rFonts w:asciiTheme="minorHAnsi" w:eastAsiaTheme="minorHAnsi" w:hAnsiTheme="minorHAnsi" w:cstheme="minorHAnsi"/>
                <w:color w:val="000000"/>
              </w:rPr>
            </w:pPr>
          </w:p>
          <w:p w14:paraId="0E857390" w14:textId="0286A448" w:rsidR="00136686" w:rsidRPr="00BE4828" w:rsidRDefault="00136686" w:rsidP="00A256A0">
            <w:pPr>
              <w:autoSpaceDE w:val="0"/>
              <w:autoSpaceDN w:val="0"/>
              <w:adjustRightInd w:val="0"/>
              <w:spacing w:after="0"/>
              <w:rPr>
                <w:rFonts w:asciiTheme="minorHAnsi" w:eastAsiaTheme="minorHAnsi" w:hAnsiTheme="minorHAnsi" w:cstheme="minorHAnsi"/>
                <w:color w:val="000000"/>
              </w:rPr>
            </w:pPr>
            <w:r w:rsidRPr="00BE4828">
              <w:rPr>
                <w:rFonts w:asciiTheme="minorHAnsi" w:eastAsiaTheme="minorHAnsi" w:hAnsiTheme="minorHAnsi" w:cstheme="minorHAnsi"/>
                <w:color w:val="000000"/>
              </w:rPr>
              <w:t>(</w:t>
            </w:r>
            <w:r w:rsidRPr="00BE4828">
              <w:rPr>
                <w:rFonts w:asciiTheme="minorHAnsi" w:eastAsiaTheme="minorHAnsi" w:hAnsiTheme="minorHAnsi" w:cstheme="minorHAnsi"/>
                <w:b/>
                <w:bCs/>
                <w:color w:val="000000"/>
              </w:rPr>
              <w:t xml:space="preserve">Prescribe by Brand </w:t>
            </w:r>
            <w:r w:rsidRPr="00BE4828">
              <w:rPr>
                <w:rFonts w:asciiTheme="minorHAnsi" w:eastAsiaTheme="minorHAnsi" w:hAnsiTheme="minorHAnsi" w:cstheme="minorHAnsi"/>
                <w:color w:val="000000"/>
              </w:rPr>
              <w:t>due to differing immediate release and modified release components</w:t>
            </w:r>
            <w:r w:rsidR="00B31C2B">
              <w:rPr>
                <w:rFonts w:asciiTheme="minorHAnsi" w:eastAsiaTheme="minorHAnsi" w:hAnsiTheme="minorHAnsi" w:cstheme="minorHAnsi"/>
                <w:color w:val="000000"/>
              </w:rPr>
              <w:t>)</w:t>
            </w:r>
          </w:p>
        </w:tc>
        <w:tc>
          <w:tcPr>
            <w:tcW w:w="5796" w:type="dxa"/>
          </w:tcPr>
          <w:p w14:paraId="30AF0460" w14:textId="3C25DAC7" w:rsidR="00136686" w:rsidRPr="00BE4828" w:rsidRDefault="00136686" w:rsidP="00DB4CF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 xml:space="preserve">a) &amp; b) 10mg once daily (in the morning) increased if </w:t>
            </w:r>
            <w:r w:rsidR="002D7E08" w:rsidRPr="00BE4828">
              <w:rPr>
                <w:rFonts w:asciiTheme="minorHAnsi" w:eastAsiaTheme="minorHAnsi" w:hAnsiTheme="minorHAnsi" w:cstheme="minorHAnsi"/>
                <w:color w:val="000000"/>
                <w:sz w:val="22"/>
                <w:szCs w:val="22"/>
              </w:rPr>
              <w:t>needed up</w:t>
            </w:r>
            <w:r w:rsidRPr="00BE4828">
              <w:rPr>
                <w:rFonts w:asciiTheme="minorHAnsi" w:eastAsiaTheme="minorHAnsi" w:hAnsiTheme="minorHAnsi" w:cstheme="minorHAnsi"/>
                <w:color w:val="000000"/>
                <w:sz w:val="22"/>
                <w:szCs w:val="22"/>
              </w:rPr>
              <w:t xml:space="preserve"> to max of 60mg once daily. </w:t>
            </w:r>
          </w:p>
          <w:p w14:paraId="45479F08" w14:textId="21BEA4C6" w:rsidR="00FE7BD9" w:rsidRPr="00BE4828" w:rsidRDefault="00136686" w:rsidP="00AF444E">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 xml:space="preserve">c) 18mg once daily (in the morning), increased if needed in weekly steps of 18mg according to response, up to a </w:t>
            </w:r>
            <w:r w:rsidR="002D7E08" w:rsidRPr="00BE4828">
              <w:rPr>
                <w:rFonts w:asciiTheme="minorHAnsi" w:eastAsiaTheme="minorHAnsi" w:hAnsiTheme="minorHAnsi" w:cstheme="minorHAnsi"/>
                <w:color w:val="000000"/>
                <w:sz w:val="22"/>
                <w:szCs w:val="22"/>
              </w:rPr>
              <w:t>maximum of</w:t>
            </w:r>
            <w:r w:rsidRPr="00BE4828">
              <w:rPr>
                <w:rFonts w:asciiTheme="minorHAnsi" w:eastAsiaTheme="minorHAnsi" w:hAnsiTheme="minorHAnsi" w:cstheme="minorHAnsi"/>
                <w:color w:val="000000"/>
                <w:sz w:val="22"/>
                <w:szCs w:val="22"/>
              </w:rPr>
              <w:t xml:space="preserve"> 54mg once daily. </w:t>
            </w:r>
          </w:p>
        </w:tc>
      </w:tr>
      <w:tr w:rsidR="00136686" w:rsidRPr="00751648" w14:paraId="2066BBA4" w14:textId="77777777" w:rsidTr="00EE4129">
        <w:trPr>
          <w:jc w:val="center"/>
        </w:trPr>
        <w:tc>
          <w:tcPr>
            <w:tcW w:w="2205" w:type="dxa"/>
            <w:shd w:val="clear" w:color="auto" w:fill="F2F2F2" w:themeFill="background1" w:themeFillShade="F2"/>
          </w:tcPr>
          <w:p w14:paraId="6B34C95C" w14:textId="77777777" w:rsidR="00136686" w:rsidRPr="00BE4828" w:rsidRDefault="00136686" w:rsidP="00DB4CF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 xml:space="preserve">Dexamfetamine Sulphate </w:t>
            </w:r>
          </w:p>
          <w:p w14:paraId="631DB752" w14:textId="77777777" w:rsidR="00136686" w:rsidRPr="00BE4828" w:rsidRDefault="00136686" w:rsidP="00DB4CF4">
            <w:pPr>
              <w:autoSpaceDE w:val="0"/>
              <w:autoSpaceDN w:val="0"/>
              <w:adjustRightInd w:val="0"/>
              <w:spacing w:after="0"/>
              <w:rPr>
                <w:rFonts w:asciiTheme="minorHAnsi" w:eastAsiaTheme="minorHAnsi" w:hAnsiTheme="minorHAnsi" w:cstheme="minorHAnsi"/>
                <w:color w:val="000000"/>
                <w:sz w:val="22"/>
                <w:szCs w:val="22"/>
              </w:rPr>
            </w:pPr>
          </w:p>
          <w:p w14:paraId="060EAA05" w14:textId="77777777" w:rsidR="00136686" w:rsidRPr="00BE4828" w:rsidRDefault="00136686" w:rsidP="00DB4CF4">
            <w:pPr>
              <w:autoSpaceDE w:val="0"/>
              <w:autoSpaceDN w:val="0"/>
              <w:adjustRightInd w:val="0"/>
              <w:spacing w:after="0"/>
              <w:rPr>
                <w:rFonts w:asciiTheme="minorHAnsi" w:eastAsiaTheme="minorHAnsi" w:hAnsiTheme="minorHAnsi" w:cstheme="minorHAnsi"/>
                <w:i/>
                <w:color w:val="000000"/>
                <w:sz w:val="22"/>
                <w:szCs w:val="22"/>
              </w:rPr>
            </w:pPr>
            <w:r w:rsidRPr="00BE4828">
              <w:rPr>
                <w:rFonts w:asciiTheme="minorHAnsi" w:eastAsiaTheme="minorHAnsi" w:hAnsiTheme="minorHAnsi" w:cstheme="minorHAnsi"/>
                <w:i/>
                <w:color w:val="000000"/>
                <w:sz w:val="22"/>
                <w:szCs w:val="22"/>
              </w:rPr>
              <w:t>Schedule 2 CD</w:t>
            </w:r>
          </w:p>
        </w:tc>
        <w:tc>
          <w:tcPr>
            <w:tcW w:w="2630" w:type="dxa"/>
          </w:tcPr>
          <w:p w14:paraId="7B9D4480" w14:textId="436B7FAF" w:rsidR="00136686" w:rsidRPr="00BE4828" w:rsidRDefault="00A36C9E" w:rsidP="00DB4CF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Generic (non-branded)</w:t>
            </w:r>
          </w:p>
        </w:tc>
        <w:tc>
          <w:tcPr>
            <w:tcW w:w="5796" w:type="dxa"/>
          </w:tcPr>
          <w:p w14:paraId="5B59D5AA" w14:textId="03209FB0" w:rsidR="00136686" w:rsidRPr="00BE4828" w:rsidRDefault="00136686" w:rsidP="009E0D0D">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5mg once or twice a day (e.g. at breakfast and lunch</w:t>
            </w:r>
            <w:r w:rsidR="002D7E08" w:rsidRPr="00BE4828">
              <w:rPr>
                <w:rFonts w:asciiTheme="minorHAnsi" w:eastAsiaTheme="minorHAnsi" w:hAnsiTheme="minorHAnsi" w:cstheme="minorHAnsi"/>
                <w:color w:val="000000"/>
                <w:sz w:val="22"/>
                <w:szCs w:val="22"/>
              </w:rPr>
              <w:t>), increasing</w:t>
            </w:r>
            <w:r w:rsidRPr="00BE4828">
              <w:rPr>
                <w:rFonts w:asciiTheme="minorHAnsi" w:eastAsiaTheme="minorHAnsi" w:hAnsiTheme="minorHAnsi" w:cstheme="minorHAnsi"/>
                <w:color w:val="000000"/>
                <w:sz w:val="22"/>
                <w:szCs w:val="22"/>
              </w:rPr>
              <w:t xml:space="preserve"> if needed by weekly increments of 5 mg, up to a max of 20mg/daily in divided doses </w:t>
            </w:r>
            <w:r w:rsidR="00BC07DF" w:rsidRPr="00BE4828">
              <w:rPr>
                <w:rFonts w:asciiTheme="minorHAnsi" w:eastAsiaTheme="minorHAnsi" w:hAnsiTheme="minorHAnsi" w:cstheme="minorHAnsi"/>
                <w:color w:val="000000"/>
                <w:sz w:val="22"/>
                <w:szCs w:val="22"/>
              </w:rPr>
              <w:t>- although</w:t>
            </w:r>
            <w:r w:rsidRPr="00BE4828">
              <w:rPr>
                <w:rFonts w:asciiTheme="minorHAnsi" w:eastAsiaTheme="minorHAnsi" w:hAnsiTheme="minorHAnsi" w:cstheme="minorHAnsi"/>
                <w:color w:val="000000"/>
                <w:sz w:val="22"/>
                <w:szCs w:val="22"/>
              </w:rPr>
              <w:t xml:space="preserve"> doses of 40 mg may in rare cases be needed.</w:t>
            </w:r>
          </w:p>
        </w:tc>
      </w:tr>
      <w:tr w:rsidR="00136686" w:rsidRPr="00751648" w14:paraId="39B56994" w14:textId="77777777" w:rsidTr="00EE4129">
        <w:trPr>
          <w:jc w:val="center"/>
        </w:trPr>
        <w:tc>
          <w:tcPr>
            <w:tcW w:w="2205" w:type="dxa"/>
            <w:shd w:val="clear" w:color="auto" w:fill="F2F2F2" w:themeFill="background1" w:themeFillShade="F2"/>
          </w:tcPr>
          <w:p w14:paraId="20395719" w14:textId="77777777" w:rsidR="00136686" w:rsidRPr="00BE4828" w:rsidRDefault="00136686" w:rsidP="00DB4CF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 xml:space="preserve">Lisdexamfetamine </w:t>
            </w:r>
          </w:p>
          <w:p w14:paraId="52CF2FB9" w14:textId="77777777" w:rsidR="00136686" w:rsidRPr="00BE4828" w:rsidRDefault="00136686" w:rsidP="00DB4CF4">
            <w:pPr>
              <w:autoSpaceDE w:val="0"/>
              <w:autoSpaceDN w:val="0"/>
              <w:adjustRightInd w:val="0"/>
              <w:spacing w:after="0"/>
              <w:rPr>
                <w:rFonts w:asciiTheme="minorHAnsi" w:eastAsiaTheme="minorHAnsi" w:hAnsiTheme="minorHAnsi" w:cstheme="minorHAnsi"/>
                <w:color w:val="000000"/>
                <w:sz w:val="22"/>
                <w:szCs w:val="22"/>
              </w:rPr>
            </w:pPr>
          </w:p>
          <w:p w14:paraId="7166BDA5" w14:textId="77777777" w:rsidR="00136686" w:rsidRPr="00BE4828" w:rsidRDefault="00136686" w:rsidP="00DB4CF4">
            <w:pPr>
              <w:autoSpaceDE w:val="0"/>
              <w:autoSpaceDN w:val="0"/>
              <w:adjustRightInd w:val="0"/>
              <w:spacing w:after="0"/>
              <w:rPr>
                <w:rFonts w:asciiTheme="minorHAnsi" w:eastAsiaTheme="minorHAnsi" w:hAnsiTheme="minorHAnsi" w:cstheme="minorHAnsi"/>
                <w:i/>
                <w:color w:val="000000"/>
                <w:sz w:val="22"/>
                <w:szCs w:val="22"/>
              </w:rPr>
            </w:pPr>
            <w:r w:rsidRPr="00BE4828">
              <w:rPr>
                <w:rFonts w:asciiTheme="minorHAnsi" w:eastAsiaTheme="minorHAnsi" w:hAnsiTheme="minorHAnsi" w:cstheme="minorHAnsi"/>
                <w:i/>
                <w:color w:val="000000"/>
                <w:sz w:val="22"/>
                <w:szCs w:val="22"/>
              </w:rPr>
              <w:t>Schedule 2 CD</w:t>
            </w:r>
          </w:p>
        </w:tc>
        <w:tc>
          <w:tcPr>
            <w:tcW w:w="2630" w:type="dxa"/>
          </w:tcPr>
          <w:p w14:paraId="7F5FBFF1" w14:textId="77777777" w:rsidR="00136686" w:rsidRPr="00BE4828" w:rsidRDefault="00136686" w:rsidP="00DB4CF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Elvanse®.</w:t>
            </w:r>
          </w:p>
          <w:p w14:paraId="7B95E5CD" w14:textId="77777777" w:rsidR="00A36C9E" w:rsidRPr="00BE4828" w:rsidRDefault="00A36C9E" w:rsidP="00DB4CF4">
            <w:pPr>
              <w:autoSpaceDE w:val="0"/>
              <w:autoSpaceDN w:val="0"/>
              <w:adjustRightInd w:val="0"/>
              <w:spacing w:after="0"/>
              <w:rPr>
                <w:rFonts w:asciiTheme="minorHAnsi" w:eastAsiaTheme="minorHAnsi" w:hAnsiTheme="minorHAnsi" w:cstheme="minorHAnsi"/>
                <w:color w:val="000000"/>
                <w:sz w:val="22"/>
                <w:szCs w:val="22"/>
              </w:rPr>
            </w:pPr>
          </w:p>
          <w:p w14:paraId="0D86634C" w14:textId="743E5188" w:rsidR="00A36C9E" w:rsidRPr="00BE4828" w:rsidRDefault="00A36C9E" w:rsidP="00DB4CF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Note: Do not confuse with the “Elvanse Adult” brand</w:t>
            </w:r>
          </w:p>
        </w:tc>
        <w:tc>
          <w:tcPr>
            <w:tcW w:w="5796" w:type="dxa"/>
          </w:tcPr>
          <w:p w14:paraId="779C13ED" w14:textId="6FA4D7BE" w:rsidR="00136686" w:rsidRPr="00BE4828" w:rsidRDefault="00136686" w:rsidP="002421AD">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30mg once daily (in the morning)</w:t>
            </w:r>
            <w:r w:rsidR="00BC07DF" w:rsidRPr="00BE4828">
              <w:rPr>
                <w:rFonts w:asciiTheme="minorHAnsi" w:eastAsiaTheme="minorHAnsi" w:hAnsiTheme="minorHAnsi" w:cstheme="minorHAnsi"/>
                <w:color w:val="000000"/>
                <w:sz w:val="22"/>
                <w:szCs w:val="22"/>
              </w:rPr>
              <w:t xml:space="preserve">. </w:t>
            </w:r>
            <w:r w:rsidRPr="00BE4828">
              <w:rPr>
                <w:rFonts w:asciiTheme="minorHAnsi" w:eastAsiaTheme="minorHAnsi" w:hAnsiTheme="minorHAnsi" w:cstheme="minorHAnsi"/>
                <w:color w:val="000000"/>
                <w:sz w:val="22"/>
                <w:szCs w:val="22"/>
              </w:rPr>
              <w:t>The dose may be increased by 20mg increments, at approx. weekly intervals up to a max of 70mg once daily – but the lowest effective dose should be used.</w:t>
            </w:r>
          </w:p>
        </w:tc>
      </w:tr>
      <w:tr w:rsidR="00136686" w:rsidRPr="00751648" w14:paraId="487B2F6F" w14:textId="77777777" w:rsidTr="00EE4129">
        <w:trPr>
          <w:jc w:val="center"/>
        </w:trPr>
        <w:tc>
          <w:tcPr>
            <w:tcW w:w="2205" w:type="dxa"/>
            <w:shd w:val="clear" w:color="auto" w:fill="F2F2F2" w:themeFill="background1" w:themeFillShade="F2"/>
          </w:tcPr>
          <w:p w14:paraId="7FA01D9E" w14:textId="77777777" w:rsidR="00136686" w:rsidRPr="00BE4828" w:rsidRDefault="00136686" w:rsidP="001E1C45">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 xml:space="preserve">Atomoxetine </w:t>
            </w:r>
          </w:p>
        </w:tc>
        <w:tc>
          <w:tcPr>
            <w:tcW w:w="2630" w:type="dxa"/>
          </w:tcPr>
          <w:p w14:paraId="3C9D21D9" w14:textId="77777777" w:rsidR="00136686" w:rsidRPr="00BE4828" w:rsidRDefault="00136686" w:rsidP="00DB4CF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Strattera®</w:t>
            </w:r>
          </w:p>
        </w:tc>
        <w:tc>
          <w:tcPr>
            <w:tcW w:w="5796" w:type="dxa"/>
          </w:tcPr>
          <w:p w14:paraId="73284796" w14:textId="77777777" w:rsidR="00136686" w:rsidRPr="00BE4828" w:rsidRDefault="00136686" w:rsidP="007A3CFA">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For children/adolescents of up to 70kg body weight treatment should be initiated at 500 micrograms per kilogram daily and increased if necessary to a maximum of 1.8 mg/kg daily either in a single dose or divided doses.</w:t>
            </w:r>
          </w:p>
          <w:p w14:paraId="6B4F49D0" w14:textId="77777777" w:rsidR="00136686" w:rsidRPr="00BE4828" w:rsidRDefault="00136686" w:rsidP="007A3CFA">
            <w:pPr>
              <w:autoSpaceDE w:val="0"/>
              <w:autoSpaceDN w:val="0"/>
              <w:adjustRightInd w:val="0"/>
              <w:spacing w:after="0"/>
              <w:rPr>
                <w:rFonts w:asciiTheme="minorHAnsi" w:eastAsiaTheme="minorHAnsi" w:hAnsiTheme="minorHAnsi" w:cstheme="minorHAnsi"/>
                <w:color w:val="000000"/>
                <w:sz w:val="22"/>
                <w:szCs w:val="22"/>
              </w:rPr>
            </w:pPr>
          </w:p>
          <w:p w14:paraId="5BCFA85F" w14:textId="60B53B52" w:rsidR="00136686" w:rsidRPr="00BE4828" w:rsidRDefault="00136686" w:rsidP="007A3CFA">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 xml:space="preserve">For adolescents of over 70 kg body </w:t>
            </w:r>
            <w:r w:rsidR="00BC07DF" w:rsidRPr="00BE4828">
              <w:rPr>
                <w:rFonts w:asciiTheme="minorHAnsi" w:eastAsiaTheme="minorHAnsi" w:hAnsiTheme="minorHAnsi" w:cstheme="minorHAnsi"/>
                <w:color w:val="000000"/>
                <w:sz w:val="22"/>
                <w:szCs w:val="22"/>
              </w:rPr>
              <w:t>weight treatment</w:t>
            </w:r>
            <w:r w:rsidRPr="00BE4828">
              <w:rPr>
                <w:rFonts w:asciiTheme="minorHAnsi" w:eastAsiaTheme="minorHAnsi" w:hAnsiTheme="minorHAnsi" w:cstheme="minorHAnsi"/>
                <w:color w:val="000000"/>
                <w:sz w:val="22"/>
                <w:szCs w:val="22"/>
              </w:rPr>
              <w:t xml:space="preserve"> should be initiated at a daily dose of 40 mg and increase according to response to a usual maintenance daily dose of 1.8 mg/kg.</w:t>
            </w:r>
          </w:p>
        </w:tc>
      </w:tr>
      <w:tr w:rsidR="00231324" w:rsidRPr="00751648" w14:paraId="2CF5EF2D" w14:textId="77777777" w:rsidTr="00EE4129">
        <w:trPr>
          <w:jc w:val="center"/>
        </w:trPr>
        <w:tc>
          <w:tcPr>
            <w:tcW w:w="2205" w:type="dxa"/>
            <w:shd w:val="clear" w:color="auto" w:fill="F2F2F2" w:themeFill="background1" w:themeFillShade="F2"/>
          </w:tcPr>
          <w:p w14:paraId="61E38916" w14:textId="6CC93CCD" w:rsidR="00231324" w:rsidRPr="00BE4828" w:rsidRDefault="00231324" w:rsidP="0023132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Guanfacine</w:t>
            </w:r>
          </w:p>
        </w:tc>
        <w:tc>
          <w:tcPr>
            <w:tcW w:w="2630" w:type="dxa"/>
          </w:tcPr>
          <w:p w14:paraId="710EEEF3" w14:textId="7F2E7576" w:rsidR="00231324" w:rsidRPr="00BE4828" w:rsidRDefault="00231324" w:rsidP="0023132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Intuniv®</w:t>
            </w:r>
          </w:p>
        </w:tc>
        <w:tc>
          <w:tcPr>
            <w:tcW w:w="5796" w:type="dxa"/>
          </w:tcPr>
          <w:p w14:paraId="54E2E5D9" w14:textId="67B94E6B" w:rsidR="00BC07DF" w:rsidRDefault="00231324" w:rsidP="00BA05B2">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For Child 6–12 years (</w:t>
            </w:r>
            <w:r w:rsidR="00BC07DF" w:rsidRPr="00BE4828">
              <w:rPr>
                <w:rFonts w:asciiTheme="minorHAnsi" w:eastAsiaTheme="minorHAnsi" w:hAnsiTheme="minorHAnsi" w:cstheme="minorHAnsi"/>
                <w:color w:val="000000"/>
                <w:sz w:val="22"/>
                <w:szCs w:val="22"/>
              </w:rPr>
              <w:t>body weight</w:t>
            </w:r>
            <w:r w:rsidRPr="00BE4828">
              <w:rPr>
                <w:rFonts w:asciiTheme="minorHAnsi" w:eastAsiaTheme="minorHAnsi" w:hAnsiTheme="minorHAnsi" w:cstheme="minorHAnsi"/>
                <w:color w:val="000000"/>
                <w:sz w:val="22"/>
                <w:szCs w:val="22"/>
              </w:rPr>
              <w:t xml:space="preserve"> 25 kg and above)</w:t>
            </w:r>
            <w:r w:rsidR="00BA05B2" w:rsidRPr="00BE4828">
              <w:rPr>
                <w:rFonts w:asciiTheme="minorHAnsi" w:eastAsiaTheme="minorHAnsi" w:hAnsiTheme="minorHAnsi" w:cstheme="minorHAnsi"/>
                <w:color w:val="000000"/>
                <w:sz w:val="22"/>
                <w:szCs w:val="22"/>
              </w:rPr>
              <w:t xml:space="preserve"> </w:t>
            </w:r>
          </w:p>
          <w:p w14:paraId="23661AB9" w14:textId="32CD072F" w:rsidR="00BA05B2" w:rsidRPr="00BE4828" w:rsidRDefault="00BA05B2" w:rsidP="00BA05B2">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For Child 13–17 years (</w:t>
            </w:r>
            <w:r w:rsidR="00BC07DF" w:rsidRPr="00BE4828">
              <w:rPr>
                <w:rFonts w:asciiTheme="minorHAnsi" w:eastAsiaTheme="minorHAnsi" w:hAnsiTheme="minorHAnsi" w:cstheme="minorHAnsi"/>
                <w:color w:val="000000"/>
                <w:sz w:val="22"/>
                <w:szCs w:val="22"/>
              </w:rPr>
              <w:t>body weight</w:t>
            </w:r>
            <w:r w:rsidRPr="00BE4828">
              <w:rPr>
                <w:rFonts w:asciiTheme="minorHAnsi" w:eastAsiaTheme="minorHAnsi" w:hAnsiTheme="minorHAnsi" w:cstheme="minorHAnsi"/>
                <w:color w:val="000000"/>
                <w:sz w:val="22"/>
                <w:szCs w:val="22"/>
              </w:rPr>
              <w:t xml:space="preserve"> 34–41.4 kg) </w:t>
            </w:r>
          </w:p>
          <w:p w14:paraId="7746260F" w14:textId="77777777" w:rsidR="00231324" w:rsidRPr="00BE4828" w:rsidRDefault="00231324" w:rsidP="00231324">
            <w:pPr>
              <w:autoSpaceDE w:val="0"/>
              <w:autoSpaceDN w:val="0"/>
              <w:adjustRightInd w:val="0"/>
              <w:spacing w:after="0"/>
              <w:rPr>
                <w:rFonts w:asciiTheme="minorHAnsi" w:eastAsiaTheme="minorHAnsi" w:hAnsiTheme="minorHAnsi" w:cstheme="minorHAnsi"/>
                <w:color w:val="000000"/>
                <w:sz w:val="22"/>
                <w:szCs w:val="22"/>
              </w:rPr>
            </w:pPr>
          </w:p>
          <w:p w14:paraId="592EF4D9" w14:textId="77777777" w:rsidR="00231324" w:rsidRPr="00BE4828" w:rsidRDefault="00231324" w:rsidP="0023132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lastRenderedPageBreak/>
              <w:t>Initially 1 mg once daily; adjusted in steps of 1 mg every week if necessary and if tolerated; maintenance 0.05–0.12 mg/kg once daily (max. per dose 4 mg), for optimal weight-adjusted dose titrations, consult product literature.</w:t>
            </w:r>
          </w:p>
          <w:p w14:paraId="6ACB6E3A" w14:textId="77777777" w:rsidR="00231324" w:rsidRPr="00BE4828" w:rsidRDefault="00231324" w:rsidP="00231324">
            <w:pPr>
              <w:autoSpaceDE w:val="0"/>
              <w:autoSpaceDN w:val="0"/>
              <w:adjustRightInd w:val="0"/>
              <w:spacing w:after="0"/>
              <w:rPr>
                <w:rFonts w:asciiTheme="minorHAnsi" w:eastAsiaTheme="minorHAnsi" w:hAnsiTheme="minorHAnsi" w:cstheme="minorHAnsi"/>
                <w:color w:val="000000"/>
                <w:sz w:val="22"/>
                <w:szCs w:val="22"/>
              </w:rPr>
            </w:pPr>
          </w:p>
          <w:p w14:paraId="1950A4E1" w14:textId="3B0BC850" w:rsidR="00231324" w:rsidRPr="00BE4828" w:rsidRDefault="00231324" w:rsidP="0023132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For Child 13–17 years (</w:t>
            </w:r>
            <w:r w:rsidR="00BC07DF" w:rsidRPr="00BE4828">
              <w:rPr>
                <w:rFonts w:asciiTheme="minorHAnsi" w:eastAsiaTheme="minorHAnsi" w:hAnsiTheme="minorHAnsi" w:cstheme="minorHAnsi"/>
                <w:color w:val="000000"/>
                <w:sz w:val="22"/>
                <w:szCs w:val="22"/>
              </w:rPr>
              <w:t>body weight</w:t>
            </w:r>
            <w:r w:rsidRPr="00BE4828">
              <w:rPr>
                <w:rFonts w:asciiTheme="minorHAnsi" w:eastAsiaTheme="minorHAnsi" w:hAnsiTheme="minorHAnsi" w:cstheme="minorHAnsi"/>
                <w:color w:val="000000"/>
                <w:sz w:val="22"/>
                <w:szCs w:val="22"/>
              </w:rPr>
              <w:t xml:space="preserve"> 41.5–49.4 kg) </w:t>
            </w:r>
          </w:p>
          <w:p w14:paraId="45D1FE51" w14:textId="2083986C" w:rsidR="00231324" w:rsidRPr="00BE4828" w:rsidRDefault="00BA05B2" w:rsidP="0023132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 xml:space="preserve">Follow the above principle but the max. per dose can be up to 5mg. </w:t>
            </w:r>
          </w:p>
          <w:p w14:paraId="02DD9360" w14:textId="77777777" w:rsidR="00231324" w:rsidRPr="00BE4828" w:rsidRDefault="00231324" w:rsidP="00231324">
            <w:pPr>
              <w:autoSpaceDE w:val="0"/>
              <w:autoSpaceDN w:val="0"/>
              <w:adjustRightInd w:val="0"/>
              <w:spacing w:after="0"/>
              <w:rPr>
                <w:rFonts w:asciiTheme="minorHAnsi" w:eastAsiaTheme="minorHAnsi" w:hAnsiTheme="minorHAnsi" w:cstheme="minorHAnsi"/>
                <w:color w:val="000000"/>
                <w:sz w:val="22"/>
                <w:szCs w:val="22"/>
              </w:rPr>
            </w:pPr>
          </w:p>
          <w:p w14:paraId="096B6D3F" w14:textId="5B22E6D2" w:rsidR="00231324" w:rsidRPr="00BE4828" w:rsidRDefault="00BA05B2" w:rsidP="0023132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 xml:space="preserve">And </w:t>
            </w:r>
            <w:r w:rsidR="00231324" w:rsidRPr="00BE4828">
              <w:rPr>
                <w:rFonts w:asciiTheme="minorHAnsi" w:eastAsiaTheme="minorHAnsi" w:hAnsiTheme="minorHAnsi" w:cstheme="minorHAnsi"/>
                <w:color w:val="000000"/>
                <w:sz w:val="22"/>
                <w:szCs w:val="22"/>
              </w:rPr>
              <w:t>For Child 13–17 years (</w:t>
            </w:r>
            <w:r w:rsidR="00BC07DF" w:rsidRPr="00BE4828">
              <w:rPr>
                <w:rFonts w:asciiTheme="minorHAnsi" w:eastAsiaTheme="minorHAnsi" w:hAnsiTheme="minorHAnsi" w:cstheme="minorHAnsi"/>
                <w:color w:val="000000"/>
                <w:sz w:val="22"/>
                <w:szCs w:val="22"/>
              </w:rPr>
              <w:t>body weight</w:t>
            </w:r>
            <w:r w:rsidR="00231324" w:rsidRPr="00BE4828">
              <w:rPr>
                <w:rFonts w:asciiTheme="minorHAnsi" w:eastAsiaTheme="minorHAnsi" w:hAnsiTheme="minorHAnsi" w:cstheme="minorHAnsi"/>
                <w:color w:val="000000"/>
                <w:sz w:val="22"/>
                <w:szCs w:val="22"/>
              </w:rPr>
              <w:t xml:space="preserve"> 49.5–58.4 kg)</w:t>
            </w:r>
            <w:r w:rsidRPr="00BE4828">
              <w:rPr>
                <w:rFonts w:asciiTheme="minorHAnsi" w:eastAsiaTheme="minorHAnsi" w:hAnsiTheme="minorHAnsi" w:cstheme="minorHAnsi"/>
                <w:color w:val="000000"/>
                <w:sz w:val="22"/>
                <w:szCs w:val="22"/>
              </w:rPr>
              <w:t xml:space="preserve"> up to 6mg </w:t>
            </w:r>
          </w:p>
          <w:p w14:paraId="4133EDAD" w14:textId="77777777" w:rsidR="00BA05B2" w:rsidRPr="00BE4828" w:rsidRDefault="00BA05B2" w:rsidP="00231324">
            <w:pPr>
              <w:autoSpaceDE w:val="0"/>
              <w:autoSpaceDN w:val="0"/>
              <w:adjustRightInd w:val="0"/>
              <w:spacing w:after="0"/>
              <w:rPr>
                <w:rFonts w:asciiTheme="minorHAnsi" w:eastAsiaTheme="minorHAnsi" w:hAnsiTheme="minorHAnsi" w:cstheme="minorHAnsi"/>
                <w:color w:val="000000"/>
                <w:sz w:val="22"/>
                <w:szCs w:val="22"/>
              </w:rPr>
            </w:pPr>
          </w:p>
          <w:p w14:paraId="794AB32C" w14:textId="77777777" w:rsidR="00231324" w:rsidRPr="00BE4828" w:rsidRDefault="00231324" w:rsidP="00231324">
            <w:pPr>
              <w:autoSpaceDE w:val="0"/>
              <w:autoSpaceDN w:val="0"/>
              <w:adjustRightInd w:val="0"/>
              <w:spacing w:after="0"/>
              <w:rPr>
                <w:rFonts w:asciiTheme="minorHAnsi" w:eastAsiaTheme="minorHAnsi" w:hAnsiTheme="minorHAnsi" w:cstheme="minorHAnsi"/>
                <w:color w:val="000000"/>
                <w:sz w:val="22"/>
                <w:szCs w:val="22"/>
              </w:rPr>
            </w:pPr>
          </w:p>
          <w:p w14:paraId="7859F5F4" w14:textId="7F37EDDB" w:rsidR="00231324" w:rsidRPr="00BE4828" w:rsidRDefault="00BA05B2" w:rsidP="00231324">
            <w:pPr>
              <w:autoSpaceDE w:val="0"/>
              <w:autoSpaceDN w:val="0"/>
              <w:adjustRightInd w:val="0"/>
              <w:spacing w:after="0"/>
              <w:rPr>
                <w:rFonts w:asciiTheme="minorHAnsi" w:eastAsiaTheme="minorHAnsi" w:hAnsiTheme="minorHAnsi" w:cstheme="minorHAnsi"/>
                <w:color w:val="000000"/>
                <w:sz w:val="22"/>
                <w:szCs w:val="22"/>
              </w:rPr>
            </w:pPr>
            <w:r w:rsidRPr="00BE4828">
              <w:rPr>
                <w:rFonts w:asciiTheme="minorHAnsi" w:eastAsiaTheme="minorHAnsi" w:hAnsiTheme="minorHAnsi" w:cstheme="minorHAnsi"/>
                <w:color w:val="000000"/>
                <w:sz w:val="22"/>
                <w:szCs w:val="22"/>
              </w:rPr>
              <w:t xml:space="preserve">And </w:t>
            </w:r>
            <w:r w:rsidR="00231324" w:rsidRPr="00BE4828">
              <w:rPr>
                <w:rFonts w:asciiTheme="minorHAnsi" w:eastAsiaTheme="minorHAnsi" w:hAnsiTheme="minorHAnsi" w:cstheme="minorHAnsi"/>
                <w:color w:val="000000"/>
                <w:sz w:val="22"/>
                <w:szCs w:val="22"/>
              </w:rPr>
              <w:t>For Child 13–17 years (</w:t>
            </w:r>
            <w:r w:rsidR="00BC07DF" w:rsidRPr="00BE4828">
              <w:rPr>
                <w:rFonts w:asciiTheme="minorHAnsi" w:eastAsiaTheme="minorHAnsi" w:hAnsiTheme="minorHAnsi" w:cstheme="minorHAnsi"/>
                <w:color w:val="000000"/>
                <w:sz w:val="22"/>
                <w:szCs w:val="22"/>
              </w:rPr>
              <w:t>body weight</w:t>
            </w:r>
            <w:r w:rsidR="00231324" w:rsidRPr="00BE4828">
              <w:rPr>
                <w:rFonts w:asciiTheme="minorHAnsi" w:eastAsiaTheme="minorHAnsi" w:hAnsiTheme="minorHAnsi" w:cstheme="minorHAnsi"/>
                <w:color w:val="000000"/>
                <w:sz w:val="22"/>
                <w:szCs w:val="22"/>
              </w:rPr>
              <w:t xml:space="preserve"> 58.5 kg and above) </w:t>
            </w:r>
            <w:r w:rsidRPr="00BE4828">
              <w:rPr>
                <w:rFonts w:asciiTheme="minorHAnsi" w:eastAsiaTheme="minorHAnsi" w:hAnsiTheme="minorHAnsi" w:cstheme="minorHAnsi"/>
                <w:color w:val="000000"/>
                <w:sz w:val="22"/>
                <w:szCs w:val="22"/>
              </w:rPr>
              <w:t>up to 7mg.</w:t>
            </w:r>
          </w:p>
          <w:p w14:paraId="2E3D8ED9" w14:textId="77777777" w:rsidR="00231324" w:rsidRPr="00BE4828" w:rsidRDefault="00231324" w:rsidP="00231324">
            <w:pPr>
              <w:autoSpaceDE w:val="0"/>
              <w:autoSpaceDN w:val="0"/>
              <w:adjustRightInd w:val="0"/>
              <w:spacing w:after="0"/>
              <w:rPr>
                <w:rFonts w:asciiTheme="minorHAnsi" w:eastAsiaTheme="minorHAnsi" w:hAnsiTheme="minorHAnsi" w:cstheme="minorHAnsi"/>
                <w:color w:val="000000"/>
                <w:sz w:val="22"/>
                <w:szCs w:val="22"/>
              </w:rPr>
            </w:pPr>
          </w:p>
          <w:p w14:paraId="03633231" w14:textId="77777777" w:rsidR="00B111D6" w:rsidRPr="00BE4828" w:rsidRDefault="00B111D6" w:rsidP="00231324">
            <w:pPr>
              <w:autoSpaceDE w:val="0"/>
              <w:autoSpaceDN w:val="0"/>
              <w:adjustRightInd w:val="0"/>
              <w:spacing w:after="0"/>
              <w:rPr>
                <w:rFonts w:asciiTheme="minorHAnsi" w:eastAsiaTheme="minorHAnsi" w:hAnsiTheme="minorHAnsi" w:cstheme="minorHAnsi"/>
                <w:color w:val="000000"/>
                <w:sz w:val="22"/>
                <w:szCs w:val="22"/>
              </w:rPr>
            </w:pPr>
          </w:p>
          <w:p w14:paraId="3BE54CF7" w14:textId="77777777" w:rsidR="00B111D6" w:rsidRPr="00BE4828" w:rsidRDefault="00B111D6" w:rsidP="00231324">
            <w:pPr>
              <w:autoSpaceDE w:val="0"/>
              <w:autoSpaceDN w:val="0"/>
              <w:adjustRightInd w:val="0"/>
              <w:spacing w:after="0"/>
              <w:rPr>
                <w:sz w:val="22"/>
                <w:szCs w:val="22"/>
              </w:rPr>
            </w:pPr>
            <w:r w:rsidRPr="00BE4828">
              <w:rPr>
                <w:sz w:val="22"/>
                <w:szCs w:val="22"/>
              </w:rPr>
              <w:t>Missed Dose:1 In the event of missed dose, Intuniv® dosing can resume the next day. If two or more consecutive doses are missed, re-titration is recommended based on the patient’s tolerability to guanfacine.</w:t>
            </w:r>
          </w:p>
          <w:p w14:paraId="68C235BC" w14:textId="3A440683" w:rsidR="00B24E99" w:rsidRPr="00BE4828" w:rsidRDefault="00B24E99" w:rsidP="00231324">
            <w:pPr>
              <w:autoSpaceDE w:val="0"/>
              <w:autoSpaceDN w:val="0"/>
              <w:adjustRightInd w:val="0"/>
              <w:spacing w:after="0"/>
              <w:rPr>
                <w:sz w:val="22"/>
                <w:szCs w:val="22"/>
              </w:rPr>
            </w:pPr>
          </w:p>
          <w:p w14:paraId="1C85D52C" w14:textId="77777777" w:rsidR="00B24E99" w:rsidRPr="00BE4828" w:rsidRDefault="00B24E99" w:rsidP="00231324">
            <w:pPr>
              <w:autoSpaceDE w:val="0"/>
              <w:autoSpaceDN w:val="0"/>
              <w:adjustRightInd w:val="0"/>
              <w:spacing w:after="0"/>
              <w:rPr>
                <w:sz w:val="22"/>
                <w:szCs w:val="22"/>
              </w:rPr>
            </w:pPr>
          </w:p>
          <w:p w14:paraId="64F1D7F0" w14:textId="44B5EDDF" w:rsidR="00B24E99" w:rsidRPr="00BE4828" w:rsidRDefault="00A80187" w:rsidP="00231324">
            <w:pPr>
              <w:autoSpaceDE w:val="0"/>
              <w:autoSpaceDN w:val="0"/>
              <w:adjustRightInd w:val="0"/>
              <w:spacing w:after="0"/>
              <w:rPr>
                <w:rFonts w:asciiTheme="minorHAnsi" w:eastAsiaTheme="minorHAnsi" w:hAnsiTheme="minorHAnsi" w:cstheme="minorHAnsi"/>
                <w:color w:val="000000"/>
                <w:sz w:val="22"/>
                <w:szCs w:val="22"/>
              </w:rPr>
            </w:pPr>
            <w:r w:rsidRPr="00BE4828">
              <w:rPr>
                <w:sz w:val="22"/>
                <w:szCs w:val="22"/>
              </w:rPr>
              <w:t xml:space="preserve">Downward titration and discontinuation:1 Blood pressure and pulse may increase following discontinuation of guanfacine, and should be monitored in all patients during dose downward titration. (Dose reduction of no more than 1mg every 3 to 7 days). Taper Intuniv® dosing during withdrawal is recommended to minimise these potential withdrawal effects. </w:t>
            </w:r>
            <w:r w:rsidRPr="00BE4828">
              <w:rPr>
                <w:b/>
                <w:bCs/>
                <w:sz w:val="22"/>
                <w:szCs w:val="22"/>
              </w:rPr>
              <w:t>Patients/caregivers should be instructed not to discontinue guanfacine without consulting their physician</w:t>
            </w:r>
            <w:r w:rsidRPr="00BE4828">
              <w:rPr>
                <w:sz w:val="22"/>
                <w:szCs w:val="22"/>
              </w:rPr>
              <w:t>.</w:t>
            </w:r>
          </w:p>
        </w:tc>
      </w:tr>
    </w:tbl>
    <w:p w14:paraId="38D796E2" w14:textId="77777777" w:rsidR="00DB4CF4" w:rsidRPr="00751648" w:rsidRDefault="00DB4CF4" w:rsidP="009569D9">
      <w:pPr>
        <w:pStyle w:val="NCLBodyText"/>
      </w:pPr>
    </w:p>
    <w:p w14:paraId="258E1C4F" w14:textId="77777777" w:rsidR="00CC34C1" w:rsidRPr="00751648" w:rsidRDefault="00B33F10" w:rsidP="00B33F10">
      <w:pPr>
        <w:pStyle w:val="NCLHeading1"/>
        <w:numPr>
          <w:ilvl w:val="0"/>
          <w:numId w:val="0"/>
        </w:numPr>
        <w:tabs>
          <w:tab w:val="left" w:pos="567"/>
        </w:tabs>
      </w:pPr>
      <w:bookmarkStart w:id="14" w:name="_Toc3556227"/>
      <w:bookmarkStart w:id="15" w:name="_Toc3556261"/>
      <w:bookmarkStart w:id="16" w:name="_Toc42095045"/>
      <w:bookmarkEnd w:id="14"/>
      <w:bookmarkEnd w:id="15"/>
      <w:r w:rsidRPr="00751648">
        <w:t xml:space="preserve">6. </w:t>
      </w:r>
      <w:r w:rsidRPr="00751648">
        <w:tab/>
      </w:r>
      <w:r w:rsidR="00CC34C1" w:rsidRPr="00751648">
        <w:t>Adverse effects</w:t>
      </w:r>
      <w:bookmarkEnd w:id="16"/>
    </w:p>
    <w:p w14:paraId="57E0BCFE" w14:textId="77777777" w:rsidR="00CC34C1" w:rsidRPr="00751648" w:rsidRDefault="00CC34C1" w:rsidP="00CC34C1">
      <w:pPr>
        <w:pStyle w:val="NCLBodyText"/>
      </w:pPr>
      <w:r w:rsidRPr="00751648">
        <w:t xml:space="preserve">Possible adverse effects and what to do if they occur:  </w:t>
      </w:r>
    </w:p>
    <w:p w14:paraId="63BF4240" w14:textId="77777777" w:rsidR="007D7D4B" w:rsidRPr="00751648" w:rsidRDefault="007D7D4B" w:rsidP="00CC34C1">
      <w:pPr>
        <w:pStyle w:val="NCLBodyText"/>
        <w:rPr>
          <w:sz w:val="16"/>
          <w:szCs w:val="16"/>
        </w:rPr>
      </w:pPr>
    </w:p>
    <w:tbl>
      <w:tblPr>
        <w:tblW w:w="101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8"/>
        <w:gridCol w:w="5145"/>
        <w:gridCol w:w="28"/>
        <w:gridCol w:w="1088"/>
        <w:gridCol w:w="28"/>
        <w:gridCol w:w="3813"/>
      </w:tblGrid>
      <w:tr w:rsidR="007D7D4B" w:rsidRPr="008D2732" w14:paraId="3A1D7127" w14:textId="77777777" w:rsidTr="00B31C2B">
        <w:trPr>
          <w:trHeight w:val="138"/>
        </w:trPr>
        <w:tc>
          <w:tcPr>
            <w:tcW w:w="5173" w:type="dxa"/>
            <w:gridSpan w:val="2"/>
            <w:shd w:val="clear" w:color="auto" w:fill="D9D9D9" w:themeFill="background1" w:themeFillShade="D9"/>
          </w:tcPr>
          <w:p w14:paraId="3B5D7342"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b/>
                <w:bCs/>
                <w:color w:val="000000"/>
                <w:sz w:val="21"/>
                <w:szCs w:val="21"/>
              </w:rPr>
              <w:t>Adverse Effect</w:t>
            </w:r>
            <w:r w:rsidR="0089337F" w:rsidRPr="008D2732">
              <w:rPr>
                <w:rFonts w:asciiTheme="minorHAnsi" w:eastAsiaTheme="minorHAnsi" w:hAnsiTheme="minorHAnsi" w:cstheme="minorHAnsi"/>
                <w:b/>
                <w:bCs/>
                <w:color w:val="000000"/>
                <w:sz w:val="21"/>
                <w:szCs w:val="21"/>
              </w:rPr>
              <w:t>s include:</w:t>
            </w:r>
            <w:r w:rsidRPr="008D2732">
              <w:rPr>
                <w:rFonts w:asciiTheme="minorHAnsi" w:eastAsiaTheme="minorHAnsi" w:hAnsiTheme="minorHAnsi" w:cstheme="minorHAnsi"/>
                <w:b/>
                <w:bCs/>
                <w:color w:val="000000"/>
                <w:sz w:val="21"/>
                <w:szCs w:val="21"/>
              </w:rPr>
              <w:t xml:space="preserve"> </w:t>
            </w:r>
          </w:p>
        </w:tc>
        <w:tc>
          <w:tcPr>
            <w:tcW w:w="1116" w:type="dxa"/>
            <w:gridSpan w:val="2"/>
            <w:shd w:val="clear" w:color="auto" w:fill="D9D9D9" w:themeFill="background1" w:themeFillShade="D9"/>
          </w:tcPr>
          <w:p w14:paraId="0B1B74EF" w14:textId="56FFF881" w:rsidR="007D7D4B" w:rsidRPr="008D2732" w:rsidRDefault="00ED7BD3"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b/>
                <w:bCs/>
                <w:color w:val="000000"/>
                <w:sz w:val="21"/>
                <w:szCs w:val="21"/>
              </w:rPr>
              <w:t>Frequency of</w:t>
            </w:r>
            <w:r w:rsidR="0089337F" w:rsidRPr="008D2732">
              <w:rPr>
                <w:rFonts w:asciiTheme="minorHAnsi" w:eastAsiaTheme="minorHAnsi" w:hAnsiTheme="minorHAnsi" w:cstheme="minorHAnsi"/>
                <w:b/>
                <w:bCs/>
                <w:color w:val="000000"/>
                <w:sz w:val="21"/>
                <w:szCs w:val="21"/>
              </w:rPr>
              <w:t xml:space="preserve"> adverse effect</w:t>
            </w:r>
          </w:p>
        </w:tc>
        <w:tc>
          <w:tcPr>
            <w:tcW w:w="3841" w:type="dxa"/>
            <w:gridSpan w:val="2"/>
            <w:shd w:val="clear" w:color="auto" w:fill="D9D9D9" w:themeFill="background1" w:themeFillShade="D9"/>
          </w:tcPr>
          <w:p w14:paraId="3761B304"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b/>
                <w:bCs/>
                <w:color w:val="000000"/>
                <w:sz w:val="21"/>
                <w:szCs w:val="21"/>
              </w:rPr>
              <w:t xml:space="preserve">GP Management </w:t>
            </w:r>
          </w:p>
        </w:tc>
      </w:tr>
      <w:tr w:rsidR="007D7D4B" w:rsidRPr="008D2732" w14:paraId="61A97A19" w14:textId="77777777" w:rsidTr="00B31C2B">
        <w:trPr>
          <w:gridAfter w:val="4"/>
          <w:wAfter w:w="4957" w:type="dxa"/>
          <w:trHeight w:val="138"/>
        </w:trPr>
        <w:tc>
          <w:tcPr>
            <w:tcW w:w="5173" w:type="dxa"/>
            <w:gridSpan w:val="2"/>
            <w:shd w:val="clear" w:color="auto" w:fill="F2F2F2" w:themeFill="background1" w:themeFillShade="F2"/>
          </w:tcPr>
          <w:p w14:paraId="168AB0B3"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b/>
                <w:bCs/>
                <w:color w:val="000000"/>
                <w:sz w:val="21"/>
                <w:szCs w:val="21"/>
              </w:rPr>
              <w:t xml:space="preserve">METHYLPHENIDATE </w:t>
            </w:r>
          </w:p>
        </w:tc>
      </w:tr>
      <w:tr w:rsidR="007D7D4B" w:rsidRPr="008D2732" w14:paraId="712456B9" w14:textId="77777777" w:rsidTr="00B31C2B">
        <w:trPr>
          <w:trHeight w:val="478"/>
        </w:trPr>
        <w:tc>
          <w:tcPr>
            <w:tcW w:w="5173" w:type="dxa"/>
            <w:gridSpan w:val="2"/>
            <w:shd w:val="clear" w:color="auto" w:fill="FFFFFF" w:themeFill="background1"/>
          </w:tcPr>
          <w:p w14:paraId="3DBDFE54"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Nervousness and insomnia </w:t>
            </w:r>
          </w:p>
        </w:tc>
        <w:tc>
          <w:tcPr>
            <w:tcW w:w="1116" w:type="dxa"/>
            <w:gridSpan w:val="2"/>
            <w:shd w:val="clear" w:color="auto" w:fill="FFFFFF" w:themeFill="background1"/>
          </w:tcPr>
          <w:p w14:paraId="3CD2AFE9"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&gt;10% </w:t>
            </w:r>
          </w:p>
        </w:tc>
        <w:tc>
          <w:tcPr>
            <w:tcW w:w="3841" w:type="dxa"/>
            <w:gridSpan w:val="2"/>
            <w:shd w:val="clear" w:color="auto" w:fill="FFFFFF" w:themeFill="background1"/>
          </w:tcPr>
          <w:p w14:paraId="79B35DD9" w14:textId="0C56434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Review dose and/or omit afternoon/evening dose if using </w:t>
            </w:r>
            <w:r w:rsidR="0068173E" w:rsidRPr="008D2732">
              <w:rPr>
                <w:rFonts w:asciiTheme="minorHAnsi" w:eastAsiaTheme="minorHAnsi" w:hAnsiTheme="minorHAnsi" w:cstheme="minorHAnsi"/>
                <w:color w:val="000000"/>
                <w:sz w:val="21"/>
                <w:szCs w:val="21"/>
              </w:rPr>
              <w:t xml:space="preserve">a three times daily dosing </w:t>
            </w:r>
            <w:r w:rsidR="00ED7BD3" w:rsidRPr="008D2732">
              <w:rPr>
                <w:rFonts w:asciiTheme="minorHAnsi" w:eastAsiaTheme="minorHAnsi" w:hAnsiTheme="minorHAnsi" w:cstheme="minorHAnsi"/>
                <w:color w:val="000000"/>
                <w:sz w:val="21"/>
                <w:szCs w:val="21"/>
              </w:rPr>
              <w:t>regimen</w:t>
            </w:r>
            <w:r w:rsidRPr="008D2732">
              <w:rPr>
                <w:rFonts w:asciiTheme="minorHAnsi" w:eastAsiaTheme="minorHAnsi" w:hAnsiTheme="minorHAnsi" w:cstheme="minorHAnsi"/>
                <w:color w:val="000000"/>
                <w:sz w:val="21"/>
                <w:szCs w:val="21"/>
              </w:rPr>
              <w:t xml:space="preserve"> - refer to specialist for advice. </w:t>
            </w:r>
          </w:p>
        </w:tc>
      </w:tr>
      <w:tr w:rsidR="007D7D4B" w:rsidRPr="008D2732" w14:paraId="2A71F3F2" w14:textId="77777777" w:rsidTr="00B31C2B">
        <w:trPr>
          <w:trHeight w:val="476"/>
        </w:trPr>
        <w:tc>
          <w:tcPr>
            <w:tcW w:w="5173" w:type="dxa"/>
            <w:gridSpan w:val="2"/>
            <w:shd w:val="clear" w:color="auto" w:fill="FFFFFF" w:themeFill="background1"/>
          </w:tcPr>
          <w:p w14:paraId="1A1FF204"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Decreased appetite </w:t>
            </w:r>
          </w:p>
        </w:tc>
        <w:tc>
          <w:tcPr>
            <w:tcW w:w="1116" w:type="dxa"/>
            <w:gridSpan w:val="2"/>
            <w:shd w:val="clear" w:color="auto" w:fill="FFFFFF" w:themeFill="background1"/>
          </w:tcPr>
          <w:p w14:paraId="56945234"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1-10% </w:t>
            </w:r>
          </w:p>
        </w:tc>
        <w:tc>
          <w:tcPr>
            <w:tcW w:w="3841" w:type="dxa"/>
            <w:gridSpan w:val="2"/>
            <w:shd w:val="clear" w:color="auto" w:fill="FFFFFF" w:themeFill="background1"/>
          </w:tcPr>
          <w:p w14:paraId="13226B10"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Usually transient. Try taking medicine with food if it persists. Refer to specialist for advice if continues </w:t>
            </w:r>
          </w:p>
        </w:tc>
      </w:tr>
      <w:tr w:rsidR="007D7D4B" w:rsidRPr="008D2732" w14:paraId="4017DD95" w14:textId="77777777" w:rsidTr="00B31C2B">
        <w:trPr>
          <w:trHeight w:val="247"/>
        </w:trPr>
        <w:tc>
          <w:tcPr>
            <w:tcW w:w="5173" w:type="dxa"/>
            <w:gridSpan w:val="2"/>
            <w:shd w:val="clear" w:color="auto" w:fill="FFFFFF" w:themeFill="background1"/>
          </w:tcPr>
          <w:p w14:paraId="70A8480E"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Headache, drowsiness, dizziness </w:t>
            </w:r>
          </w:p>
        </w:tc>
        <w:tc>
          <w:tcPr>
            <w:tcW w:w="1116" w:type="dxa"/>
            <w:gridSpan w:val="2"/>
            <w:shd w:val="clear" w:color="auto" w:fill="FFFFFF" w:themeFill="background1"/>
          </w:tcPr>
          <w:p w14:paraId="02E12352"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1-10% </w:t>
            </w:r>
          </w:p>
        </w:tc>
        <w:tc>
          <w:tcPr>
            <w:tcW w:w="3841" w:type="dxa"/>
            <w:gridSpan w:val="2"/>
            <w:shd w:val="clear" w:color="auto" w:fill="FFFFFF" w:themeFill="background1"/>
          </w:tcPr>
          <w:p w14:paraId="1214B95D"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Refer to specialist for advice if continues </w:t>
            </w:r>
          </w:p>
        </w:tc>
      </w:tr>
      <w:tr w:rsidR="007D7D4B" w:rsidRPr="008D2732" w14:paraId="48D19BB7" w14:textId="77777777" w:rsidTr="00B31C2B">
        <w:trPr>
          <w:trHeight w:val="476"/>
        </w:trPr>
        <w:tc>
          <w:tcPr>
            <w:tcW w:w="5173" w:type="dxa"/>
            <w:gridSpan w:val="2"/>
            <w:shd w:val="clear" w:color="auto" w:fill="FFFFFF" w:themeFill="background1"/>
          </w:tcPr>
          <w:p w14:paraId="6E9C81D4"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Abdominal pain, diarrhoea, nausea &amp; vomiting, dry mouth, dyspepsia </w:t>
            </w:r>
          </w:p>
        </w:tc>
        <w:tc>
          <w:tcPr>
            <w:tcW w:w="1116" w:type="dxa"/>
            <w:gridSpan w:val="2"/>
            <w:shd w:val="clear" w:color="auto" w:fill="FFFFFF" w:themeFill="background1"/>
          </w:tcPr>
          <w:p w14:paraId="052DA704"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1-10% </w:t>
            </w:r>
          </w:p>
        </w:tc>
        <w:tc>
          <w:tcPr>
            <w:tcW w:w="3841" w:type="dxa"/>
            <w:gridSpan w:val="2"/>
            <w:shd w:val="clear" w:color="auto" w:fill="FFFFFF" w:themeFill="background1"/>
          </w:tcPr>
          <w:p w14:paraId="436D07D0"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Occurs at initiation. May be alleviated by concomitant food intake. Refer to specialist for advice if continues </w:t>
            </w:r>
          </w:p>
        </w:tc>
      </w:tr>
      <w:tr w:rsidR="007D7D4B" w:rsidRPr="008D2732" w14:paraId="2EBDBF3C" w14:textId="77777777" w:rsidTr="00B31C2B">
        <w:trPr>
          <w:trHeight w:val="937"/>
        </w:trPr>
        <w:tc>
          <w:tcPr>
            <w:tcW w:w="5173" w:type="dxa"/>
            <w:gridSpan w:val="2"/>
            <w:shd w:val="clear" w:color="auto" w:fill="FFFFFF" w:themeFill="background1"/>
          </w:tcPr>
          <w:p w14:paraId="2C4F9D90"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lastRenderedPageBreak/>
              <w:t xml:space="preserve">Tachycardia, arrhythmia, palpitations, hypertension </w:t>
            </w:r>
          </w:p>
        </w:tc>
        <w:tc>
          <w:tcPr>
            <w:tcW w:w="1116" w:type="dxa"/>
            <w:gridSpan w:val="2"/>
            <w:shd w:val="clear" w:color="auto" w:fill="FFFFFF" w:themeFill="background1"/>
          </w:tcPr>
          <w:p w14:paraId="055C6E3D"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1-10% </w:t>
            </w:r>
          </w:p>
        </w:tc>
        <w:tc>
          <w:tcPr>
            <w:tcW w:w="3841" w:type="dxa"/>
            <w:gridSpan w:val="2"/>
            <w:shd w:val="clear" w:color="auto" w:fill="FFFFFF" w:themeFill="background1"/>
          </w:tcPr>
          <w:p w14:paraId="45FDD43B" w14:textId="77777777" w:rsidR="00243C7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Monitor. Consider reducing or discontinuing the medication in light of clinical findings. Further investigations should be considered (including ECG, 24 hour BP and 24 hour ECG. </w:t>
            </w:r>
          </w:p>
          <w:p w14:paraId="35C3AC82"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Consider referral to cardiology/ specialist physician. </w:t>
            </w:r>
          </w:p>
        </w:tc>
      </w:tr>
      <w:tr w:rsidR="007D7D4B" w:rsidRPr="008D2732" w14:paraId="41819AE8" w14:textId="77777777" w:rsidTr="00B31C2B">
        <w:trPr>
          <w:trHeight w:val="247"/>
        </w:trPr>
        <w:tc>
          <w:tcPr>
            <w:tcW w:w="5173" w:type="dxa"/>
            <w:gridSpan w:val="2"/>
            <w:shd w:val="clear" w:color="auto" w:fill="FFFFFF" w:themeFill="background1"/>
          </w:tcPr>
          <w:p w14:paraId="405E29A1"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Tic, aggression, anxiety, irritability </w:t>
            </w:r>
          </w:p>
        </w:tc>
        <w:tc>
          <w:tcPr>
            <w:tcW w:w="1116" w:type="dxa"/>
            <w:gridSpan w:val="2"/>
            <w:shd w:val="clear" w:color="auto" w:fill="FFFFFF" w:themeFill="background1"/>
          </w:tcPr>
          <w:p w14:paraId="776FCE3E"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1-10% </w:t>
            </w:r>
          </w:p>
        </w:tc>
        <w:tc>
          <w:tcPr>
            <w:tcW w:w="3841" w:type="dxa"/>
            <w:gridSpan w:val="2"/>
            <w:shd w:val="clear" w:color="auto" w:fill="FFFFFF" w:themeFill="background1"/>
          </w:tcPr>
          <w:p w14:paraId="174808AD" w14:textId="7E3CC58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Consider discontinuing if tics develop. Refer to specialist. </w:t>
            </w:r>
          </w:p>
        </w:tc>
      </w:tr>
      <w:tr w:rsidR="007D7D4B" w:rsidRPr="008D2732" w14:paraId="209EA2F9" w14:textId="77777777" w:rsidTr="00B31C2B">
        <w:trPr>
          <w:trHeight w:val="362"/>
        </w:trPr>
        <w:tc>
          <w:tcPr>
            <w:tcW w:w="5173" w:type="dxa"/>
            <w:gridSpan w:val="2"/>
            <w:shd w:val="clear" w:color="auto" w:fill="FFFFFF" w:themeFill="background1"/>
          </w:tcPr>
          <w:p w14:paraId="242089C1" w14:textId="722E88A3"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Drug induced </w:t>
            </w:r>
            <w:r w:rsidR="00ED7BD3" w:rsidRPr="008D2732">
              <w:rPr>
                <w:rFonts w:asciiTheme="minorHAnsi" w:eastAsiaTheme="minorHAnsi" w:hAnsiTheme="minorHAnsi" w:cstheme="minorHAnsi"/>
                <w:color w:val="000000"/>
                <w:sz w:val="21"/>
                <w:szCs w:val="21"/>
              </w:rPr>
              <w:t>psychosis, depression</w:t>
            </w:r>
            <w:r w:rsidRPr="008D2732">
              <w:rPr>
                <w:rFonts w:asciiTheme="minorHAnsi" w:eastAsiaTheme="minorHAnsi" w:hAnsiTheme="minorHAnsi" w:cstheme="minorHAnsi"/>
                <w:color w:val="000000"/>
                <w:sz w:val="21"/>
                <w:szCs w:val="21"/>
              </w:rPr>
              <w:t xml:space="preserve">, mood swings </w:t>
            </w:r>
          </w:p>
        </w:tc>
        <w:tc>
          <w:tcPr>
            <w:tcW w:w="1116" w:type="dxa"/>
            <w:gridSpan w:val="2"/>
            <w:shd w:val="clear" w:color="auto" w:fill="FFFFFF" w:themeFill="background1"/>
          </w:tcPr>
          <w:p w14:paraId="0F5171EE"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&lt; 1% </w:t>
            </w:r>
          </w:p>
        </w:tc>
        <w:tc>
          <w:tcPr>
            <w:tcW w:w="3841" w:type="dxa"/>
            <w:gridSpan w:val="2"/>
            <w:shd w:val="clear" w:color="auto" w:fill="FFFFFF" w:themeFill="background1"/>
          </w:tcPr>
          <w:p w14:paraId="428C6F82" w14:textId="5CB04C02"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Consider discontinuing. </w:t>
            </w:r>
            <w:r w:rsidR="00ED7BD3" w:rsidRPr="008D2732">
              <w:rPr>
                <w:rFonts w:asciiTheme="minorHAnsi" w:eastAsiaTheme="minorHAnsi" w:hAnsiTheme="minorHAnsi" w:cstheme="minorHAnsi"/>
                <w:color w:val="000000"/>
                <w:sz w:val="21"/>
                <w:szCs w:val="21"/>
              </w:rPr>
              <w:t>Refer</w:t>
            </w:r>
            <w:r w:rsidRPr="008D2732">
              <w:rPr>
                <w:rFonts w:asciiTheme="minorHAnsi" w:eastAsiaTheme="minorHAnsi" w:hAnsiTheme="minorHAnsi" w:cstheme="minorHAnsi"/>
                <w:color w:val="000000"/>
                <w:sz w:val="21"/>
                <w:szCs w:val="21"/>
              </w:rPr>
              <w:t xml:space="preserve"> to specialist. </w:t>
            </w:r>
          </w:p>
        </w:tc>
      </w:tr>
      <w:tr w:rsidR="007D7D4B" w:rsidRPr="008D2732" w14:paraId="0375EEA9" w14:textId="77777777" w:rsidTr="00B31C2B">
        <w:trPr>
          <w:gridAfter w:val="4"/>
          <w:wAfter w:w="4957" w:type="dxa"/>
          <w:trHeight w:val="138"/>
        </w:trPr>
        <w:tc>
          <w:tcPr>
            <w:tcW w:w="5173" w:type="dxa"/>
            <w:gridSpan w:val="2"/>
            <w:shd w:val="clear" w:color="auto" w:fill="F2F2F2" w:themeFill="background1" w:themeFillShade="F2"/>
          </w:tcPr>
          <w:p w14:paraId="00DEEEA5" w14:textId="53F50690"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b/>
                <w:bCs/>
                <w:color w:val="000000"/>
                <w:sz w:val="21"/>
                <w:szCs w:val="21"/>
              </w:rPr>
              <w:t xml:space="preserve">DEXAMFETAMINE </w:t>
            </w:r>
          </w:p>
        </w:tc>
      </w:tr>
      <w:tr w:rsidR="007D7D4B" w:rsidRPr="008D2732" w14:paraId="078634F7" w14:textId="77777777" w:rsidTr="00B31C2B">
        <w:trPr>
          <w:trHeight w:val="476"/>
        </w:trPr>
        <w:tc>
          <w:tcPr>
            <w:tcW w:w="5173" w:type="dxa"/>
            <w:gridSpan w:val="2"/>
            <w:shd w:val="clear" w:color="auto" w:fill="FFFFFF" w:themeFill="background1"/>
          </w:tcPr>
          <w:p w14:paraId="5E517E25"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Aggressive behaviour, anxiety, confusion, delirium, depression, euphoria, insomnia, irritability, tics, night tremors </w:t>
            </w:r>
          </w:p>
        </w:tc>
        <w:tc>
          <w:tcPr>
            <w:tcW w:w="1116" w:type="dxa"/>
            <w:gridSpan w:val="2"/>
            <w:shd w:val="clear" w:color="auto" w:fill="FFFFFF" w:themeFill="background1"/>
          </w:tcPr>
          <w:p w14:paraId="776131FB"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Not stated </w:t>
            </w:r>
          </w:p>
        </w:tc>
        <w:tc>
          <w:tcPr>
            <w:tcW w:w="3841" w:type="dxa"/>
            <w:gridSpan w:val="2"/>
            <w:shd w:val="clear" w:color="auto" w:fill="FFFFFF" w:themeFill="background1"/>
          </w:tcPr>
          <w:p w14:paraId="66C75148" w14:textId="091FD7CB"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Reduce dose &amp; ensure not given too near bedtime. Consider discontinuing if tics develop. </w:t>
            </w:r>
            <w:r w:rsidR="00ED7BD3" w:rsidRPr="008D2732">
              <w:rPr>
                <w:rFonts w:asciiTheme="minorHAnsi" w:eastAsiaTheme="minorHAnsi" w:hAnsiTheme="minorHAnsi" w:cstheme="minorHAnsi"/>
                <w:color w:val="000000"/>
                <w:sz w:val="21"/>
                <w:szCs w:val="21"/>
              </w:rPr>
              <w:t>Refer</w:t>
            </w:r>
            <w:r w:rsidRPr="008D2732">
              <w:rPr>
                <w:rFonts w:asciiTheme="minorHAnsi" w:eastAsiaTheme="minorHAnsi" w:hAnsiTheme="minorHAnsi" w:cstheme="minorHAnsi"/>
                <w:color w:val="000000"/>
                <w:sz w:val="21"/>
                <w:szCs w:val="21"/>
              </w:rPr>
              <w:t xml:space="preserve"> to specialist. </w:t>
            </w:r>
          </w:p>
        </w:tc>
      </w:tr>
      <w:tr w:rsidR="007D7D4B" w:rsidRPr="008D2732" w14:paraId="2A929900" w14:textId="77777777" w:rsidTr="00B31C2B">
        <w:trPr>
          <w:trHeight w:val="247"/>
        </w:trPr>
        <w:tc>
          <w:tcPr>
            <w:tcW w:w="5173" w:type="dxa"/>
            <w:gridSpan w:val="2"/>
            <w:shd w:val="clear" w:color="auto" w:fill="FFFFFF" w:themeFill="background1"/>
          </w:tcPr>
          <w:p w14:paraId="42AA9A3B"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Paranoia, psychosis </w:t>
            </w:r>
          </w:p>
        </w:tc>
        <w:tc>
          <w:tcPr>
            <w:tcW w:w="1116" w:type="dxa"/>
            <w:gridSpan w:val="2"/>
            <w:shd w:val="clear" w:color="auto" w:fill="FFFFFF" w:themeFill="background1"/>
          </w:tcPr>
          <w:p w14:paraId="25EBB39C"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Not stated </w:t>
            </w:r>
          </w:p>
        </w:tc>
        <w:tc>
          <w:tcPr>
            <w:tcW w:w="3841" w:type="dxa"/>
            <w:gridSpan w:val="2"/>
            <w:shd w:val="clear" w:color="auto" w:fill="FFFFFF" w:themeFill="background1"/>
          </w:tcPr>
          <w:p w14:paraId="5E5629E8" w14:textId="76EBD92B"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Consider discontinuing. </w:t>
            </w:r>
            <w:r w:rsidR="00ED7BD3" w:rsidRPr="008D2732">
              <w:rPr>
                <w:rFonts w:asciiTheme="minorHAnsi" w:eastAsiaTheme="minorHAnsi" w:hAnsiTheme="minorHAnsi" w:cstheme="minorHAnsi"/>
                <w:color w:val="000000"/>
                <w:sz w:val="21"/>
                <w:szCs w:val="21"/>
              </w:rPr>
              <w:t>Refer</w:t>
            </w:r>
            <w:r w:rsidRPr="008D2732">
              <w:rPr>
                <w:rFonts w:asciiTheme="minorHAnsi" w:eastAsiaTheme="minorHAnsi" w:hAnsiTheme="minorHAnsi" w:cstheme="minorHAnsi"/>
                <w:color w:val="000000"/>
                <w:sz w:val="21"/>
                <w:szCs w:val="21"/>
              </w:rPr>
              <w:t xml:space="preserve"> to specialist. </w:t>
            </w:r>
          </w:p>
        </w:tc>
      </w:tr>
      <w:tr w:rsidR="007D7D4B" w:rsidRPr="008D2732" w14:paraId="3F887BC1" w14:textId="77777777" w:rsidTr="00B31C2B">
        <w:trPr>
          <w:trHeight w:val="707"/>
        </w:trPr>
        <w:tc>
          <w:tcPr>
            <w:tcW w:w="5173" w:type="dxa"/>
            <w:gridSpan w:val="2"/>
            <w:shd w:val="clear" w:color="auto" w:fill="FFFFFF" w:themeFill="background1"/>
          </w:tcPr>
          <w:p w14:paraId="5504682B"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Palpitations, tachycardia, change in blood pressure, cardiomyopathy, chest pain. </w:t>
            </w:r>
          </w:p>
        </w:tc>
        <w:tc>
          <w:tcPr>
            <w:tcW w:w="1116" w:type="dxa"/>
            <w:gridSpan w:val="2"/>
            <w:shd w:val="clear" w:color="auto" w:fill="FFFFFF" w:themeFill="background1"/>
          </w:tcPr>
          <w:p w14:paraId="251D2B4A"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Not stated </w:t>
            </w:r>
          </w:p>
        </w:tc>
        <w:tc>
          <w:tcPr>
            <w:tcW w:w="3841" w:type="dxa"/>
            <w:gridSpan w:val="2"/>
            <w:shd w:val="clear" w:color="auto" w:fill="FFFFFF" w:themeFill="background1"/>
          </w:tcPr>
          <w:p w14:paraId="6B127E69" w14:textId="77777777" w:rsidR="007D7D4B" w:rsidRPr="008D2732" w:rsidRDefault="007D7D4B" w:rsidP="007D7D4B">
            <w:pPr>
              <w:autoSpaceDE w:val="0"/>
              <w:autoSpaceDN w:val="0"/>
              <w:adjustRightInd w:val="0"/>
              <w:spacing w:after="0"/>
              <w:rPr>
                <w:rFonts w:asciiTheme="minorHAnsi" w:eastAsiaTheme="minorHAnsi" w:hAnsiTheme="minorHAnsi" w:cstheme="minorHAnsi"/>
                <w:color w:val="000000"/>
                <w:sz w:val="21"/>
                <w:szCs w:val="21"/>
              </w:rPr>
            </w:pPr>
            <w:r w:rsidRPr="008D2732">
              <w:rPr>
                <w:rFonts w:asciiTheme="minorHAnsi" w:eastAsiaTheme="minorHAnsi" w:hAnsiTheme="minorHAnsi" w:cstheme="minorHAnsi"/>
                <w:color w:val="000000"/>
                <w:sz w:val="21"/>
                <w:szCs w:val="21"/>
              </w:rPr>
              <w:t xml:space="preserve">Monitor. Check pulse after every dose change. ECG if necessary. Consider reducing or discontinuing the medication in light of clinical findings. Further investigations should be </w:t>
            </w:r>
            <w:r w:rsidRPr="008D2732">
              <w:rPr>
                <w:rFonts w:asciiTheme="minorHAnsi" w:hAnsiTheme="minorHAnsi" w:cstheme="minorHAnsi"/>
                <w:sz w:val="21"/>
                <w:szCs w:val="21"/>
              </w:rPr>
              <w:t>considered (including ECG, 24 hour BP and 24 hour ECG). Consider referral to cardiology/ specialist physician</w:t>
            </w:r>
          </w:p>
        </w:tc>
      </w:tr>
      <w:tr w:rsidR="007D7D4B" w:rsidRPr="008D2732" w14:paraId="1574133F" w14:textId="77777777" w:rsidTr="00B31C2B">
        <w:trPr>
          <w:gridAfter w:val="4"/>
          <w:wAfter w:w="4957" w:type="dxa"/>
          <w:trHeight w:val="138"/>
        </w:trPr>
        <w:tc>
          <w:tcPr>
            <w:tcW w:w="5173" w:type="dxa"/>
            <w:gridSpan w:val="2"/>
            <w:shd w:val="clear" w:color="auto" w:fill="F2F2F2" w:themeFill="background1" w:themeFillShade="F2"/>
          </w:tcPr>
          <w:p w14:paraId="72006D75" w14:textId="5F872104"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b/>
                <w:bCs/>
                <w:sz w:val="21"/>
                <w:szCs w:val="21"/>
              </w:rPr>
              <w:t xml:space="preserve">LISDEXAMFETAMINE </w:t>
            </w:r>
          </w:p>
        </w:tc>
      </w:tr>
      <w:tr w:rsidR="007D7D4B" w:rsidRPr="008D2732" w14:paraId="6E29E8BB" w14:textId="77777777" w:rsidTr="00B31C2B">
        <w:trPr>
          <w:trHeight w:val="361"/>
        </w:trPr>
        <w:tc>
          <w:tcPr>
            <w:tcW w:w="5173" w:type="dxa"/>
            <w:gridSpan w:val="2"/>
            <w:shd w:val="clear" w:color="auto" w:fill="FFFFFF" w:themeFill="background1"/>
          </w:tcPr>
          <w:p w14:paraId="2113278A"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Insomnia </w:t>
            </w:r>
          </w:p>
        </w:tc>
        <w:tc>
          <w:tcPr>
            <w:tcW w:w="1116" w:type="dxa"/>
            <w:gridSpan w:val="2"/>
            <w:shd w:val="clear" w:color="auto" w:fill="FFFFFF" w:themeFill="background1"/>
          </w:tcPr>
          <w:p w14:paraId="76E08FD4"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&gt;10% </w:t>
            </w:r>
          </w:p>
        </w:tc>
        <w:tc>
          <w:tcPr>
            <w:tcW w:w="3841" w:type="dxa"/>
            <w:gridSpan w:val="2"/>
            <w:shd w:val="clear" w:color="auto" w:fill="FFFFFF" w:themeFill="background1"/>
          </w:tcPr>
          <w:p w14:paraId="1FFAA8C9" w14:textId="35C7480B"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Review dose - ensure taken in morning – refer to specialist for </w:t>
            </w:r>
            <w:r w:rsidR="00ED7BD3" w:rsidRPr="008D2732">
              <w:rPr>
                <w:rFonts w:asciiTheme="minorHAnsi" w:hAnsiTheme="minorHAnsi" w:cstheme="minorHAnsi"/>
                <w:sz w:val="21"/>
                <w:szCs w:val="21"/>
              </w:rPr>
              <w:t>advice</w:t>
            </w:r>
            <w:r w:rsidRPr="008D2732">
              <w:rPr>
                <w:rFonts w:asciiTheme="minorHAnsi" w:hAnsiTheme="minorHAnsi" w:cstheme="minorHAnsi"/>
                <w:sz w:val="21"/>
                <w:szCs w:val="21"/>
              </w:rPr>
              <w:t xml:space="preserve"> </w:t>
            </w:r>
          </w:p>
        </w:tc>
      </w:tr>
      <w:tr w:rsidR="007D7D4B" w:rsidRPr="008D2732" w14:paraId="00D22C00" w14:textId="77777777" w:rsidTr="00B31C2B">
        <w:trPr>
          <w:trHeight w:val="362"/>
        </w:trPr>
        <w:tc>
          <w:tcPr>
            <w:tcW w:w="5173" w:type="dxa"/>
            <w:gridSpan w:val="2"/>
            <w:shd w:val="clear" w:color="auto" w:fill="FFFFFF" w:themeFill="background1"/>
          </w:tcPr>
          <w:p w14:paraId="58D2333C"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Decreased appetite </w:t>
            </w:r>
          </w:p>
          <w:p w14:paraId="130474D1" w14:textId="2D842956"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w:t>
            </w:r>
            <w:r w:rsidR="00EB7201" w:rsidRPr="008D2732">
              <w:rPr>
                <w:rFonts w:asciiTheme="minorHAnsi" w:hAnsiTheme="minorHAnsi" w:cstheme="minorHAnsi"/>
                <w:sz w:val="21"/>
                <w:szCs w:val="21"/>
              </w:rPr>
              <w:t>Weight</w:t>
            </w:r>
            <w:r w:rsidRPr="008D2732">
              <w:rPr>
                <w:rFonts w:asciiTheme="minorHAnsi" w:hAnsiTheme="minorHAnsi" w:cstheme="minorHAnsi"/>
                <w:sz w:val="21"/>
                <w:szCs w:val="21"/>
              </w:rPr>
              <w:t xml:space="preserve"> decreased) </w:t>
            </w:r>
          </w:p>
        </w:tc>
        <w:tc>
          <w:tcPr>
            <w:tcW w:w="1116" w:type="dxa"/>
            <w:gridSpan w:val="2"/>
            <w:shd w:val="clear" w:color="auto" w:fill="FFFFFF" w:themeFill="background1"/>
          </w:tcPr>
          <w:p w14:paraId="2D023E9C"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&gt;10% </w:t>
            </w:r>
          </w:p>
          <w:p w14:paraId="4A28A17E"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(1-10%) </w:t>
            </w:r>
          </w:p>
        </w:tc>
        <w:tc>
          <w:tcPr>
            <w:tcW w:w="3841" w:type="dxa"/>
            <w:gridSpan w:val="2"/>
            <w:shd w:val="clear" w:color="auto" w:fill="FFFFFF" w:themeFill="background1"/>
          </w:tcPr>
          <w:p w14:paraId="13C828CE"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Try taking medicine with food if it persists. Refer to specialist for advice if continues </w:t>
            </w:r>
          </w:p>
        </w:tc>
      </w:tr>
      <w:tr w:rsidR="007D7D4B" w:rsidRPr="008D2732" w14:paraId="6471C147" w14:textId="77777777" w:rsidTr="00B31C2B">
        <w:trPr>
          <w:trHeight w:val="247"/>
        </w:trPr>
        <w:tc>
          <w:tcPr>
            <w:tcW w:w="5173" w:type="dxa"/>
            <w:gridSpan w:val="2"/>
            <w:shd w:val="clear" w:color="auto" w:fill="FFFFFF" w:themeFill="background1"/>
          </w:tcPr>
          <w:p w14:paraId="19EEA237"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Headache, dry mouth </w:t>
            </w:r>
          </w:p>
        </w:tc>
        <w:tc>
          <w:tcPr>
            <w:tcW w:w="1116" w:type="dxa"/>
            <w:gridSpan w:val="2"/>
            <w:shd w:val="clear" w:color="auto" w:fill="FFFFFF" w:themeFill="background1"/>
          </w:tcPr>
          <w:p w14:paraId="72D1E3E2"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&gt;10% </w:t>
            </w:r>
          </w:p>
        </w:tc>
        <w:tc>
          <w:tcPr>
            <w:tcW w:w="3841" w:type="dxa"/>
            <w:gridSpan w:val="2"/>
            <w:shd w:val="clear" w:color="auto" w:fill="FFFFFF" w:themeFill="background1"/>
          </w:tcPr>
          <w:p w14:paraId="79203A84"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Refer to specialist for advice if continues </w:t>
            </w:r>
          </w:p>
        </w:tc>
      </w:tr>
      <w:tr w:rsidR="007D7D4B" w:rsidRPr="008D2732" w14:paraId="73C842CA" w14:textId="77777777" w:rsidTr="00B31C2B">
        <w:trPr>
          <w:trHeight w:val="361"/>
        </w:trPr>
        <w:tc>
          <w:tcPr>
            <w:tcW w:w="5173" w:type="dxa"/>
            <w:gridSpan w:val="2"/>
            <w:shd w:val="clear" w:color="auto" w:fill="FFFFFF" w:themeFill="background1"/>
          </w:tcPr>
          <w:p w14:paraId="7B10AD36"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Anorexia, diarrhoea, upper abdominal pain, nausea </w:t>
            </w:r>
          </w:p>
        </w:tc>
        <w:tc>
          <w:tcPr>
            <w:tcW w:w="1116" w:type="dxa"/>
            <w:gridSpan w:val="2"/>
            <w:shd w:val="clear" w:color="auto" w:fill="FFFFFF" w:themeFill="background1"/>
          </w:tcPr>
          <w:p w14:paraId="49D1EA73"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1-10% </w:t>
            </w:r>
          </w:p>
        </w:tc>
        <w:tc>
          <w:tcPr>
            <w:tcW w:w="3841" w:type="dxa"/>
            <w:gridSpan w:val="2"/>
            <w:shd w:val="clear" w:color="auto" w:fill="FFFFFF" w:themeFill="background1"/>
          </w:tcPr>
          <w:p w14:paraId="151C251B"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May be alleviated by concomitant food intake. Refer to specialist for advice if continues </w:t>
            </w:r>
          </w:p>
        </w:tc>
      </w:tr>
      <w:tr w:rsidR="007D7D4B" w:rsidRPr="008D2732" w14:paraId="0B474F55" w14:textId="77777777" w:rsidTr="00B31C2B">
        <w:trPr>
          <w:trHeight w:val="593"/>
        </w:trPr>
        <w:tc>
          <w:tcPr>
            <w:tcW w:w="5173" w:type="dxa"/>
            <w:gridSpan w:val="2"/>
            <w:shd w:val="clear" w:color="auto" w:fill="FFFFFF" w:themeFill="background1"/>
          </w:tcPr>
          <w:p w14:paraId="64B7323F" w14:textId="44CF6A2B" w:rsidR="007D7D4B" w:rsidRPr="008D2732" w:rsidRDefault="007D7D4B" w:rsidP="009766C2">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Anxiety, </w:t>
            </w:r>
            <w:r w:rsidR="00EB7201" w:rsidRPr="008D2732">
              <w:rPr>
                <w:rFonts w:asciiTheme="minorHAnsi" w:hAnsiTheme="minorHAnsi" w:cstheme="minorHAnsi"/>
                <w:sz w:val="21"/>
                <w:szCs w:val="21"/>
              </w:rPr>
              <w:t>agitation, dizziness</w:t>
            </w:r>
            <w:r w:rsidRPr="008D2732">
              <w:rPr>
                <w:rFonts w:asciiTheme="minorHAnsi" w:hAnsiTheme="minorHAnsi" w:cstheme="minorHAnsi"/>
                <w:sz w:val="21"/>
                <w:szCs w:val="21"/>
              </w:rPr>
              <w:t xml:space="preserve">, restlessness, tremor, irritability, fatigue, feeling jittery, </w:t>
            </w:r>
            <w:r w:rsidR="00EB7201" w:rsidRPr="008D2732">
              <w:rPr>
                <w:rFonts w:asciiTheme="minorHAnsi" w:hAnsiTheme="minorHAnsi" w:cstheme="minorHAnsi"/>
                <w:sz w:val="21"/>
                <w:szCs w:val="21"/>
              </w:rPr>
              <w:t>hyperhidrosis</w:t>
            </w:r>
            <w:r w:rsidRPr="008D2732">
              <w:rPr>
                <w:rFonts w:asciiTheme="minorHAnsi" w:hAnsiTheme="minorHAnsi" w:cstheme="minorHAnsi"/>
                <w:sz w:val="21"/>
                <w:szCs w:val="21"/>
              </w:rPr>
              <w:t xml:space="preserve"> </w:t>
            </w:r>
          </w:p>
        </w:tc>
        <w:tc>
          <w:tcPr>
            <w:tcW w:w="1116" w:type="dxa"/>
            <w:gridSpan w:val="2"/>
            <w:shd w:val="clear" w:color="auto" w:fill="FFFFFF" w:themeFill="background1"/>
          </w:tcPr>
          <w:p w14:paraId="630F8642"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1-10% </w:t>
            </w:r>
          </w:p>
        </w:tc>
        <w:tc>
          <w:tcPr>
            <w:tcW w:w="3841" w:type="dxa"/>
            <w:gridSpan w:val="2"/>
            <w:shd w:val="clear" w:color="auto" w:fill="FFFFFF" w:themeFill="background1"/>
          </w:tcPr>
          <w:p w14:paraId="659E76FA" w14:textId="0CF472D1" w:rsidR="007D7D4B" w:rsidRPr="008D2732" w:rsidRDefault="00EB7201">
            <w:pPr>
              <w:pStyle w:val="Default"/>
              <w:rPr>
                <w:rFonts w:asciiTheme="minorHAnsi" w:hAnsiTheme="minorHAnsi" w:cstheme="minorHAnsi"/>
                <w:sz w:val="21"/>
                <w:szCs w:val="21"/>
              </w:rPr>
            </w:pPr>
            <w:r w:rsidRPr="008D2732">
              <w:rPr>
                <w:rFonts w:asciiTheme="minorHAnsi" w:hAnsiTheme="minorHAnsi" w:cstheme="minorHAnsi"/>
                <w:sz w:val="21"/>
                <w:szCs w:val="21"/>
              </w:rPr>
              <w:t>Refer</w:t>
            </w:r>
            <w:r w:rsidR="007D7D4B" w:rsidRPr="008D2732">
              <w:rPr>
                <w:rFonts w:asciiTheme="minorHAnsi" w:hAnsiTheme="minorHAnsi" w:cstheme="minorHAnsi"/>
                <w:sz w:val="21"/>
                <w:szCs w:val="21"/>
              </w:rPr>
              <w:t xml:space="preserve"> to specialist. </w:t>
            </w:r>
          </w:p>
        </w:tc>
      </w:tr>
      <w:tr w:rsidR="007D7D4B" w:rsidRPr="008D2732" w14:paraId="028E36AD" w14:textId="77777777" w:rsidTr="00B31C2B">
        <w:trPr>
          <w:trHeight w:val="558"/>
        </w:trPr>
        <w:tc>
          <w:tcPr>
            <w:tcW w:w="5173" w:type="dxa"/>
            <w:gridSpan w:val="2"/>
            <w:shd w:val="clear" w:color="auto" w:fill="FFFFFF" w:themeFill="background1"/>
          </w:tcPr>
          <w:p w14:paraId="4D36282A" w14:textId="22BA4539"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Tachycardia, palpitations, blood pressure </w:t>
            </w:r>
            <w:r w:rsidR="00EB7201" w:rsidRPr="008D2732">
              <w:rPr>
                <w:rFonts w:asciiTheme="minorHAnsi" w:hAnsiTheme="minorHAnsi" w:cstheme="minorHAnsi"/>
                <w:sz w:val="21"/>
                <w:szCs w:val="21"/>
              </w:rPr>
              <w:t>increased.</w:t>
            </w:r>
          </w:p>
          <w:p w14:paraId="3C0C0432" w14:textId="77777777" w:rsidR="004532E1" w:rsidRPr="008D2732" w:rsidRDefault="004532E1">
            <w:pPr>
              <w:pStyle w:val="Default"/>
              <w:rPr>
                <w:rFonts w:asciiTheme="minorHAnsi" w:hAnsiTheme="minorHAnsi" w:cstheme="minorHAnsi"/>
                <w:sz w:val="21"/>
                <w:szCs w:val="21"/>
              </w:rPr>
            </w:pPr>
          </w:p>
          <w:p w14:paraId="49BB22AE" w14:textId="5BD04473" w:rsidR="004532E1" w:rsidRPr="008D2732" w:rsidRDefault="004532E1">
            <w:pPr>
              <w:pStyle w:val="Default"/>
              <w:rPr>
                <w:rFonts w:asciiTheme="minorHAnsi" w:hAnsiTheme="minorHAnsi" w:cstheme="minorHAnsi"/>
                <w:sz w:val="21"/>
                <w:szCs w:val="21"/>
              </w:rPr>
            </w:pPr>
            <w:r w:rsidRPr="008D2732">
              <w:rPr>
                <w:rFonts w:asciiTheme="minorHAnsi" w:hAnsiTheme="minorHAnsi" w:cstheme="minorHAnsi"/>
                <w:sz w:val="21"/>
                <w:szCs w:val="21"/>
              </w:rPr>
              <w:t>Cardiomyopathy, chest pain</w:t>
            </w:r>
          </w:p>
        </w:tc>
        <w:tc>
          <w:tcPr>
            <w:tcW w:w="1116" w:type="dxa"/>
            <w:gridSpan w:val="2"/>
            <w:shd w:val="clear" w:color="auto" w:fill="FFFFFF" w:themeFill="background1"/>
          </w:tcPr>
          <w:p w14:paraId="03EBE16A"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1-10% </w:t>
            </w:r>
          </w:p>
          <w:p w14:paraId="4C289207" w14:textId="77777777" w:rsidR="004532E1" w:rsidRPr="008D2732" w:rsidRDefault="004532E1">
            <w:pPr>
              <w:pStyle w:val="Default"/>
              <w:rPr>
                <w:rFonts w:asciiTheme="minorHAnsi" w:hAnsiTheme="minorHAnsi" w:cstheme="minorHAnsi"/>
                <w:sz w:val="21"/>
                <w:szCs w:val="21"/>
              </w:rPr>
            </w:pPr>
          </w:p>
          <w:p w14:paraId="2D1EAF35" w14:textId="77777777" w:rsidR="004532E1" w:rsidRPr="008D2732" w:rsidRDefault="004532E1">
            <w:pPr>
              <w:pStyle w:val="Default"/>
              <w:rPr>
                <w:rFonts w:asciiTheme="minorHAnsi" w:hAnsiTheme="minorHAnsi" w:cstheme="minorHAnsi"/>
                <w:sz w:val="21"/>
                <w:szCs w:val="21"/>
              </w:rPr>
            </w:pPr>
          </w:p>
          <w:p w14:paraId="2B2E4CE5" w14:textId="5B465267" w:rsidR="004532E1" w:rsidRPr="008D2732" w:rsidRDefault="004532E1">
            <w:pPr>
              <w:pStyle w:val="Default"/>
              <w:rPr>
                <w:rFonts w:asciiTheme="minorHAnsi" w:hAnsiTheme="minorHAnsi" w:cstheme="minorHAnsi"/>
                <w:sz w:val="21"/>
                <w:szCs w:val="21"/>
              </w:rPr>
            </w:pPr>
            <w:r w:rsidRPr="008D2732">
              <w:rPr>
                <w:rFonts w:asciiTheme="minorHAnsi" w:hAnsiTheme="minorHAnsi" w:cstheme="minorHAnsi"/>
                <w:sz w:val="21"/>
                <w:szCs w:val="21"/>
              </w:rPr>
              <w:t>Not stated</w:t>
            </w:r>
          </w:p>
        </w:tc>
        <w:tc>
          <w:tcPr>
            <w:tcW w:w="3841" w:type="dxa"/>
            <w:gridSpan w:val="2"/>
            <w:shd w:val="clear" w:color="auto" w:fill="FFFFFF" w:themeFill="background1"/>
          </w:tcPr>
          <w:p w14:paraId="2A48C54F"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Monitor. Consider reducing or discontinuing the medication in light of clinical findings. Further investigations should be considered (including ECG, 24 hour BP and 24 hour ECG). Consider referral to cardiology/ specialist physician. </w:t>
            </w:r>
          </w:p>
          <w:p w14:paraId="73B542A8" w14:textId="08DF9217" w:rsidR="00631799" w:rsidRDefault="00631799">
            <w:pPr>
              <w:pStyle w:val="Default"/>
              <w:rPr>
                <w:rFonts w:asciiTheme="minorHAnsi" w:hAnsiTheme="minorHAnsi" w:cstheme="minorHAnsi"/>
                <w:b/>
                <w:sz w:val="21"/>
                <w:szCs w:val="21"/>
              </w:rPr>
            </w:pPr>
            <w:r w:rsidRPr="008D2732">
              <w:rPr>
                <w:rFonts w:asciiTheme="minorHAnsi" w:hAnsiTheme="minorHAnsi" w:cstheme="minorHAnsi"/>
                <w:b/>
                <w:sz w:val="21"/>
                <w:szCs w:val="21"/>
              </w:rPr>
              <w:t xml:space="preserve">See section 8 “Clinical Monitoring – Cardiovascular” for further </w:t>
            </w:r>
            <w:r w:rsidR="00EB7201" w:rsidRPr="008D2732">
              <w:rPr>
                <w:rFonts w:asciiTheme="minorHAnsi" w:hAnsiTheme="minorHAnsi" w:cstheme="minorHAnsi"/>
                <w:b/>
                <w:sz w:val="21"/>
                <w:szCs w:val="21"/>
              </w:rPr>
              <w:t>information.</w:t>
            </w:r>
          </w:p>
          <w:p w14:paraId="44C6328D" w14:textId="0466B834" w:rsidR="008D2732" w:rsidRPr="008D2732" w:rsidRDefault="008D2732">
            <w:pPr>
              <w:pStyle w:val="Default"/>
              <w:rPr>
                <w:rFonts w:asciiTheme="minorHAnsi" w:hAnsiTheme="minorHAnsi" w:cstheme="minorHAnsi"/>
                <w:b/>
                <w:sz w:val="21"/>
                <w:szCs w:val="21"/>
              </w:rPr>
            </w:pPr>
          </w:p>
        </w:tc>
      </w:tr>
      <w:tr w:rsidR="007D7D4B" w:rsidRPr="008D2732" w14:paraId="2A622CEC" w14:textId="77777777" w:rsidTr="00B31C2B">
        <w:trPr>
          <w:trHeight w:val="478"/>
        </w:trPr>
        <w:tc>
          <w:tcPr>
            <w:tcW w:w="5173" w:type="dxa"/>
            <w:gridSpan w:val="2"/>
            <w:shd w:val="clear" w:color="auto" w:fill="FFFFFF" w:themeFill="background1"/>
          </w:tcPr>
          <w:p w14:paraId="24D42A18" w14:textId="1649F036" w:rsidR="007D7D4B" w:rsidRPr="008D2732" w:rsidRDefault="007D7D4B" w:rsidP="009766C2">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Depression, tic, affect lability, dysphoria, euphoria, mania, dermatillomania, somnolence, dyskinesia </w:t>
            </w:r>
          </w:p>
        </w:tc>
        <w:tc>
          <w:tcPr>
            <w:tcW w:w="1116" w:type="dxa"/>
            <w:gridSpan w:val="2"/>
            <w:shd w:val="clear" w:color="auto" w:fill="FFFFFF" w:themeFill="background1"/>
          </w:tcPr>
          <w:p w14:paraId="7A5FAABE"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0.1-1% </w:t>
            </w:r>
          </w:p>
        </w:tc>
        <w:tc>
          <w:tcPr>
            <w:tcW w:w="3841" w:type="dxa"/>
            <w:gridSpan w:val="2"/>
            <w:shd w:val="clear" w:color="auto" w:fill="FFFFFF" w:themeFill="background1"/>
          </w:tcPr>
          <w:p w14:paraId="43262B91" w14:textId="2FC984B3"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Consider discontinuing if tics develop. </w:t>
            </w:r>
            <w:r w:rsidR="002E4375" w:rsidRPr="008D2732">
              <w:rPr>
                <w:rFonts w:asciiTheme="minorHAnsi" w:hAnsiTheme="minorHAnsi" w:cstheme="minorHAnsi"/>
                <w:sz w:val="21"/>
                <w:szCs w:val="21"/>
              </w:rPr>
              <w:t>Refer</w:t>
            </w:r>
            <w:r w:rsidRPr="008D2732">
              <w:rPr>
                <w:rFonts w:asciiTheme="minorHAnsi" w:hAnsiTheme="minorHAnsi" w:cstheme="minorHAnsi"/>
                <w:sz w:val="21"/>
                <w:szCs w:val="21"/>
              </w:rPr>
              <w:t xml:space="preserve"> to specialist. </w:t>
            </w:r>
          </w:p>
        </w:tc>
      </w:tr>
      <w:tr w:rsidR="007D7D4B" w:rsidRPr="008D2732" w14:paraId="087070FF" w14:textId="77777777" w:rsidTr="00B31C2B">
        <w:trPr>
          <w:trHeight w:val="247"/>
        </w:trPr>
        <w:tc>
          <w:tcPr>
            <w:tcW w:w="5173" w:type="dxa"/>
            <w:gridSpan w:val="2"/>
            <w:shd w:val="clear" w:color="auto" w:fill="FFFFFF" w:themeFill="background1"/>
          </w:tcPr>
          <w:p w14:paraId="13622C02"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Blurred vision, vomiting, urticaria, rash, pyrexia </w:t>
            </w:r>
          </w:p>
        </w:tc>
        <w:tc>
          <w:tcPr>
            <w:tcW w:w="1116" w:type="dxa"/>
            <w:gridSpan w:val="2"/>
            <w:shd w:val="clear" w:color="auto" w:fill="FFFFFF" w:themeFill="background1"/>
          </w:tcPr>
          <w:p w14:paraId="383F0D23"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0.1-1% </w:t>
            </w:r>
          </w:p>
        </w:tc>
        <w:tc>
          <w:tcPr>
            <w:tcW w:w="3841" w:type="dxa"/>
            <w:gridSpan w:val="2"/>
            <w:shd w:val="clear" w:color="auto" w:fill="FFFFFF" w:themeFill="background1"/>
          </w:tcPr>
          <w:p w14:paraId="65E7CB55" w14:textId="22A70383"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Consider discontinuing. </w:t>
            </w:r>
            <w:r w:rsidR="002E4375" w:rsidRPr="008D2732">
              <w:rPr>
                <w:rFonts w:asciiTheme="minorHAnsi" w:hAnsiTheme="minorHAnsi" w:cstheme="minorHAnsi"/>
                <w:sz w:val="21"/>
                <w:szCs w:val="21"/>
              </w:rPr>
              <w:t>Refer</w:t>
            </w:r>
            <w:r w:rsidRPr="008D2732">
              <w:rPr>
                <w:rFonts w:asciiTheme="minorHAnsi" w:hAnsiTheme="minorHAnsi" w:cstheme="minorHAnsi"/>
                <w:sz w:val="21"/>
                <w:szCs w:val="21"/>
              </w:rPr>
              <w:t xml:space="preserve"> to specialist. </w:t>
            </w:r>
          </w:p>
        </w:tc>
      </w:tr>
      <w:tr w:rsidR="007D7D4B" w:rsidRPr="008D2732" w14:paraId="76398C3A" w14:textId="77777777" w:rsidTr="00B31C2B">
        <w:trPr>
          <w:trHeight w:val="246"/>
        </w:trPr>
        <w:tc>
          <w:tcPr>
            <w:tcW w:w="5173" w:type="dxa"/>
            <w:gridSpan w:val="2"/>
            <w:shd w:val="clear" w:color="auto" w:fill="FFFFFF" w:themeFill="background1"/>
          </w:tcPr>
          <w:p w14:paraId="5CAB9671" w14:textId="5ABDB68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Psychotic episodes, hallucination, aggression, </w:t>
            </w:r>
            <w:r w:rsidR="005D346F" w:rsidRPr="008D2732">
              <w:rPr>
                <w:rFonts w:asciiTheme="minorHAnsi" w:hAnsiTheme="minorHAnsi" w:cstheme="minorHAnsi"/>
                <w:sz w:val="21"/>
                <w:szCs w:val="21"/>
              </w:rPr>
              <w:t xml:space="preserve">new or worsening </w:t>
            </w:r>
            <w:r w:rsidRPr="008D2732">
              <w:rPr>
                <w:rFonts w:asciiTheme="minorHAnsi" w:hAnsiTheme="minorHAnsi" w:cstheme="minorHAnsi"/>
                <w:sz w:val="21"/>
                <w:szCs w:val="21"/>
              </w:rPr>
              <w:t>seizure</w:t>
            </w:r>
            <w:r w:rsidR="005D346F" w:rsidRPr="008D2732">
              <w:rPr>
                <w:rFonts w:asciiTheme="minorHAnsi" w:hAnsiTheme="minorHAnsi" w:cstheme="minorHAnsi"/>
                <w:sz w:val="21"/>
                <w:szCs w:val="21"/>
              </w:rPr>
              <w:t>s</w:t>
            </w:r>
            <w:r w:rsidRPr="008D2732">
              <w:rPr>
                <w:rFonts w:asciiTheme="minorHAnsi" w:hAnsiTheme="minorHAnsi" w:cstheme="minorHAnsi"/>
                <w:sz w:val="21"/>
                <w:szCs w:val="21"/>
              </w:rPr>
              <w:t xml:space="preserve"> </w:t>
            </w:r>
          </w:p>
        </w:tc>
        <w:tc>
          <w:tcPr>
            <w:tcW w:w="1116" w:type="dxa"/>
            <w:gridSpan w:val="2"/>
            <w:shd w:val="clear" w:color="auto" w:fill="FFFFFF" w:themeFill="background1"/>
          </w:tcPr>
          <w:p w14:paraId="3DB7428B"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Not known </w:t>
            </w:r>
          </w:p>
        </w:tc>
        <w:tc>
          <w:tcPr>
            <w:tcW w:w="3841" w:type="dxa"/>
            <w:gridSpan w:val="2"/>
            <w:shd w:val="clear" w:color="auto" w:fill="FFFFFF" w:themeFill="background1"/>
          </w:tcPr>
          <w:p w14:paraId="3A80B200" w14:textId="0733DB42"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Consider discontinuing. </w:t>
            </w:r>
            <w:r w:rsidR="002E4375" w:rsidRPr="008D2732">
              <w:rPr>
                <w:rFonts w:asciiTheme="minorHAnsi" w:hAnsiTheme="minorHAnsi" w:cstheme="minorHAnsi"/>
                <w:sz w:val="21"/>
                <w:szCs w:val="21"/>
              </w:rPr>
              <w:t>Refer</w:t>
            </w:r>
            <w:r w:rsidRPr="008D2732">
              <w:rPr>
                <w:rFonts w:asciiTheme="minorHAnsi" w:hAnsiTheme="minorHAnsi" w:cstheme="minorHAnsi"/>
                <w:sz w:val="21"/>
                <w:szCs w:val="21"/>
              </w:rPr>
              <w:t xml:space="preserve"> to specialist </w:t>
            </w:r>
          </w:p>
        </w:tc>
      </w:tr>
      <w:tr w:rsidR="007D7D4B" w:rsidRPr="008D2732" w14:paraId="6E8A1F96" w14:textId="77777777" w:rsidTr="00B31C2B">
        <w:trPr>
          <w:gridAfter w:val="4"/>
          <w:wAfter w:w="4957" w:type="dxa"/>
          <w:trHeight w:val="138"/>
        </w:trPr>
        <w:tc>
          <w:tcPr>
            <w:tcW w:w="5173" w:type="dxa"/>
            <w:gridSpan w:val="2"/>
            <w:shd w:val="clear" w:color="auto" w:fill="F2F2F2" w:themeFill="background1" w:themeFillShade="F2"/>
          </w:tcPr>
          <w:p w14:paraId="18C5924C"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b/>
                <w:bCs/>
                <w:sz w:val="21"/>
                <w:szCs w:val="21"/>
              </w:rPr>
              <w:t xml:space="preserve">ATOMOXETINE </w:t>
            </w:r>
          </w:p>
        </w:tc>
      </w:tr>
      <w:tr w:rsidR="007D7D4B" w:rsidRPr="008D2732" w14:paraId="08252C10" w14:textId="77777777" w:rsidTr="00B31C2B">
        <w:trPr>
          <w:trHeight w:val="362"/>
        </w:trPr>
        <w:tc>
          <w:tcPr>
            <w:tcW w:w="5173" w:type="dxa"/>
            <w:gridSpan w:val="2"/>
            <w:shd w:val="clear" w:color="auto" w:fill="FFFFFF" w:themeFill="background1"/>
          </w:tcPr>
          <w:p w14:paraId="43EA9D40"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Appetite decreased, dry mouth, nausea </w:t>
            </w:r>
          </w:p>
        </w:tc>
        <w:tc>
          <w:tcPr>
            <w:tcW w:w="1116" w:type="dxa"/>
            <w:gridSpan w:val="2"/>
            <w:shd w:val="clear" w:color="auto" w:fill="FFFFFF" w:themeFill="background1"/>
          </w:tcPr>
          <w:p w14:paraId="1A9F7F7D"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&gt;10% </w:t>
            </w:r>
          </w:p>
        </w:tc>
        <w:tc>
          <w:tcPr>
            <w:tcW w:w="3841" w:type="dxa"/>
            <w:gridSpan w:val="2"/>
            <w:shd w:val="clear" w:color="auto" w:fill="FFFFFF" w:themeFill="background1"/>
          </w:tcPr>
          <w:p w14:paraId="73EA8CB7"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Usually settles after 1st month of treatment. Refer to specialist for advice if continues </w:t>
            </w:r>
          </w:p>
        </w:tc>
      </w:tr>
      <w:tr w:rsidR="007D7D4B" w:rsidRPr="008D2732" w14:paraId="3BADFFD1" w14:textId="77777777" w:rsidTr="00B31C2B">
        <w:trPr>
          <w:trHeight w:val="362"/>
        </w:trPr>
        <w:tc>
          <w:tcPr>
            <w:tcW w:w="5173" w:type="dxa"/>
            <w:gridSpan w:val="2"/>
            <w:shd w:val="clear" w:color="auto" w:fill="FFFFFF" w:themeFill="background1"/>
          </w:tcPr>
          <w:p w14:paraId="151824BA"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lastRenderedPageBreak/>
              <w:t xml:space="preserve">Headache, somnolence, insomnia </w:t>
            </w:r>
          </w:p>
        </w:tc>
        <w:tc>
          <w:tcPr>
            <w:tcW w:w="1116" w:type="dxa"/>
            <w:gridSpan w:val="2"/>
            <w:shd w:val="clear" w:color="auto" w:fill="FFFFFF" w:themeFill="background1"/>
          </w:tcPr>
          <w:p w14:paraId="5A45AEEA"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&gt;10% </w:t>
            </w:r>
          </w:p>
        </w:tc>
        <w:tc>
          <w:tcPr>
            <w:tcW w:w="3841" w:type="dxa"/>
            <w:gridSpan w:val="2"/>
            <w:shd w:val="clear" w:color="auto" w:fill="FFFFFF" w:themeFill="background1"/>
          </w:tcPr>
          <w:p w14:paraId="3E541B74"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Usually settles after 1st month of treatment. Refer to specialist for advice if continues </w:t>
            </w:r>
          </w:p>
        </w:tc>
      </w:tr>
      <w:tr w:rsidR="007D7D4B" w:rsidRPr="008D2732" w14:paraId="6918E8A2" w14:textId="77777777" w:rsidTr="00B31C2B">
        <w:trPr>
          <w:trHeight w:val="476"/>
        </w:trPr>
        <w:tc>
          <w:tcPr>
            <w:tcW w:w="5173" w:type="dxa"/>
            <w:gridSpan w:val="2"/>
            <w:shd w:val="clear" w:color="auto" w:fill="FFFFFF" w:themeFill="background1"/>
          </w:tcPr>
          <w:p w14:paraId="1D3BC421"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Increased BP and heart rate </w:t>
            </w:r>
          </w:p>
        </w:tc>
        <w:tc>
          <w:tcPr>
            <w:tcW w:w="1116" w:type="dxa"/>
            <w:gridSpan w:val="2"/>
            <w:shd w:val="clear" w:color="auto" w:fill="FFFFFF" w:themeFill="background1"/>
          </w:tcPr>
          <w:p w14:paraId="18DFD93E"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&gt;10% </w:t>
            </w:r>
          </w:p>
        </w:tc>
        <w:tc>
          <w:tcPr>
            <w:tcW w:w="3841" w:type="dxa"/>
            <w:gridSpan w:val="2"/>
            <w:shd w:val="clear" w:color="auto" w:fill="FFFFFF" w:themeFill="background1"/>
          </w:tcPr>
          <w:p w14:paraId="5E9DDC4A" w14:textId="222301D1"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Monitor. Consider discontinuing if clinically indicated. </w:t>
            </w:r>
            <w:r w:rsidR="002E4375" w:rsidRPr="008D2732">
              <w:rPr>
                <w:rFonts w:asciiTheme="minorHAnsi" w:hAnsiTheme="minorHAnsi" w:cstheme="minorHAnsi"/>
                <w:sz w:val="21"/>
                <w:szCs w:val="21"/>
              </w:rPr>
              <w:t>Refer</w:t>
            </w:r>
            <w:r w:rsidRPr="008D2732">
              <w:rPr>
                <w:rFonts w:asciiTheme="minorHAnsi" w:hAnsiTheme="minorHAnsi" w:cstheme="minorHAnsi"/>
                <w:sz w:val="21"/>
                <w:szCs w:val="21"/>
              </w:rPr>
              <w:t xml:space="preserve"> to ADHD specialist and cardiologist if indicated. </w:t>
            </w:r>
          </w:p>
        </w:tc>
      </w:tr>
      <w:tr w:rsidR="007D7D4B" w:rsidRPr="008D2732" w14:paraId="57F4B47A" w14:textId="77777777" w:rsidTr="00B31C2B">
        <w:trPr>
          <w:trHeight w:val="362"/>
        </w:trPr>
        <w:tc>
          <w:tcPr>
            <w:tcW w:w="5173" w:type="dxa"/>
            <w:gridSpan w:val="2"/>
            <w:shd w:val="clear" w:color="auto" w:fill="FFFFFF" w:themeFill="background1"/>
          </w:tcPr>
          <w:p w14:paraId="7BA18250"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Abdominal pain, constipation, dyspepsia, flatulence, vomiting </w:t>
            </w:r>
          </w:p>
        </w:tc>
        <w:tc>
          <w:tcPr>
            <w:tcW w:w="1116" w:type="dxa"/>
            <w:gridSpan w:val="2"/>
            <w:shd w:val="clear" w:color="auto" w:fill="FFFFFF" w:themeFill="background1"/>
          </w:tcPr>
          <w:p w14:paraId="7E1133BD"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1-10% </w:t>
            </w:r>
          </w:p>
        </w:tc>
        <w:tc>
          <w:tcPr>
            <w:tcW w:w="3841" w:type="dxa"/>
            <w:gridSpan w:val="2"/>
            <w:shd w:val="clear" w:color="auto" w:fill="FFFFFF" w:themeFill="background1"/>
          </w:tcPr>
          <w:p w14:paraId="74FAE373"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Usually settles after 1st month of treatment. Refer to specialist for advice if continues </w:t>
            </w:r>
          </w:p>
        </w:tc>
      </w:tr>
      <w:tr w:rsidR="007D7D4B" w:rsidRPr="008D2732" w14:paraId="4FDA8E33" w14:textId="77777777" w:rsidTr="00B31C2B">
        <w:trPr>
          <w:trHeight w:val="247"/>
        </w:trPr>
        <w:tc>
          <w:tcPr>
            <w:tcW w:w="5173" w:type="dxa"/>
            <w:gridSpan w:val="2"/>
            <w:shd w:val="clear" w:color="auto" w:fill="FFFFFF" w:themeFill="background1"/>
          </w:tcPr>
          <w:p w14:paraId="61BC9658"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Weight decrease </w:t>
            </w:r>
          </w:p>
        </w:tc>
        <w:tc>
          <w:tcPr>
            <w:tcW w:w="1116" w:type="dxa"/>
            <w:gridSpan w:val="2"/>
            <w:shd w:val="clear" w:color="auto" w:fill="FFFFFF" w:themeFill="background1"/>
          </w:tcPr>
          <w:p w14:paraId="1AE088A2"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1-10% </w:t>
            </w:r>
          </w:p>
        </w:tc>
        <w:tc>
          <w:tcPr>
            <w:tcW w:w="3841" w:type="dxa"/>
            <w:gridSpan w:val="2"/>
            <w:shd w:val="clear" w:color="auto" w:fill="FFFFFF" w:themeFill="background1"/>
          </w:tcPr>
          <w:p w14:paraId="32E68073"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Usually settles after initial weight loss </w:t>
            </w:r>
          </w:p>
        </w:tc>
      </w:tr>
      <w:tr w:rsidR="007D7D4B" w:rsidRPr="008D2732" w14:paraId="0687BD3D" w14:textId="77777777" w:rsidTr="00B31C2B">
        <w:trPr>
          <w:trHeight w:val="476"/>
        </w:trPr>
        <w:tc>
          <w:tcPr>
            <w:tcW w:w="5173" w:type="dxa"/>
            <w:gridSpan w:val="2"/>
            <w:shd w:val="clear" w:color="auto" w:fill="FFFFFF" w:themeFill="background1"/>
          </w:tcPr>
          <w:p w14:paraId="0E8E0CE0"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Palpitations, tachycardia </w:t>
            </w:r>
          </w:p>
        </w:tc>
        <w:tc>
          <w:tcPr>
            <w:tcW w:w="1116" w:type="dxa"/>
            <w:gridSpan w:val="2"/>
            <w:shd w:val="clear" w:color="auto" w:fill="FFFFFF" w:themeFill="background1"/>
          </w:tcPr>
          <w:p w14:paraId="7A90B8C0"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1-10% </w:t>
            </w:r>
          </w:p>
        </w:tc>
        <w:tc>
          <w:tcPr>
            <w:tcW w:w="3841" w:type="dxa"/>
            <w:gridSpan w:val="2"/>
            <w:shd w:val="clear" w:color="auto" w:fill="FFFFFF" w:themeFill="background1"/>
          </w:tcPr>
          <w:p w14:paraId="1D0C939D" w14:textId="67055B9B"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Monitor. Consider discontinuing if clinically indicated. </w:t>
            </w:r>
            <w:r w:rsidR="002E4375" w:rsidRPr="008D2732">
              <w:rPr>
                <w:rFonts w:asciiTheme="minorHAnsi" w:hAnsiTheme="minorHAnsi" w:cstheme="minorHAnsi"/>
                <w:sz w:val="21"/>
                <w:szCs w:val="21"/>
              </w:rPr>
              <w:t>Refer</w:t>
            </w:r>
            <w:r w:rsidRPr="008D2732">
              <w:rPr>
                <w:rFonts w:asciiTheme="minorHAnsi" w:hAnsiTheme="minorHAnsi" w:cstheme="minorHAnsi"/>
                <w:sz w:val="21"/>
                <w:szCs w:val="21"/>
              </w:rPr>
              <w:t xml:space="preserve"> to ADHD specialist and cardiologist if indicated. </w:t>
            </w:r>
          </w:p>
        </w:tc>
      </w:tr>
      <w:tr w:rsidR="00545697" w:rsidRPr="008D2732" w14:paraId="5562262D" w14:textId="77777777" w:rsidTr="00B31C2B">
        <w:trPr>
          <w:trHeight w:val="132"/>
        </w:trPr>
        <w:tc>
          <w:tcPr>
            <w:tcW w:w="5173" w:type="dxa"/>
            <w:gridSpan w:val="2"/>
            <w:shd w:val="clear" w:color="auto" w:fill="FFFFFF" w:themeFill="background1"/>
          </w:tcPr>
          <w:p w14:paraId="2073806A" w14:textId="77777777" w:rsidR="007D7D4B" w:rsidRPr="008D2732" w:rsidRDefault="00545697">
            <w:pPr>
              <w:pStyle w:val="Default"/>
              <w:rPr>
                <w:rFonts w:asciiTheme="minorHAnsi" w:hAnsiTheme="minorHAnsi" w:cstheme="minorHAnsi"/>
                <w:sz w:val="21"/>
                <w:szCs w:val="21"/>
              </w:rPr>
            </w:pPr>
            <w:r w:rsidRPr="008D2732">
              <w:rPr>
                <w:rFonts w:asciiTheme="minorHAnsi" w:hAnsiTheme="minorHAnsi" w:cstheme="minorHAnsi"/>
                <w:sz w:val="21"/>
                <w:szCs w:val="21"/>
              </w:rPr>
              <w:t>S</w:t>
            </w:r>
            <w:r w:rsidR="007D7D4B" w:rsidRPr="008D2732">
              <w:rPr>
                <w:rFonts w:asciiTheme="minorHAnsi" w:hAnsiTheme="minorHAnsi" w:cstheme="minorHAnsi"/>
                <w:sz w:val="21"/>
                <w:szCs w:val="21"/>
              </w:rPr>
              <w:t xml:space="preserve">leep disorder, </w:t>
            </w:r>
          </w:p>
        </w:tc>
        <w:tc>
          <w:tcPr>
            <w:tcW w:w="1116" w:type="dxa"/>
            <w:gridSpan w:val="2"/>
            <w:shd w:val="clear" w:color="auto" w:fill="FFFFFF" w:themeFill="background1"/>
          </w:tcPr>
          <w:p w14:paraId="0A121F47" w14:textId="77777777" w:rsidR="007D7D4B" w:rsidRPr="008D2732" w:rsidRDefault="007D7D4B">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1-10% </w:t>
            </w:r>
          </w:p>
        </w:tc>
        <w:tc>
          <w:tcPr>
            <w:tcW w:w="3841" w:type="dxa"/>
            <w:gridSpan w:val="2"/>
            <w:shd w:val="clear" w:color="auto" w:fill="FFFFFF" w:themeFill="background1"/>
          </w:tcPr>
          <w:p w14:paraId="7446A62E" w14:textId="10F05ECE" w:rsidR="007D7D4B" w:rsidRPr="008D2732" w:rsidRDefault="002E4375">
            <w:pPr>
              <w:pStyle w:val="Default"/>
              <w:rPr>
                <w:rFonts w:asciiTheme="minorHAnsi" w:hAnsiTheme="minorHAnsi" w:cstheme="minorHAnsi"/>
                <w:sz w:val="21"/>
                <w:szCs w:val="21"/>
              </w:rPr>
            </w:pPr>
            <w:r w:rsidRPr="008D2732">
              <w:rPr>
                <w:rFonts w:asciiTheme="minorHAnsi" w:hAnsiTheme="minorHAnsi" w:cstheme="minorHAnsi"/>
                <w:sz w:val="21"/>
                <w:szCs w:val="21"/>
              </w:rPr>
              <w:t>Refer</w:t>
            </w:r>
            <w:r w:rsidR="007D7D4B" w:rsidRPr="008D2732">
              <w:rPr>
                <w:rFonts w:asciiTheme="minorHAnsi" w:hAnsiTheme="minorHAnsi" w:cstheme="minorHAnsi"/>
                <w:sz w:val="21"/>
                <w:szCs w:val="21"/>
              </w:rPr>
              <w:t xml:space="preserve"> to specialist </w:t>
            </w:r>
          </w:p>
        </w:tc>
      </w:tr>
      <w:tr w:rsidR="00BE69B8" w:rsidRPr="008D2732" w14:paraId="36B95136" w14:textId="77777777" w:rsidTr="00B31C2B">
        <w:trPr>
          <w:trHeight w:val="132"/>
        </w:trPr>
        <w:tc>
          <w:tcPr>
            <w:tcW w:w="5173" w:type="dxa"/>
            <w:gridSpan w:val="2"/>
            <w:shd w:val="clear" w:color="auto" w:fill="FFFFFF" w:themeFill="background1"/>
          </w:tcPr>
          <w:p w14:paraId="315F62BE" w14:textId="77777777" w:rsidR="00BE69B8" w:rsidRPr="008D2732" w:rsidRDefault="00BE69B8">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Libido decreased, sleep disorder, dizziness, sinus headache, tremor, fatigue, lethargy, agitation </w:t>
            </w:r>
          </w:p>
        </w:tc>
        <w:tc>
          <w:tcPr>
            <w:tcW w:w="1116" w:type="dxa"/>
            <w:gridSpan w:val="2"/>
            <w:shd w:val="clear" w:color="auto" w:fill="FFFFFF" w:themeFill="background1"/>
          </w:tcPr>
          <w:p w14:paraId="335BD70F" w14:textId="77777777" w:rsidR="00BE69B8" w:rsidRPr="008D2732" w:rsidRDefault="00BE69B8">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1-10% </w:t>
            </w:r>
          </w:p>
        </w:tc>
        <w:tc>
          <w:tcPr>
            <w:tcW w:w="3841" w:type="dxa"/>
            <w:gridSpan w:val="2"/>
            <w:shd w:val="clear" w:color="auto" w:fill="FFFFFF" w:themeFill="background1"/>
          </w:tcPr>
          <w:p w14:paraId="65563197" w14:textId="55B8A6BC" w:rsidR="00BE69B8" w:rsidRPr="008D2732" w:rsidRDefault="002E4375">
            <w:pPr>
              <w:pStyle w:val="Default"/>
              <w:rPr>
                <w:rFonts w:asciiTheme="minorHAnsi" w:hAnsiTheme="minorHAnsi" w:cstheme="minorHAnsi"/>
                <w:sz w:val="21"/>
                <w:szCs w:val="21"/>
              </w:rPr>
            </w:pPr>
            <w:r w:rsidRPr="008D2732">
              <w:rPr>
                <w:rFonts w:asciiTheme="minorHAnsi" w:hAnsiTheme="minorHAnsi" w:cstheme="minorHAnsi"/>
                <w:sz w:val="21"/>
                <w:szCs w:val="21"/>
              </w:rPr>
              <w:t>Refer</w:t>
            </w:r>
            <w:r w:rsidR="00BE69B8" w:rsidRPr="008D2732">
              <w:rPr>
                <w:rFonts w:asciiTheme="minorHAnsi" w:hAnsiTheme="minorHAnsi" w:cstheme="minorHAnsi"/>
                <w:sz w:val="21"/>
                <w:szCs w:val="21"/>
              </w:rPr>
              <w:t xml:space="preserve"> to specialist </w:t>
            </w:r>
          </w:p>
        </w:tc>
      </w:tr>
      <w:tr w:rsidR="00BE69B8" w:rsidRPr="008D2732" w14:paraId="227B4CE2" w14:textId="77777777" w:rsidTr="00B31C2B">
        <w:trPr>
          <w:trHeight w:val="132"/>
        </w:trPr>
        <w:tc>
          <w:tcPr>
            <w:tcW w:w="5173" w:type="dxa"/>
            <w:gridSpan w:val="2"/>
            <w:shd w:val="clear" w:color="auto" w:fill="FFFFFF" w:themeFill="background1"/>
          </w:tcPr>
          <w:p w14:paraId="7E6D58E8" w14:textId="77777777" w:rsidR="00BE69B8" w:rsidRPr="008D2732" w:rsidRDefault="00BE69B8">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Dysuria, urinary hesitation, urinary retention </w:t>
            </w:r>
          </w:p>
        </w:tc>
        <w:tc>
          <w:tcPr>
            <w:tcW w:w="1116" w:type="dxa"/>
            <w:gridSpan w:val="2"/>
            <w:shd w:val="clear" w:color="auto" w:fill="FFFFFF" w:themeFill="background1"/>
          </w:tcPr>
          <w:p w14:paraId="43F8C9BF" w14:textId="77777777" w:rsidR="00BE69B8" w:rsidRPr="008D2732" w:rsidRDefault="00BE69B8">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1-10% </w:t>
            </w:r>
          </w:p>
        </w:tc>
        <w:tc>
          <w:tcPr>
            <w:tcW w:w="3841" w:type="dxa"/>
            <w:gridSpan w:val="2"/>
            <w:shd w:val="clear" w:color="auto" w:fill="FFFFFF" w:themeFill="background1"/>
          </w:tcPr>
          <w:p w14:paraId="3A607BD4" w14:textId="0A5A14E8" w:rsidR="00BE69B8" w:rsidRPr="008D2732" w:rsidRDefault="002E4375">
            <w:pPr>
              <w:pStyle w:val="Default"/>
              <w:rPr>
                <w:rFonts w:asciiTheme="minorHAnsi" w:hAnsiTheme="minorHAnsi" w:cstheme="minorHAnsi"/>
                <w:sz w:val="21"/>
                <w:szCs w:val="21"/>
              </w:rPr>
            </w:pPr>
            <w:r w:rsidRPr="008D2732">
              <w:rPr>
                <w:rFonts w:asciiTheme="minorHAnsi" w:hAnsiTheme="minorHAnsi" w:cstheme="minorHAnsi"/>
                <w:sz w:val="21"/>
                <w:szCs w:val="21"/>
              </w:rPr>
              <w:t>Refer</w:t>
            </w:r>
            <w:r w:rsidR="00BE69B8" w:rsidRPr="008D2732">
              <w:rPr>
                <w:rFonts w:asciiTheme="minorHAnsi" w:hAnsiTheme="minorHAnsi" w:cstheme="minorHAnsi"/>
                <w:sz w:val="21"/>
                <w:szCs w:val="21"/>
              </w:rPr>
              <w:t xml:space="preserve"> to specialist </w:t>
            </w:r>
          </w:p>
        </w:tc>
      </w:tr>
      <w:tr w:rsidR="00BE69B8" w:rsidRPr="008D2732" w14:paraId="3E070BB2" w14:textId="77777777" w:rsidTr="00B31C2B">
        <w:trPr>
          <w:trHeight w:val="132"/>
        </w:trPr>
        <w:tc>
          <w:tcPr>
            <w:tcW w:w="5173" w:type="dxa"/>
            <w:gridSpan w:val="2"/>
            <w:shd w:val="clear" w:color="auto" w:fill="FFFFFF" w:themeFill="background1"/>
          </w:tcPr>
          <w:p w14:paraId="6F413DE9" w14:textId="77777777" w:rsidR="00BE69B8" w:rsidRPr="008D2732" w:rsidRDefault="00BE69B8">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Dysmenorrhoea, irregular menstruation, ejaculation disorder, erectile dysfunction, male genital pain </w:t>
            </w:r>
          </w:p>
        </w:tc>
        <w:tc>
          <w:tcPr>
            <w:tcW w:w="1116" w:type="dxa"/>
            <w:gridSpan w:val="2"/>
            <w:shd w:val="clear" w:color="auto" w:fill="FFFFFF" w:themeFill="background1"/>
          </w:tcPr>
          <w:p w14:paraId="34F0FC3F" w14:textId="77777777" w:rsidR="00BE69B8" w:rsidRPr="008D2732" w:rsidRDefault="00BE69B8">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1-10% </w:t>
            </w:r>
          </w:p>
        </w:tc>
        <w:tc>
          <w:tcPr>
            <w:tcW w:w="3841" w:type="dxa"/>
            <w:gridSpan w:val="2"/>
            <w:shd w:val="clear" w:color="auto" w:fill="FFFFFF" w:themeFill="background1"/>
          </w:tcPr>
          <w:p w14:paraId="1C09C63E" w14:textId="16F6F77A" w:rsidR="00BE69B8" w:rsidRPr="008D2732" w:rsidRDefault="002E4375">
            <w:pPr>
              <w:pStyle w:val="Default"/>
              <w:rPr>
                <w:rFonts w:asciiTheme="minorHAnsi" w:hAnsiTheme="minorHAnsi" w:cstheme="minorHAnsi"/>
                <w:sz w:val="21"/>
                <w:szCs w:val="21"/>
              </w:rPr>
            </w:pPr>
            <w:r w:rsidRPr="008D2732">
              <w:rPr>
                <w:rFonts w:asciiTheme="minorHAnsi" w:hAnsiTheme="minorHAnsi" w:cstheme="minorHAnsi"/>
                <w:sz w:val="21"/>
                <w:szCs w:val="21"/>
              </w:rPr>
              <w:t>Refer</w:t>
            </w:r>
            <w:r w:rsidR="00BE69B8" w:rsidRPr="008D2732">
              <w:rPr>
                <w:rFonts w:asciiTheme="minorHAnsi" w:hAnsiTheme="minorHAnsi" w:cstheme="minorHAnsi"/>
                <w:sz w:val="21"/>
                <w:szCs w:val="21"/>
              </w:rPr>
              <w:t xml:space="preserve"> to specialist </w:t>
            </w:r>
          </w:p>
        </w:tc>
      </w:tr>
      <w:tr w:rsidR="00BE69B8" w:rsidRPr="008D2732" w14:paraId="00B2D7DD" w14:textId="77777777" w:rsidTr="00B31C2B">
        <w:trPr>
          <w:trHeight w:val="132"/>
        </w:trPr>
        <w:tc>
          <w:tcPr>
            <w:tcW w:w="5173" w:type="dxa"/>
            <w:gridSpan w:val="2"/>
            <w:shd w:val="clear" w:color="auto" w:fill="FFFFFF" w:themeFill="background1"/>
          </w:tcPr>
          <w:p w14:paraId="2F5876F8" w14:textId="77777777" w:rsidR="00BE69B8" w:rsidRPr="008D2732" w:rsidRDefault="00BE69B8">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QT interval prolongation, </w:t>
            </w:r>
          </w:p>
        </w:tc>
        <w:tc>
          <w:tcPr>
            <w:tcW w:w="1116" w:type="dxa"/>
            <w:gridSpan w:val="2"/>
            <w:shd w:val="clear" w:color="auto" w:fill="FFFFFF" w:themeFill="background1"/>
          </w:tcPr>
          <w:p w14:paraId="6FD8D09F" w14:textId="77777777" w:rsidR="00BE69B8" w:rsidRPr="008D2732" w:rsidRDefault="00BE69B8">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0.1-1% </w:t>
            </w:r>
          </w:p>
        </w:tc>
        <w:tc>
          <w:tcPr>
            <w:tcW w:w="3841" w:type="dxa"/>
            <w:gridSpan w:val="2"/>
            <w:shd w:val="clear" w:color="auto" w:fill="FFFFFF" w:themeFill="background1"/>
          </w:tcPr>
          <w:p w14:paraId="6BC85D5E" w14:textId="77777777" w:rsidR="00BE69B8" w:rsidRPr="008D2732" w:rsidRDefault="00BE69B8">
            <w:pPr>
              <w:pStyle w:val="Default"/>
              <w:rPr>
                <w:rFonts w:asciiTheme="minorHAnsi" w:hAnsiTheme="minorHAnsi" w:cstheme="minorHAnsi"/>
                <w:sz w:val="21"/>
                <w:szCs w:val="21"/>
              </w:rPr>
            </w:pPr>
            <w:r w:rsidRPr="008D2732">
              <w:rPr>
                <w:rFonts w:asciiTheme="minorHAnsi" w:hAnsiTheme="minorHAnsi" w:cstheme="minorHAnsi"/>
                <w:sz w:val="21"/>
                <w:szCs w:val="21"/>
              </w:rPr>
              <w:t xml:space="preserve">Monitor. Consider reducing or discontinuing the medication in light of clinical findings. Further investigations should be considered (including ECG, 24 hour BP and 24 hour ECG). Consider referral to cardiology/ specialist physician </w:t>
            </w:r>
          </w:p>
        </w:tc>
      </w:tr>
      <w:tr w:rsidR="002246C8" w:rsidRPr="008D2732" w14:paraId="016D1A86" w14:textId="77777777" w:rsidTr="00B31C2B">
        <w:trPr>
          <w:trHeight w:val="1574"/>
        </w:trPr>
        <w:tc>
          <w:tcPr>
            <w:tcW w:w="5173" w:type="dxa"/>
            <w:gridSpan w:val="2"/>
            <w:shd w:val="clear" w:color="auto" w:fill="FFFFFF" w:themeFill="background1"/>
          </w:tcPr>
          <w:p w14:paraId="680FDE5F" w14:textId="77777777" w:rsidR="002246C8" w:rsidRPr="00BE4828" w:rsidRDefault="002246C8">
            <w:pPr>
              <w:pStyle w:val="Default"/>
              <w:rPr>
                <w:rFonts w:asciiTheme="minorHAnsi" w:hAnsiTheme="minorHAnsi" w:cstheme="minorHAnsi"/>
                <w:sz w:val="21"/>
                <w:szCs w:val="21"/>
              </w:rPr>
            </w:pPr>
            <w:r w:rsidRPr="00BE4828">
              <w:rPr>
                <w:rFonts w:asciiTheme="minorHAnsi" w:hAnsiTheme="minorHAnsi" w:cstheme="minorHAnsi"/>
                <w:sz w:val="21"/>
                <w:szCs w:val="21"/>
              </w:rPr>
              <w:t>Hepatic disorders</w:t>
            </w:r>
            <w:r w:rsidRPr="00BE4828">
              <w:rPr>
                <w:rFonts w:asciiTheme="minorHAnsi" w:hAnsiTheme="minorHAnsi" w:cstheme="minorHAnsi"/>
                <w:sz w:val="21"/>
                <w:szCs w:val="21"/>
              </w:rPr>
              <w:tab/>
            </w:r>
          </w:p>
        </w:tc>
        <w:tc>
          <w:tcPr>
            <w:tcW w:w="1116" w:type="dxa"/>
            <w:gridSpan w:val="2"/>
            <w:shd w:val="clear" w:color="auto" w:fill="FFFFFF" w:themeFill="background1"/>
          </w:tcPr>
          <w:p w14:paraId="43D2DF58" w14:textId="77777777" w:rsidR="002246C8" w:rsidRPr="00BE4828" w:rsidRDefault="00545697">
            <w:pPr>
              <w:pStyle w:val="Default"/>
              <w:rPr>
                <w:rFonts w:asciiTheme="minorHAnsi" w:hAnsiTheme="minorHAnsi" w:cstheme="minorHAnsi"/>
                <w:sz w:val="21"/>
                <w:szCs w:val="21"/>
              </w:rPr>
            </w:pPr>
            <w:r w:rsidRPr="00BE4828">
              <w:rPr>
                <w:rFonts w:asciiTheme="minorHAnsi" w:hAnsiTheme="minorHAnsi" w:cstheme="minorHAnsi"/>
                <w:sz w:val="21"/>
                <w:szCs w:val="21"/>
              </w:rPr>
              <w:t xml:space="preserve">Rare </w:t>
            </w:r>
          </w:p>
        </w:tc>
        <w:tc>
          <w:tcPr>
            <w:tcW w:w="3841" w:type="dxa"/>
            <w:gridSpan w:val="2"/>
            <w:shd w:val="clear" w:color="auto" w:fill="FFFFFF" w:themeFill="background1"/>
          </w:tcPr>
          <w:p w14:paraId="0BCF0971" w14:textId="33F181C8" w:rsidR="002246C8" w:rsidRPr="00BE4828" w:rsidRDefault="00545697" w:rsidP="00545697">
            <w:pPr>
              <w:pStyle w:val="NCLBodyText"/>
              <w:rPr>
                <w:rFonts w:asciiTheme="minorHAnsi" w:hAnsiTheme="minorHAnsi" w:cstheme="minorHAnsi"/>
                <w:sz w:val="21"/>
                <w:szCs w:val="21"/>
              </w:rPr>
            </w:pPr>
            <w:r w:rsidRPr="00BE4828">
              <w:rPr>
                <w:rFonts w:asciiTheme="minorHAnsi" w:hAnsiTheme="minorHAnsi" w:cstheme="minorHAnsi"/>
                <w:sz w:val="21"/>
                <w:szCs w:val="21"/>
              </w:rPr>
              <w:t xml:space="preserve">The </w:t>
            </w:r>
            <w:r w:rsidR="002246C8" w:rsidRPr="00BE4828">
              <w:rPr>
                <w:rFonts w:asciiTheme="minorHAnsi" w:hAnsiTheme="minorHAnsi" w:cstheme="minorHAnsi"/>
                <w:sz w:val="21"/>
                <w:szCs w:val="21"/>
              </w:rPr>
              <w:t xml:space="preserve">CSM has advised that patients and carers should be </w:t>
            </w:r>
            <w:r w:rsidRPr="00BE4828">
              <w:rPr>
                <w:rFonts w:asciiTheme="minorHAnsi" w:hAnsiTheme="minorHAnsi" w:cstheme="minorHAnsi"/>
                <w:sz w:val="21"/>
                <w:szCs w:val="21"/>
              </w:rPr>
              <w:t>informed</w:t>
            </w:r>
            <w:r w:rsidR="002246C8" w:rsidRPr="00BE4828">
              <w:rPr>
                <w:rFonts w:asciiTheme="minorHAnsi" w:hAnsiTheme="minorHAnsi" w:cstheme="minorHAnsi"/>
                <w:sz w:val="21"/>
                <w:szCs w:val="21"/>
              </w:rPr>
              <w:t xml:space="preserve"> of the risk and be told how to recognise symptoms; prompt medical attention should be sought in </w:t>
            </w:r>
            <w:r w:rsidR="002E4375" w:rsidRPr="00BE4828">
              <w:rPr>
                <w:rFonts w:asciiTheme="minorHAnsi" w:hAnsiTheme="minorHAnsi" w:cstheme="minorHAnsi"/>
                <w:sz w:val="21"/>
                <w:szCs w:val="21"/>
              </w:rPr>
              <w:t>case of</w:t>
            </w:r>
            <w:r w:rsidR="002246C8" w:rsidRPr="00BE4828">
              <w:rPr>
                <w:rFonts w:asciiTheme="minorHAnsi" w:hAnsiTheme="minorHAnsi" w:cstheme="minorHAnsi"/>
                <w:sz w:val="21"/>
                <w:szCs w:val="21"/>
              </w:rPr>
              <w:t xml:space="preserve"> abdominal pain, unexplained nausea and malaise, darkening of the urine or jaundice</w:t>
            </w:r>
            <w:r w:rsidRPr="00BE4828">
              <w:rPr>
                <w:rFonts w:asciiTheme="minorHAnsi" w:hAnsiTheme="minorHAnsi" w:cstheme="minorHAnsi"/>
                <w:sz w:val="21"/>
                <w:szCs w:val="21"/>
              </w:rPr>
              <w:t>.</w:t>
            </w:r>
          </w:p>
          <w:p w14:paraId="20A9D8B1" w14:textId="77777777" w:rsidR="00243C7B" w:rsidRPr="00BE4828" w:rsidRDefault="00243C7B" w:rsidP="00243C7B">
            <w:pPr>
              <w:pStyle w:val="NCLBodyText"/>
              <w:rPr>
                <w:rFonts w:asciiTheme="minorHAnsi" w:hAnsiTheme="minorHAnsi" w:cstheme="minorHAnsi"/>
                <w:sz w:val="21"/>
                <w:szCs w:val="21"/>
              </w:rPr>
            </w:pPr>
          </w:p>
          <w:p w14:paraId="2EEAD153" w14:textId="77777777" w:rsidR="00243C7B" w:rsidRPr="00BE4828" w:rsidRDefault="00243C7B" w:rsidP="00545697">
            <w:pPr>
              <w:pStyle w:val="NCLBodyText"/>
              <w:rPr>
                <w:rFonts w:asciiTheme="minorHAnsi" w:hAnsiTheme="minorHAnsi" w:cstheme="minorHAnsi"/>
                <w:sz w:val="21"/>
                <w:szCs w:val="21"/>
              </w:rPr>
            </w:pPr>
            <w:r w:rsidRPr="00BE4828">
              <w:rPr>
                <w:rFonts w:asciiTheme="minorHAnsi" w:hAnsiTheme="minorHAnsi" w:cstheme="minorHAnsi"/>
                <w:sz w:val="21"/>
                <w:szCs w:val="21"/>
              </w:rPr>
              <w:t>Consider discontinuing. Refer back to specialist.</w:t>
            </w:r>
          </w:p>
        </w:tc>
      </w:tr>
      <w:tr w:rsidR="002246C8" w:rsidRPr="008D2732" w14:paraId="63BA1AEB" w14:textId="77777777" w:rsidTr="00B31C2B">
        <w:trPr>
          <w:trHeight w:val="132"/>
        </w:trPr>
        <w:tc>
          <w:tcPr>
            <w:tcW w:w="5173" w:type="dxa"/>
            <w:gridSpan w:val="2"/>
            <w:shd w:val="clear" w:color="auto" w:fill="FFFFFF" w:themeFill="background1"/>
          </w:tcPr>
          <w:p w14:paraId="519F3117" w14:textId="37BAE51E" w:rsidR="002246C8" w:rsidRPr="00BE4828" w:rsidRDefault="00BE69B8" w:rsidP="00BE69B8">
            <w:pPr>
              <w:pStyle w:val="NCLBodyText"/>
              <w:jc w:val="left"/>
              <w:rPr>
                <w:rFonts w:asciiTheme="minorHAnsi" w:hAnsiTheme="minorHAnsi" w:cstheme="minorHAnsi"/>
                <w:sz w:val="21"/>
                <w:szCs w:val="21"/>
              </w:rPr>
            </w:pPr>
            <w:r w:rsidRPr="00BE4828">
              <w:rPr>
                <w:sz w:val="21"/>
                <w:szCs w:val="21"/>
              </w:rPr>
              <w:t xml:space="preserve">Suicide-related events, aggression, </w:t>
            </w:r>
            <w:r w:rsidR="006557F0" w:rsidRPr="00BE4828">
              <w:rPr>
                <w:sz w:val="21"/>
                <w:szCs w:val="21"/>
              </w:rPr>
              <w:t>hostility,</w:t>
            </w:r>
            <w:r w:rsidRPr="00BE4828">
              <w:rPr>
                <w:sz w:val="21"/>
                <w:szCs w:val="21"/>
              </w:rPr>
              <w:t xml:space="preserve"> and emotional lability</w:t>
            </w:r>
            <w:r w:rsidRPr="00BE4828">
              <w:rPr>
                <w:rFonts w:asciiTheme="minorHAnsi" w:hAnsiTheme="minorHAnsi" w:cstheme="minorHAnsi"/>
                <w:sz w:val="21"/>
                <w:szCs w:val="21"/>
              </w:rPr>
              <w:t>.</w:t>
            </w:r>
          </w:p>
          <w:p w14:paraId="632B11DA" w14:textId="77777777" w:rsidR="002246C8" w:rsidRPr="00BE4828" w:rsidRDefault="002246C8">
            <w:pPr>
              <w:pStyle w:val="Default"/>
              <w:rPr>
                <w:rFonts w:asciiTheme="minorHAnsi" w:hAnsiTheme="minorHAnsi" w:cstheme="minorHAnsi"/>
                <w:sz w:val="21"/>
                <w:szCs w:val="21"/>
              </w:rPr>
            </w:pPr>
          </w:p>
        </w:tc>
        <w:tc>
          <w:tcPr>
            <w:tcW w:w="1116" w:type="dxa"/>
            <w:gridSpan w:val="2"/>
            <w:shd w:val="clear" w:color="auto" w:fill="FFFFFF" w:themeFill="background1"/>
          </w:tcPr>
          <w:p w14:paraId="0658BCFA" w14:textId="77777777" w:rsidR="002246C8" w:rsidRPr="00BE4828" w:rsidRDefault="00545697">
            <w:pPr>
              <w:pStyle w:val="Default"/>
              <w:rPr>
                <w:rFonts w:asciiTheme="minorHAnsi" w:hAnsiTheme="minorHAnsi" w:cstheme="minorHAnsi"/>
                <w:sz w:val="21"/>
                <w:szCs w:val="21"/>
              </w:rPr>
            </w:pPr>
            <w:r w:rsidRPr="00BE4828">
              <w:rPr>
                <w:rFonts w:asciiTheme="minorHAnsi" w:hAnsiTheme="minorHAnsi" w:cstheme="minorHAnsi"/>
                <w:sz w:val="21"/>
                <w:szCs w:val="21"/>
              </w:rPr>
              <w:t>0.1-1%</w:t>
            </w:r>
          </w:p>
        </w:tc>
        <w:tc>
          <w:tcPr>
            <w:tcW w:w="3841" w:type="dxa"/>
            <w:gridSpan w:val="2"/>
            <w:shd w:val="clear" w:color="auto" w:fill="FFFFFF" w:themeFill="background1"/>
          </w:tcPr>
          <w:p w14:paraId="15568210" w14:textId="77777777" w:rsidR="002246C8" w:rsidRPr="00BE4828" w:rsidRDefault="002246C8" w:rsidP="00545697">
            <w:pPr>
              <w:pStyle w:val="NCLBodyText"/>
              <w:rPr>
                <w:rFonts w:asciiTheme="minorHAnsi" w:hAnsiTheme="minorHAnsi" w:cstheme="minorHAnsi"/>
                <w:sz w:val="21"/>
                <w:szCs w:val="21"/>
              </w:rPr>
            </w:pPr>
            <w:r w:rsidRPr="00BE4828">
              <w:rPr>
                <w:rFonts w:asciiTheme="minorHAnsi" w:hAnsiTheme="minorHAnsi" w:cstheme="minorHAnsi"/>
                <w:sz w:val="21"/>
                <w:szCs w:val="21"/>
              </w:rPr>
              <w:t>Following reports of suicidal thoughts and behaviour, the CSM has advised that patients and their carers should be informed about the risk and told to report clinical worsening, suicidal thoughts or behaviour, irritability, agitation, or depression</w:t>
            </w:r>
            <w:r w:rsidR="00545697" w:rsidRPr="00BE4828">
              <w:rPr>
                <w:rFonts w:asciiTheme="minorHAnsi" w:hAnsiTheme="minorHAnsi" w:cstheme="minorHAnsi"/>
                <w:sz w:val="21"/>
                <w:szCs w:val="21"/>
              </w:rPr>
              <w:t>.</w:t>
            </w:r>
          </w:p>
          <w:p w14:paraId="4BF07B61" w14:textId="77777777" w:rsidR="00243C7B" w:rsidRPr="00BE4828" w:rsidRDefault="00243C7B" w:rsidP="00545697">
            <w:pPr>
              <w:pStyle w:val="NCLBodyText"/>
              <w:rPr>
                <w:rFonts w:asciiTheme="minorHAnsi" w:hAnsiTheme="minorHAnsi" w:cstheme="minorHAnsi"/>
                <w:sz w:val="21"/>
                <w:szCs w:val="21"/>
              </w:rPr>
            </w:pPr>
            <w:r w:rsidRPr="00BE4828">
              <w:rPr>
                <w:rFonts w:asciiTheme="minorHAnsi" w:hAnsiTheme="minorHAnsi" w:cstheme="minorHAnsi"/>
                <w:sz w:val="21"/>
                <w:szCs w:val="21"/>
              </w:rPr>
              <w:t>Consider discontinuing. Refer back to specialist.</w:t>
            </w:r>
          </w:p>
        </w:tc>
      </w:tr>
      <w:tr w:rsidR="00231324" w:rsidRPr="00706F69" w14:paraId="571B5326" w14:textId="77777777" w:rsidTr="00B31C2B">
        <w:trPr>
          <w:gridBefore w:val="1"/>
          <w:wBefore w:w="28" w:type="dxa"/>
          <w:trHeight w:val="132"/>
        </w:trPr>
        <w:tc>
          <w:tcPr>
            <w:tcW w:w="5173" w:type="dxa"/>
            <w:gridSpan w:val="2"/>
            <w:shd w:val="clear" w:color="auto" w:fill="F2F2F2" w:themeFill="background1" w:themeFillShade="F2"/>
          </w:tcPr>
          <w:p w14:paraId="66F2A6C2" w14:textId="77777777" w:rsidR="00231324" w:rsidRPr="00BE4828" w:rsidRDefault="00231324" w:rsidP="00F6261A">
            <w:pPr>
              <w:pStyle w:val="NCLBodyText"/>
              <w:jc w:val="left"/>
              <w:rPr>
                <w:b/>
                <w:sz w:val="20"/>
                <w:szCs w:val="20"/>
              </w:rPr>
            </w:pPr>
            <w:r w:rsidRPr="00BE4828">
              <w:rPr>
                <w:b/>
                <w:sz w:val="20"/>
                <w:szCs w:val="20"/>
              </w:rPr>
              <w:t>GUANFACINE</w:t>
            </w:r>
          </w:p>
        </w:tc>
        <w:tc>
          <w:tcPr>
            <w:tcW w:w="1116" w:type="dxa"/>
            <w:gridSpan w:val="2"/>
            <w:shd w:val="clear" w:color="auto" w:fill="F2F2F2" w:themeFill="background1" w:themeFillShade="F2"/>
          </w:tcPr>
          <w:p w14:paraId="05F44423" w14:textId="77777777" w:rsidR="00231324" w:rsidRPr="00BE4828" w:rsidRDefault="00231324" w:rsidP="00F6261A">
            <w:pPr>
              <w:pStyle w:val="Default"/>
              <w:rPr>
                <w:rFonts w:asciiTheme="minorHAnsi" w:hAnsiTheme="minorHAnsi" w:cstheme="minorHAnsi"/>
                <w:sz w:val="22"/>
                <w:szCs w:val="22"/>
              </w:rPr>
            </w:pPr>
          </w:p>
        </w:tc>
        <w:tc>
          <w:tcPr>
            <w:tcW w:w="3813" w:type="dxa"/>
            <w:shd w:val="clear" w:color="auto" w:fill="F2F2F2" w:themeFill="background1" w:themeFillShade="F2"/>
          </w:tcPr>
          <w:p w14:paraId="06E69629" w14:textId="77777777" w:rsidR="00231324" w:rsidRPr="00BE4828" w:rsidRDefault="00231324" w:rsidP="00F6261A">
            <w:pPr>
              <w:pStyle w:val="NCLBodyText"/>
              <w:rPr>
                <w:rFonts w:asciiTheme="minorHAnsi" w:hAnsiTheme="minorHAnsi" w:cstheme="minorHAnsi"/>
              </w:rPr>
            </w:pPr>
          </w:p>
        </w:tc>
      </w:tr>
      <w:tr w:rsidR="00231324" w:rsidRPr="00706F69" w14:paraId="03C1DE65" w14:textId="77777777" w:rsidTr="00B31C2B">
        <w:trPr>
          <w:gridBefore w:val="1"/>
          <w:wBefore w:w="28" w:type="dxa"/>
          <w:trHeight w:val="132"/>
        </w:trPr>
        <w:tc>
          <w:tcPr>
            <w:tcW w:w="5173" w:type="dxa"/>
            <w:gridSpan w:val="2"/>
            <w:shd w:val="clear" w:color="auto" w:fill="FFFFFF" w:themeFill="background1"/>
          </w:tcPr>
          <w:p w14:paraId="4E51B1BE" w14:textId="77777777" w:rsidR="00231324" w:rsidRPr="00BE4828" w:rsidRDefault="00231324" w:rsidP="00F6261A">
            <w:pPr>
              <w:pStyle w:val="NCLBodyText"/>
              <w:jc w:val="left"/>
              <w:rPr>
                <w:sz w:val="20"/>
                <w:szCs w:val="20"/>
              </w:rPr>
            </w:pPr>
            <w:r w:rsidRPr="00BE4828">
              <w:rPr>
                <w:sz w:val="20"/>
                <w:szCs w:val="20"/>
              </w:rPr>
              <w:t>Decreased appetite</w:t>
            </w:r>
          </w:p>
        </w:tc>
        <w:tc>
          <w:tcPr>
            <w:tcW w:w="1116" w:type="dxa"/>
            <w:gridSpan w:val="2"/>
            <w:shd w:val="clear" w:color="auto" w:fill="FFFFFF" w:themeFill="background1"/>
          </w:tcPr>
          <w:p w14:paraId="2F1CB72B" w14:textId="77777777" w:rsidR="00231324" w:rsidRPr="00BE4828" w:rsidRDefault="00231324" w:rsidP="00F6261A">
            <w:pPr>
              <w:pStyle w:val="Default"/>
              <w:rPr>
                <w:rFonts w:asciiTheme="minorHAnsi" w:hAnsiTheme="minorHAnsi" w:cstheme="minorHAnsi"/>
                <w:sz w:val="22"/>
                <w:szCs w:val="22"/>
              </w:rPr>
            </w:pPr>
            <w:r w:rsidRPr="00BE4828">
              <w:rPr>
                <w:rFonts w:asciiTheme="minorHAnsi" w:hAnsiTheme="minorHAnsi" w:cstheme="minorHAnsi"/>
                <w:sz w:val="22"/>
                <w:szCs w:val="22"/>
              </w:rPr>
              <w:t>1-10%</w:t>
            </w:r>
          </w:p>
        </w:tc>
        <w:tc>
          <w:tcPr>
            <w:tcW w:w="3813" w:type="dxa"/>
            <w:shd w:val="clear" w:color="auto" w:fill="FFFFFF" w:themeFill="background1"/>
          </w:tcPr>
          <w:p w14:paraId="7BABAABC" w14:textId="77777777" w:rsidR="00231324" w:rsidRPr="00BE4828" w:rsidRDefault="00231324" w:rsidP="00F6261A">
            <w:pPr>
              <w:pStyle w:val="NCLBodyText"/>
              <w:rPr>
                <w:rFonts w:asciiTheme="minorHAnsi" w:hAnsiTheme="minorHAnsi" w:cstheme="minorHAnsi"/>
              </w:rPr>
            </w:pPr>
            <w:r w:rsidRPr="00BE4828">
              <w:rPr>
                <w:rFonts w:asciiTheme="minorHAnsi" w:hAnsiTheme="minorHAnsi" w:cstheme="minorHAnsi"/>
              </w:rPr>
              <w:t>Refer to specialist for advice if continues</w:t>
            </w:r>
          </w:p>
        </w:tc>
      </w:tr>
      <w:tr w:rsidR="00231324" w:rsidRPr="00C3433F" w14:paraId="102990A0" w14:textId="77777777" w:rsidTr="00B31C2B">
        <w:trPr>
          <w:gridBefore w:val="1"/>
          <w:wBefore w:w="28" w:type="dxa"/>
          <w:trHeight w:val="132"/>
        </w:trPr>
        <w:tc>
          <w:tcPr>
            <w:tcW w:w="5173" w:type="dxa"/>
            <w:gridSpan w:val="2"/>
            <w:shd w:val="clear" w:color="auto" w:fill="FFFFFF" w:themeFill="background1"/>
          </w:tcPr>
          <w:p w14:paraId="3F7D71FA" w14:textId="77777777" w:rsidR="00231324" w:rsidRPr="00BE4828" w:rsidRDefault="00231324" w:rsidP="00F6261A">
            <w:pPr>
              <w:pStyle w:val="NCLBodyText"/>
              <w:jc w:val="left"/>
              <w:rPr>
                <w:sz w:val="20"/>
                <w:szCs w:val="20"/>
              </w:rPr>
            </w:pPr>
            <w:r w:rsidRPr="00BE4828">
              <w:rPr>
                <w:sz w:val="20"/>
                <w:szCs w:val="20"/>
              </w:rPr>
              <w:t xml:space="preserve">Depression, anxiety, affect lability, </w:t>
            </w:r>
          </w:p>
          <w:p w14:paraId="4A8A60E2" w14:textId="77777777" w:rsidR="00231324" w:rsidRPr="00BE4828" w:rsidRDefault="00231324" w:rsidP="00F6261A">
            <w:pPr>
              <w:pStyle w:val="NCLBodyText"/>
              <w:jc w:val="left"/>
              <w:rPr>
                <w:sz w:val="20"/>
                <w:szCs w:val="20"/>
              </w:rPr>
            </w:pPr>
            <w:r w:rsidRPr="00BE4828">
              <w:rPr>
                <w:sz w:val="20"/>
                <w:szCs w:val="20"/>
              </w:rPr>
              <w:t xml:space="preserve"> Insomnia, nightmare.</w:t>
            </w:r>
          </w:p>
        </w:tc>
        <w:tc>
          <w:tcPr>
            <w:tcW w:w="1116" w:type="dxa"/>
            <w:gridSpan w:val="2"/>
            <w:shd w:val="clear" w:color="auto" w:fill="FFFFFF" w:themeFill="background1"/>
          </w:tcPr>
          <w:p w14:paraId="39B38882" w14:textId="77777777" w:rsidR="00231324" w:rsidRPr="00BE4828" w:rsidRDefault="00231324" w:rsidP="00F6261A">
            <w:pPr>
              <w:pStyle w:val="Default"/>
              <w:rPr>
                <w:rFonts w:asciiTheme="minorHAnsi" w:hAnsiTheme="minorHAnsi" w:cstheme="minorHAnsi"/>
                <w:sz w:val="22"/>
                <w:szCs w:val="22"/>
              </w:rPr>
            </w:pPr>
            <w:r w:rsidRPr="00BE4828">
              <w:rPr>
                <w:rFonts w:asciiTheme="minorHAnsi" w:hAnsiTheme="minorHAnsi" w:cstheme="minorHAnsi"/>
                <w:sz w:val="22"/>
                <w:szCs w:val="22"/>
              </w:rPr>
              <w:t xml:space="preserve">1-10% </w:t>
            </w:r>
          </w:p>
        </w:tc>
        <w:tc>
          <w:tcPr>
            <w:tcW w:w="3813" w:type="dxa"/>
            <w:shd w:val="clear" w:color="auto" w:fill="FFFFFF" w:themeFill="background1"/>
          </w:tcPr>
          <w:p w14:paraId="3788A4DD" w14:textId="77777777" w:rsidR="00231324" w:rsidRPr="00BE4828" w:rsidRDefault="00231324" w:rsidP="00F6261A">
            <w:pPr>
              <w:pStyle w:val="NCLBodyText"/>
              <w:rPr>
                <w:rFonts w:asciiTheme="minorHAnsi" w:hAnsiTheme="minorHAnsi" w:cstheme="minorHAnsi"/>
              </w:rPr>
            </w:pPr>
            <w:r w:rsidRPr="00BE4828">
              <w:rPr>
                <w:rFonts w:asciiTheme="minorHAnsi" w:hAnsiTheme="minorHAnsi" w:cstheme="minorHAnsi"/>
              </w:rPr>
              <w:t>Refer back to specialist.</w:t>
            </w:r>
          </w:p>
        </w:tc>
      </w:tr>
      <w:tr w:rsidR="00231324" w:rsidRPr="00C3433F" w14:paraId="2B530EF7" w14:textId="77777777" w:rsidTr="00B31C2B">
        <w:trPr>
          <w:gridBefore w:val="1"/>
          <w:wBefore w:w="28" w:type="dxa"/>
          <w:trHeight w:val="132"/>
        </w:trPr>
        <w:tc>
          <w:tcPr>
            <w:tcW w:w="5173" w:type="dxa"/>
            <w:gridSpan w:val="2"/>
            <w:shd w:val="clear" w:color="auto" w:fill="FFFFFF" w:themeFill="background1"/>
          </w:tcPr>
          <w:p w14:paraId="259DF18A" w14:textId="77777777" w:rsidR="00231324" w:rsidRPr="00BE4828" w:rsidRDefault="00231324" w:rsidP="00F6261A">
            <w:pPr>
              <w:pStyle w:val="NCLBodyText"/>
              <w:jc w:val="left"/>
              <w:rPr>
                <w:sz w:val="20"/>
                <w:szCs w:val="20"/>
              </w:rPr>
            </w:pPr>
            <w:r w:rsidRPr="00BE4828">
              <w:rPr>
                <w:sz w:val="20"/>
                <w:szCs w:val="20"/>
              </w:rPr>
              <w:t>Agitation, hallucination</w:t>
            </w:r>
          </w:p>
        </w:tc>
        <w:tc>
          <w:tcPr>
            <w:tcW w:w="1116" w:type="dxa"/>
            <w:gridSpan w:val="2"/>
            <w:shd w:val="clear" w:color="auto" w:fill="FFFFFF" w:themeFill="background1"/>
          </w:tcPr>
          <w:p w14:paraId="37480371" w14:textId="77777777" w:rsidR="00231324" w:rsidRPr="00BE4828" w:rsidRDefault="00231324" w:rsidP="00F6261A">
            <w:pPr>
              <w:pStyle w:val="Default"/>
              <w:rPr>
                <w:rFonts w:asciiTheme="minorHAnsi" w:hAnsiTheme="minorHAnsi" w:cstheme="minorHAnsi"/>
                <w:sz w:val="22"/>
                <w:szCs w:val="22"/>
              </w:rPr>
            </w:pPr>
            <w:r w:rsidRPr="00BE4828">
              <w:rPr>
                <w:rFonts w:asciiTheme="minorHAnsi" w:hAnsiTheme="minorHAnsi" w:cstheme="minorHAnsi"/>
                <w:sz w:val="22"/>
                <w:szCs w:val="22"/>
              </w:rPr>
              <w:t>0.1 -1%</w:t>
            </w:r>
          </w:p>
        </w:tc>
        <w:tc>
          <w:tcPr>
            <w:tcW w:w="3813" w:type="dxa"/>
            <w:shd w:val="clear" w:color="auto" w:fill="FFFFFF" w:themeFill="background1"/>
          </w:tcPr>
          <w:p w14:paraId="60B8C464" w14:textId="77777777" w:rsidR="00231324" w:rsidRPr="00BE4828" w:rsidRDefault="00231324" w:rsidP="00F6261A">
            <w:pPr>
              <w:pStyle w:val="NCLBodyText"/>
              <w:rPr>
                <w:rFonts w:asciiTheme="minorHAnsi" w:hAnsiTheme="minorHAnsi" w:cstheme="minorHAnsi"/>
              </w:rPr>
            </w:pPr>
            <w:r w:rsidRPr="00BE4828">
              <w:rPr>
                <w:rFonts w:asciiTheme="minorHAnsi" w:hAnsiTheme="minorHAnsi" w:cstheme="minorHAnsi"/>
              </w:rPr>
              <w:t>Refer back to specialist.</w:t>
            </w:r>
          </w:p>
        </w:tc>
      </w:tr>
      <w:tr w:rsidR="00231324" w:rsidRPr="00B91BE4" w14:paraId="627EACD3" w14:textId="77777777" w:rsidTr="00B31C2B">
        <w:trPr>
          <w:gridBefore w:val="1"/>
          <w:wBefore w:w="28" w:type="dxa"/>
          <w:trHeight w:val="132"/>
        </w:trPr>
        <w:tc>
          <w:tcPr>
            <w:tcW w:w="5173" w:type="dxa"/>
            <w:gridSpan w:val="2"/>
            <w:shd w:val="clear" w:color="auto" w:fill="FFFFFF" w:themeFill="background1"/>
          </w:tcPr>
          <w:p w14:paraId="2C71DD05" w14:textId="77777777" w:rsidR="00231324" w:rsidRPr="00BE4828" w:rsidRDefault="00231324" w:rsidP="00F6261A">
            <w:pPr>
              <w:pStyle w:val="NCLBodyText"/>
              <w:jc w:val="left"/>
              <w:rPr>
                <w:sz w:val="20"/>
                <w:szCs w:val="20"/>
              </w:rPr>
            </w:pPr>
            <w:r w:rsidRPr="00BE4828">
              <w:rPr>
                <w:sz w:val="20"/>
                <w:szCs w:val="20"/>
              </w:rPr>
              <w:t>Bradycardia</w:t>
            </w:r>
          </w:p>
        </w:tc>
        <w:tc>
          <w:tcPr>
            <w:tcW w:w="1116" w:type="dxa"/>
            <w:gridSpan w:val="2"/>
            <w:shd w:val="clear" w:color="auto" w:fill="FFFFFF" w:themeFill="background1"/>
          </w:tcPr>
          <w:p w14:paraId="2738C0A4" w14:textId="77777777" w:rsidR="00231324" w:rsidRPr="00BE4828" w:rsidRDefault="00231324" w:rsidP="00F6261A">
            <w:pPr>
              <w:pStyle w:val="Default"/>
              <w:rPr>
                <w:rFonts w:asciiTheme="minorHAnsi" w:hAnsiTheme="minorHAnsi" w:cstheme="minorHAnsi"/>
                <w:sz w:val="22"/>
                <w:szCs w:val="22"/>
              </w:rPr>
            </w:pPr>
            <w:r w:rsidRPr="00BE4828">
              <w:rPr>
                <w:rFonts w:asciiTheme="minorHAnsi" w:hAnsiTheme="minorHAnsi" w:cstheme="minorHAnsi"/>
                <w:sz w:val="22"/>
                <w:szCs w:val="22"/>
              </w:rPr>
              <w:t>1-10%</w:t>
            </w:r>
          </w:p>
        </w:tc>
        <w:tc>
          <w:tcPr>
            <w:tcW w:w="3813" w:type="dxa"/>
            <w:shd w:val="clear" w:color="auto" w:fill="FFFFFF" w:themeFill="background1"/>
          </w:tcPr>
          <w:p w14:paraId="4743136B" w14:textId="77777777" w:rsidR="00231324" w:rsidRPr="00BE4828" w:rsidRDefault="00231324" w:rsidP="00F6261A">
            <w:pPr>
              <w:pStyle w:val="NCLBodyText"/>
              <w:rPr>
                <w:rFonts w:asciiTheme="minorHAnsi" w:hAnsiTheme="minorHAnsi" w:cstheme="minorHAnsi"/>
              </w:rPr>
            </w:pPr>
            <w:r w:rsidRPr="00BE4828">
              <w:rPr>
                <w:rFonts w:asciiTheme="minorHAnsi" w:hAnsiTheme="minorHAnsi" w:cstheme="minorHAnsi"/>
              </w:rPr>
              <w:t xml:space="preserve">Monitor. Consider reducing or discontinuing the medication in light of clinical findings. Further investigations </w:t>
            </w:r>
            <w:r w:rsidRPr="00BE4828">
              <w:rPr>
                <w:rFonts w:asciiTheme="minorHAnsi" w:hAnsiTheme="minorHAnsi" w:cstheme="minorHAnsi"/>
              </w:rPr>
              <w:lastRenderedPageBreak/>
              <w:t xml:space="preserve">should be considered (including ECG, 24 hour BP and 24 hour ECG. </w:t>
            </w:r>
          </w:p>
          <w:p w14:paraId="734CC06B" w14:textId="77777777" w:rsidR="00231324" w:rsidRPr="00BE4828" w:rsidRDefault="00231324" w:rsidP="00F6261A">
            <w:pPr>
              <w:pStyle w:val="NCLBodyText"/>
              <w:rPr>
                <w:rFonts w:asciiTheme="minorHAnsi" w:hAnsiTheme="minorHAnsi" w:cstheme="minorHAnsi"/>
              </w:rPr>
            </w:pPr>
            <w:r w:rsidRPr="00BE4828">
              <w:rPr>
                <w:rFonts w:asciiTheme="minorHAnsi" w:hAnsiTheme="minorHAnsi" w:cstheme="minorHAnsi"/>
              </w:rPr>
              <w:t>Consider referral to cardiology/ specialist physician.</w:t>
            </w:r>
          </w:p>
        </w:tc>
      </w:tr>
      <w:tr w:rsidR="000A4081" w:rsidRPr="00B91BE4" w14:paraId="64B6B513" w14:textId="77777777" w:rsidTr="00B31C2B">
        <w:trPr>
          <w:gridBefore w:val="1"/>
          <w:wBefore w:w="28" w:type="dxa"/>
          <w:trHeight w:val="132"/>
        </w:trPr>
        <w:tc>
          <w:tcPr>
            <w:tcW w:w="5173" w:type="dxa"/>
            <w:gridSpan w:val="2"/>
            <w:shd w:val="clear" w:color="auto" w:fill="FFFFFF" w:themeFill="background1"/>
          </w:tcPr>
          <w:p w14:paraId="4CDDEB29" w14:textId="6385F5AB" w:rsidR="000A4081" w:rsidRPr="00BE4828" w:rsidRDefault="000A4081" w:rsidP="00F6261A">
            <w:pPr>
              <w:pStyle w:val="NCLBodyText"/>
              <w:jc w:val="left"/>
              <w:rPr>
                <w:sz w:val="20"/>
                <w:szCs w:val="20"/>
              </w:rPr>
            </w:pPr>
            <w:r w:rsidRPr="00BE4828">
              <w:rPr>
                <w:sz w:val="20"/>
                <w:szCs w:val="20"/>
              </w:rPr>
              <w:lastRenderedPageBreak/>
              <w:t xml:space="preserve">Tachycardia </w:t>
            </w:r>
          </w:p>
        </w:tc>
        <w:tc>
          <w:tcPr>
            <w:tcW w:w="1116" w:type="dxa"/>
            <w:gridSpan w:val="2"/>
            <w:shd w:val="clear" w:color="auto" w:fill="FFFFFF" w:themeFill="background1"/>
          </w:tcPr>
          <w:p w14:paraId="78936BD1" w14:textId="77777777" w:rsidR="000A4081" w:rsidRPr="00BE4828" w:rsidRDefault="000A4081" w:rsidP="00F6261A">
            <w:pPr>
              <w:pStyle w:val="Default"/>
              <w:rPr>
                <w:rFonts w:asciiTheme="minorHAnsi" w:hAnsiTheme="minorHAnsi" w:cstheme="minorHAnsi"/>
                <w:sz w:val="22"/>
                <w:szCs w:val="22"/>
              </w:rPr>
            </w:pPr>
          </w:p>
        </w:tc>
        <w:tc>
          <w:tcPr>
            <w:tcW w:w="3813" w:type="dxa"/>
            <w:shd w:val="clear" w:color="auto" w:fill="FFFFFF" w:themeFill="background1"/>
          </w:tcPr>
          <w:p w14:paraId="1223E34E" w14:textId="77777777" w:rsidR="000A4081" w:rsidRPr="00BE4828" w:rsidRDefault="000A4081" w:rsidP="000A4081">
            <w:pPr>
              <w:pStyle w:val="NCLBodyText"/>
              <w:rPr>
                <w:rFonts w:asciiTheme="minorHAnsi" w:hAnsiTheme="minorHAnsi" w:cstheme="minorHAnsi"/>
              </w:rPr>
            </w:pPr>
            <w:r w:rsidRPr="00BE4828">
              <w:rPr>
                <w:rFonts w:asciiTheme="minorHAnsi" w:hAnsiTheme="minorHAnsi" w:cstheme="minorHAnsi"/>
              </w:rPr>
              <w:t xml:space="preserve">Monitor. Consider reducing or discontinuing the medication in light of clinical findings. Further investigations should be considered (including ECG, 24 hour BP and 24 hour ECG. </w:t>
            </w:r>
          </w:p>
          <w:p w14:paraId="4A9C2EA8" w14:textId="05D3F557" w:rsidR="000A4081" w:rsidRPr="00BE4828" w:rsidRDefault="000A4081" w:rsidP="000A4081">
            <w:pPr>
              <w:pStyle w:val="NCLBodyText"/>
              <w:rPr>
                <w:rFonts w:asciiTheme="minorHAnsi" w:hAnsiTheme="minorHAnsi" w:cstheme="minorHAnsi"/>
              </w:rPr>
            </w:pPr>
            <w:r w:rsidRPr="00BE4828">
              <w:rPr>
                <w:rFonts w:asciiTheme="minorHAnsi" w:hAnsiTheme="minorHAnsi" w:cstheme="minorHAnsi"/>
              </w:rPr>
              <w:t>Consider referral to cardiology/ specialist physician</w:t>
            </w:r>
          </w:p>
        </w:tc>
      </w:tr>
      <w:tr w:rsidR="00231324" w:rsidRPr="00B91BE4" w14:paraId="44589281" w14:textId="77777777" w:rsidTr="00B31C2B">
        <w:trPr>
          <w:gridBefore w:val="1"/>
          <w:wBefore w:w="28" w:type="dxa"/>
          <w:trHeight w:val="132"/>
        </w:trPr>
        <w:tc>
          <w:tcPr>
            <w:tcW w:w="5173" w:type="dxa"/>
            <w:gridSpan w:val="2"/>
            <w:shd w:val="clear" w:color="auto" w:fill="FFFFFF" w:themeFill="background1"/>
          </w:tcPr>
          <w:p w14:paraId="30B9007B" w14:textId="77777777" w:rsidR="00231324" w:rsidRPr="00BE4828" w:rsidRDefault="00231324" w:rsidP="00F6261A">
            <w:pPr>
              <w:pStyle w:val="NCLBodyText"/>
              <w:jc w:val="left"/>
              <w:rPr>
                <w:sz w:val="20"/>
                <w:szCs w:val="20"/>
              </w:rPr>
            </w:pPr>
            <w:r w:rsidRPr="00BE4828">
              <w:rPr>
                <w:sz w:val="20"/>
                <w:szCs w:val="20"/>
              </w:rPr>
              <w:t>Somnolence, headache</w:t>
            </w:r>
          </w:p>
        </w:tc>
        <w:tc>
          <w:tcPr>
            <w:tcW w:w="1116" w:type="dxa"/>
            <w:gridSpan w:val="2"/>
            <w:shd w:val="clear" w:color="auto" w:fill="FFFFFF" w:themeFill="background1"/>
          </w:tcPr>
          <w:p w14:paraId="445442C1" w14:textId="77777777" w:rsidR="00231324" w:rsidRPr="00BE4828" w:rsidRDefault="00231324" w:rsidP="00F6261A">
            <w:pPr>
              <w:pStyle w:val="Default"/>
              <w:rPr>
                <w:rFonts w:asciiTheme="minorHAnsi" w:hAnsiTheme="minorHAnsi" w:cstheme="minorHAnsi"/>
                <w:sz w:val="22"/>
                <w:szCs w:val="22"/>
              </w:rPr>
            </w:pPr>
            <w:r w:rsidRPr="00BE4828">
              <w:rPr>
                <w:rFonts w:asciiTheme="minorHAnsi" w:hAnsiTheme="minorHAnsi" w:cstheme="minorHAnsi"/>
                <w:sz w:val="22"/>
                <w:szCs w:val="22"/>
              </w:rPr>
              <w:t>≥10%</w:t>
            </w:r>
          </w:p>
        </w:tc>
        <w:tc>
          <w:tcPr>
            <w:tcW w:w="3813" w:type="dxa"/>
            <w:shd w:val="clear" w:color="auto" w:fill="FFFFFF" w:themeFill="background1"/>
          </w:tcPr>
          <w:p w14:paraId="6F91B84F" w14:textId="77777777" w:rsidR="00231324" w:rsidRPr="00BE4828" w:rsidRDefault="00231324" w:rsidP="00F6261A">
            <w:pPr>
              <w:pStyle w:val="NCLBodyText"/>
              <w:rPr>
                <w:rFonts w:asciiTheme="minorHAnsi" w:hAnsiTheme="minorHAnsi" w:cstheme="minorHAnsi"/>
              </w:rPr>
            </w:pPr>
            <w:r w:rsidRPr="00BE4828">
              <w:rPr>
                <w:rFonts w:asciiTheme="minorHAnsi" w:hAnsiTheme="minorHAnsi" w:cstheme="minorHAnsi"/>
              </w:rPr>
              <w:t>Refer to specialist for advice if continues</w:t>
            </w:r>
          </w:p>
        </w:tc>
      </w:tr>
      <w:tr w:rsidR="00231324" w:rsidRPr="00B91BE4" w14:paraId="435B3170" w14:textId="77777777" w:rsidTr="00B31C2B">
        <w:trPr>
          <w:gridBefore w:val="1"/>
          <w:wBefore w:w="28" w:type="dxa"/>
          <w:trHeight w:val="132"/>
        </w:trPr>
        <w:tc>
          <w:tcPr>
            <w:tcW w:w="5173" w:type="dxa"/>
            <w:gridSpan w:val="2"/>
            <w:shd w:val="clear" w:color="auto" w:fill="FFFFFF" w:themeFill="background1"/>
          </w:tcPr>
          <w:p w14:paraId="14F9369B" w14:textId="77777777" w:rsidR="00231324" w:rsidRPr="00BE4828" w:rsidRDefault="00231324" w:rsidP="00F6261A">
            <w:pPr>
              <w:pStyle w:val="NCLBodyText"/>
              <w:jc w:val="left"/>
              <w:rPr>
                <w:sz w:val="20"/>
                <w:szCs w:val="20"/>
              </w:rPr>
            </w:pPr>
            <w:r w:rsidRPr="00BE4828">
              <w:rPr>
                <w:sz w:val="20"/>
                <w:szCs w:val="20"/>
              </w:rPr>
              <w:t>Sedation,</w:t>
            </w:r>
            <w:r w:rsidRPr="00BE4828">
              <w:t xml:space="preserve"> </w:t>
            </w:r>
            <w:r w:rsidRPr="00BE4828">
              <w:rPr>
                <w:sz w:val="20"/>
                <w:szCs w:val="20"/>
              </w:rPr>
              <w:t>dizziness, lethargy,</w:t>
            </w:r>
            <w:r w:rsidRPr="00BE4828">
              <w:t xml:space="preserve"> </w:t>
            </w:r>
          </w:p>
        </w:tc>
        <w:tc>
          <w:tcPr>
            <w:tcW w:w="1116" w:type="dxa"/>
            <w:gridSpan w:val="2"/>
            <w:shd w:val="clear" w:color="auto" w:fill="FFFFFF" w:themeFill="background1"/>
          </w:tcPr>
          <w:p w14:paraId="37B0A6AF" w14:textId="77777777" w:rsidR="00231324" w:rsidRPr="00BE4828" w:rsidRDefault="00231324" w:rsidP="00F6261A">
            <w:pPr>
              <w:pStyle w:val="Default"/>
              <w:rPr>
                <w:rFonts w:asciiTheme="minorHAnsi" w:hAnsiTheme="minorHAnsi" w:cstheme="minorHAnsi"/>
                <w:sz w:val="22"/>
                <w:szCs w:val="22"/>
              </w:rPr>
            </w:pPr>
            <w:r w:rsidRPr="00BE4828">
              <w:rPr>
                <w:rFonts w:asciiTheme="minorHAnsi" w:hAnsiTheme="minorHAnsi" w:cstheme="minorHAnsi"/>
                <w:sz w:val="22"/>
                <w:szCs w:val="22"/>
              </w:rPr>
              <w:t>1-10%</w:t>
            </w:r>
          </w:p>
        </w:tc>
        <w:tc>
          <w:tcPr>
            <w:tcW w:w="3813" w:type="dxa"/>
            <w:shd w:val="clear" w:color="auto" w:fill="FFFFFF" w:themeFill="background1"/>
          </w:tcPr>
          <w:p w14:paraId="0EF76144" w14:textId="77777777" w:rsidR="00231324" w:rsidRPr="00BE4828" w:rsidRDefault="00231324" w:rsidP="00F6261A">
            <w:pPr>
              <w:pStyle w:val="NCLBodyText"/>
              <w:rPr>
                <w:rFonts w:asciiTheme="minorHAnsi" w:hAnsiTheme="minorHAnsi" w:cstheme="minorHAnsi"/>
              </w:rPr>
            </w:pPr>
            <w:r w:rsidRPr="00BE4828">
              <w:rPr>
                <w:rFonts w:asciiTheme="minorHAnsi" w:hAnsiTheme="minorHAnsi" w:cstheme="minorHAnsi"/>
              </w:rPr>
              <w:t>Refer to specialist for advice if continues</w:t>
            </w:r>
          </w:p>
        </w:tc>
      </w:tr>
      <w:tr w:rsidR="00231324" w:rsidRPr="00B91BE4" w14:paraId="732A7652" w14:textId="77777777" w:rsidTr="00B31C2B">
        <w:trPr>
          <w:gridBefore w:val="1"/>
          <w:wBefore w:w="28" w:type="dxa"/>
          <w:trHeight w:val="132"/>
        </w:trPr>
        <w:tc>
          <w:tcPr>
            <w:tcW w:w="5173" w:type="dxa"/>
            <w:gridSpan w:val="2"/>
            <w:shd w:val="clear" w:color="auto" w:fill="FFFFFF" w:themeFill="background1"/>
          </w:tcPr>
          <w:p w14:paraId="1C847752" w14:textId="77777777" w:rsidR="00231324" w:rsidRPr="00BE4828" w:rsidRDefault="00231324" w:rsidP="00F6261A">
            <w:pPr>
              <w:pStyle w:val="NCLBodyText"/>
              <w:jc w:val="left"/>
              <w:rPr>
                <w:sz w:val="20"/>
                <w:szCs w:val="20"/>
              </w:rPr>
            </w:pPr>
            <w:r w:rsidRPr="00BE4828">
              <w:rPr>
                <w:sz w:val="20"/>
                <w:szCs w:val="20"/>
              </w:rPr>
              <w:t>Convulsion, syncope/loss of consciousness, dizziness postural</w:t>
            </w:r>
          </w:p>
        </w:tc>
        <w:tc>
          <w:tcPr>
            <w:tcW w:w="1116" w:type="dxa"/>
            <w:gridSpan w:val="2"/>
            <w:shd w:val="clear" w:color="auto" w:fill="FFFFFF" w:themeFill="background1"/>
          </w:tcPr>
          <w:p w14:paraId="20E25244" w14:textId="77777777" w:rsidR="00231324" w:rsidRPr="00BE4828" w:rsidRDefault="00231324" w:rsidP="00F6261A">
            <w:pPr>
              <w:pStyle w:val="Default"/>
              <w:rPr>
                <w:rFonts w:asciiTheme="minorHAnsi" w:hAnsiTheme="minorHAnsi" w:cstheme="minorHAnsi"/>
                <w:sz w:val="22"/>
                <w:szCs w:val="22"/>
              </w:rPr>
            </w:pPr>
            <w:r w:rsidRPr="00BE4828">
              <w:rPr>
                <w:rFonts w:asciiTheme="minorHAnsi" w:hAnsiTheme="minorHAnsi" w:cstheme="minorHAnsi"/>
                <w:sz w:val="22"/>
                <w:szCs w:val="22"/>
              </w:rPr>
              <w:t>0.1 -1%</w:t>
            </w:r>
          </w:p>
        </w:tc>
        <w:tc>
          <w:tcPr>
            <w:tcW w:w="3813" w:type="dxa"/>
            <w:shd w:val="clear" w:color="auto" w:fill="FFFFFF" w:themeFill="background1"/>
          </w:tcPr>
          <w:p w14:paraId="257ACD80" w14:textId="77777777" w:rsidR="00231324" w:rsidRPr="00BE4828" w:rsidRDefault="00231324" w:rsidP="00F6261A">
            <w:pPr>
              <w:pStyle w:val="NCLBodyText"/>
              <w:rPr>
                <w:rFonts w:asciiTheme="minorHAnsi" w:hAnsiTheme="minorHAnsi" w:cstheme="minorHAnsi"/>
              </w:rPr>
            </w:pPr>
            <w:r w:rsidRPr="00BE4828">
              <w:rPr>
                <w:rFonts w:asciiTheme="minorHAnsi" w:hAnsiTheme="minorHAnsi" w:cstheme="minorHAnsi"/>
              </w:rPr>
              <w:t>Refer back to specialist</w:t>
            </w:r>
          </w:p>
        </w:tc>
      </w:tr>
      <w:tr w:rsidR="00231324" w:rsidRPr="00B91BE4" w14:paraId="23677B81" w14:textId="77777777" w:rsidTr="00B31C2B">
        <w:trPr>
          <w:gridBefore w:val="1"/>
          <w:wBefore w:w="28" w:type="dxa"/>
          <w:trHeight w:val="132"/>
        </w:trPr>
        <w:tc>
          <w:tcPr>
            <w:tcW w:w="5173" w:type="dxa"/>
            <w:gridSpan w:val="2"/>
            <w:shd w:val="clear" w:color="auto" w:fill="FFFFFF" w:themeFill="background1"/>
          </w:tcPr>
          <w:p w14:paraId="3F0A2B4A" w14:textId="77777777" w:rsidR="00231324" w:rsidRPr="00BE4828" w:rsidRDefault="00231324" w:rsidP="00F6261A">
            <w:pPr>
              <w:pStyle w:val="NCLBodyText"/>
              <w:jc w:val="left"/>
              <w:rPr>
                <w:sz w:val="20"/>
                <w:szCs w:val="20"/>
              </w:rPr>
            </w:pPr>
            <w:r w:rsidRPr="00BE4828">
              <w:rPr>
                <w:sz w:val="20"/>
                <w:szCs w:val="20"/>
              </w:rPr>
              <w:t>Tachycardia, sinus arrhythmia</w:t>
            </w:r>
          </w:p>
        </w:tc>
        <w:tc>
          <w:tcPr>
            <w:tcW w:w="1116" w:type="dxa"/>
            <w:gridSpan w:val="2"/>
            <w:shd w:val="clear" w:color="auto" w:fill="FFFFFF" w:themeFill="background1"/>
          </w:tcPr>
          <w:p w14:paraId="042B8755" w14:textId="77777777" w:rsidR="00231324" w:rsidRPr="00BE4828" w:rsidRDefault="00231324" w:rsidP="00F6261A">
            <w:pPr>
              <w:pStyle w:val="Default"/>
              <w:rPr>
                <w:rFonts w:asciiTheme="minorHAnsi" w:hAnsiTheme="minorHAnsi" w:cstheme="minorHAnsi"/>
                <w:sz w:val="22"/>
                <w:szCs w:val="22"/>
              </w:rPr>
            </w:pPr>
            <w:r w:rsidRPr="00BE4828">
              <w:rPr>
                <w:rFonts w:asciiTheme="minorHAnsi" w:hAnsiTheme="minorHAnsi" w:cstheme="minorHAnsi"/>
                <w:sz w:val="22"/>
                <w:szCs w:val="22"/>
              </w:rPr>
              <w:t>0.1 -1%</w:t>
            </w:r>
          </w:p>
        </w:tc>
        <w:tc>
          <w:tcPr>
            <w:tcW w:w="3813" w:type="dxa"/>
            <w:shd w:val="clear" w:color="auto" w:fill="FFFFFF" w:themeFill="background1"/>
          </w:tcPr>
          <w:p w14:paraId="14F38C5E" w14:textId="77777777" w:rsidR="00231324" w:rsidRPr="00BE4828" w:rsidRDefault="00231324" w:rsidP="00F6261A">
            <w:pPr>
              <w:pStyle w:val="NCLBodyText"/>
              <w:rPr>
                <w:rFonts w:asciiTheme="minorHAnsi" w:hAnsiTheme="minorHAnsi" w:cstheme="minorHAnsi"/>
              </w:rPr>
            </w:pPr>
            <w:r w:rsidRPr="00BE4828">
              <w:rPr>
                <w:rFonts w:asciiTheme="minorHAnsi" w:hAnsiTheme="minorHAnsi" w:cstheme="minorHAnsi"/>
              </w:rPr>
              <w:t xml:space="preserve">Monitor. Consider reducing or discontinuing the medication in light of clinical findings. Further investigations should be considered (including ECG, 24 hour BP and 24 hour ECG. </w:t>
            </w:r>
          </w:p>
          <w:p w14:paraId="5E5CA65F" w14:textId="77777777" w:rsidR="00231324" w:rsidRPr="00BE4828" w:rsidRDefault="00231324" w:rsidP="00F6261A">
            <w:pPr>
              <w:pStyle w:val="NCLBodyText"/>
              <w:rPr>
                <w:rFonts w:asciiTheme="minorHAnsi" w:hAnsiTheme="minorHAnsi" w:cstheme="minorHAnsi"/>
              </w:rPr>
            </w:pPr>
            <w:r w:rsidRPr="00BE4828">
              <w:rPr>
                <w:rFonts w:asciiTheme="minorHAnsi" w:hAnsiTheme="minorHAnsi" w:cstheme="minorHAnsi"/>
              </w:rPr>
              <w:t>Consider referral to cardiology/ specialist physician.</w:t>
            </w:r>
          </w:p>
        </w:tc>
      </w:tr>
      <w:tr w:rsidR="00231324" w:rsidRPr="00B91BE4" w14:paraId="0460B66B" w14:textId="77777777" w:rsidTr="00B31C2B">
        <w:trPr>
          <w:gridBefore w:val="1"/>
          <w:wBefore w:w="28" w:type="dxa"/>
          <w:trHeight w:val="551"/>
        </w:trPr>
        <w:tc>
          <w:tcPr>
            <w:tcW w:w="5173" w:type="dxa"/>
            <w:gridSpan w:val="2"/>
            <w:shd w:val="clear" w:color="auto" w:fill="FFFFFF" w:themeFill="background1"/>
          </w:tcPr>
          <w:p w14:paraId="53F9DA68" w14:textId="77777777" w:rsidR="00231324" w:rsidRPr="00BE4828" w:rsidRDefault="00231324" w:rsidP="00F6261A">
            <w:pPr>
              <w:pStyle w:val="NCLBodyText"/>
              <w:jc w:val="left"/>
              <w:rPr>
                <w:sz w:val="20"/>
                <w:szCs w:val="20"/>
              </w:rPr>
            </w:pPr>
            <w:r w:rsidRPr="00BE4828">
              <w:rPr>
                <w:sz w:val="20"/>
                <w:szCs w:val="20"/>
              </w:rPr>
              <w:t>Hypotension, orthostatic hypotension</w:t>
            </w:r>
          </w:p>
        </w:tc>
        <w:tc>
          <w:tcPr>
            <w:tcW w:w="1116" w:type="dxa"/>
            <w:gridSpan w:val="2"/>
            <w:shd w:val="clear" w:color="auto" w:fill="FFFFFF" w:themeFill="background1"/>
          </w:tcPr>
          <w:p w14:paraId="333C99C1" w14:textId="77777777" w:rsidR="00231324" w:rsidRPr="00BE4828" w:rsidRDefault="00231324" w:rsidP="00F6261A">
            <w:pPr>
              <w:pStyle w:val="Default"/>
              <w:rPr>
                <w:rFonts w:asciiTheme="minorHAnsi" w:hAnsiTheme="minorHAnsi" w:cstheme="minorHAnsi"/>
                <w:sz w:val="22"/>
                <w:szCs w:val="22"/>
              </w:rPr>
            </w:pPr>
            <w:r w:rsidRPr="00BE4828">
              <w:rPr>
                <w:rFonts w:asciiTheme="minorHAnsi" w:hAnsiTheme="minorHAnsi" w:cstheme="minorHAnsi"/>
                <w:sz w:val="22"/>
                <w:szCs w:val="22"/>
              </w:rPr>
              <w:t>0.1 -1%</w:t>
            </w:r>
          </w:p>
        </w:tc>
        <w:tc>
          <w:tcPr>
            <w:tcW w:w="3813" w:type="dxa"/>
            <w:shd w:val="clear" w:color="auto" w:fill="FFFFFF" w:themeFill="background1"/>
          </w:tcPr>
          <w:p w14:paraId="36E35003" w14:textId="77777777" w:rsidR="00231324" w:rsidRPr="00BE4828" w:rsidRDefault="00231324" w:rsidP="00F6261A">
            <w:pPr>
              <w:pStyle w:val="NCLBodyText"/>
              <w:rPr>
                <w:rFonts w:asciiTheme="minorHAnsi" w:hAnsiTheme="minorHAnsi" w:cstheme="minorHAnsi"/>
              </w:rPr>
            </w:pPr>
            <w:r w:rsidRPr="00BE4828">
              <w:rPr>
                <w:rFonts w:asciiTheme="minorHAnsi" w:hAnsiTheme="minorHAnsi" w:cstheme="minorHAnsi"/>
              </w:rPr>
              <w:t xml:space="preserve">Monitor. Consider reducing or discontinuing the medication in light of clinical findings. Further investigations should be considered (including ECG, 24 hour BP and 24 hour ECG. </w:t>
            </w:r>
          </w:p>
          <w:p w14:paraId="49816732" w14:textId="77777777" w:rsidR="00231324" w:rsidRPr="00BE4828" w:rsidRDefault="00231324" w:rsidP="00F6261A">
            <w:pPr>
              <w:pStyle w:val="NCLBodyText"/>
              <w:rPr>
                <w:rFonts w:asciiTheme="minorHAnsi" w:hAnsiTheme="minorHAnsi" w:cstheme="minorHAnsi"/>
              </w:rPr>
            </w:pPr>
            <w:r w:rsidRPr="00BE4828">
              <w:rPr>
                <w:rFonts w:asciiTheme="minorHAnsi" w:hAnsiTheme="minorHAnsi" w:cstheme="minorHAnsi"/>
              </w:rPr>
              <w:t>Consider referral to cardiology/ specialist physician.</w:t>
            </w:r>
          </w:p>
        </w:tc>
      </w:tr>
      <w:tr w:rsidR="00231324" w:rsidRPr="00B91BE4" w14:paraId="42B750A6" w14:textId="77777777" w:rsidTr="00B31C2B">
        <w:trPr>
          <w:gridBefore w:val="1"/>
          <w:wBefore w:w="28" w:type="dxa"/>
          <w:trHeight w:val="132"/>
        </w:trPr>
        <w:tc>
          <w:tcPr>
            <w:tcW w:w="5173" w:type="dxa"/>
            <w:gridSpan w:val="2"/>
            <w:shd w:val="clear" w:color="auto" w:fill="FFFFFF" w:themeFill="background1"/>
          </w:tcPr>
          <w:p w14:paraId="0D42E4C4" w14:textId="77777777" w:rsidR="00231324" w:rsidRPr="00BE4828" w:rsidRDefault="00231324" w:rsidP="00F6261A">
            <w:pPr>
              <w:pStyle w:val="NCLBodyText"/>
              <w:jc w:val="left"/>
              <w:rPr>
                <w:sz w:val="20"/>
                <w:szCs w:val="20"/>
              </w:rPr>
            </w:pPr>
            <w:r w:rsidRPr="00BE4828">
              <w:rPr>
                <w:sz w:val="20"/>
                <w:szCs w:val="20"/>
              </w:rPr>
              <w:t>Hypertension</w:t>
            </w:r>
          </w:p>
        </w:tc>
        <w:tc>
          <w:tcPr>
            <w:tcW w:w="1116" w:type="dxa"/>
            <w:gridSpan w:val="2"/>
            <w:shd w:val="clear" w:color="auto" w:fill="FFFFFF" w:themeFill="background1"/>
          </w:tcPr>
          <w:p w14:paraId="5A4EE807" w14:textId="77777777" w:rsidR="00231324" w:rsidRPr="00BE4828" w:rsidRDefault="00231324" w:rsidP="00F6261A">
            <w:pPr>
              <w:pStyle w:val="Default"/>
              <w:rPr>
                <w:rFonts w:asciiTheme="minorHAnsi" w:hAnsiTheme="minorHAnsi" w:cstheme="minorHAnsi"/>
                <w:sz w:val="22"/>
                <w:szCs w:val="22"/>
              </w:rPr>
            </w:pPr>
            <w:r w:rsidRPr="00BE4828">
              <w:rPr>
                <w:rFonts w:asciiTheme="minorHAnsi" w:hAnsiTheme="minorHAnsi" w:cstheme="minorHAnsi"/>
                <w:sz w:val="22"/>
                <w:szCs w:val="22"/>
              </w:rPr>
              <w:t xml:space="preserve">≥0.01 – 0.1% </w:t>
            </w:r>
          </w:p>
        </w:tc>
        <w:tc>
          <w:tcPr>
            <w:tcW w:w="3813" w:type="dxa"/>
            <w:shd w:val="clear" w:color="auto" w:fill="FFFFFF" w:themeFill="background1"/>
          </w:tcPr>
          <w:p w14:paraId="2028308F" w14:textId="77777777" w:rsidR="00231324" w:rsidRPr="00BE4828" w:rsidRDefault="00231324" w:rsidP="00F6261A">
            <w:pPr>
              <w:pStyle w:val="NCLBodyText"/>
              <w:rPr>
                <w:rFonts w:asciiTheme="minorHAnsi" w:hAnsiTheme="minorHAnsi" w:cstheme="minorHAnsi"/>
              </w:rPr>
            </w:pPr>
            <w:r w:rsidRPr="00BE4828">
              <w:rPr>
                <w:rFonts w:asciiTheme="minorHAnsi" w:hAnsiTheme="minorHAnsi" w:cstheme="minorHAnsi"/>
              </w:rPr>
              <w:t xml:space="preserve">Monitor. Consider reducing or discontinuing the medication in light of clinical findings. Further investigations should be considered (including ECG, 24 hour BP and 24 hour ECG. </w:t>
            </w:r>
          </w:p>
          <w:p w14:paraId="40DB9386" w14:textId="77777777" w:rsidR="00231324" w:rsidRPr="00BE4828" w:rsidRDefault="00231324" w:rsidP="00F6261A">
            <w:pPr>
              <w:pStyle w:val="NCLBodyText"/>
              <w:rPr>
                <w:rFonts w:asciiTheme="minorHAnsi" w:hAnsiTheme="minorHAnsi" w:cstheme="minorHAnsi"/>
              </w:rPr>
            </w:pPr>
            <w:r w:rsidRPr="00BE4828">
              <w:rPr>
                <w:rFonts w:asciiTheme="minorHAnsi" w:hAnsiTheme="minorHAnsi" w:cstheme="minorHAnsi"/>
              </w:rPr>
              <w:t>Consider referral to cardiology/ specialist physician.</w:t>
            </w:r>
          </w:p>
        </w:tc>
      </w:tr>
      <w:tr w:rsidR="00231324" w:rsidRPr="00B91BE4" w14:paraId="17B2F45F" w14:textId="77777777" w:rsidTr="00B31C2B">
        <w:trPr>
          <w:gridBefore w:val="1"/>
          <w:wBefore w:w="28" w:type="dxa"/>
          <w:trHeight w:val="132"/>
        </w:trPr>
        <w:tc>
          <w:tcPr>
            <w:tcW w:w="5173" w:type="dxa"/>
            <w:gridSpan w:val="2"/>
            <w:shd w:val="clear" w:color="auto" w:fill="FFFFFF" w:themeFill="background1"/>
          </w:tcPr>
          <w:p w14:paraId="0D9DC966" w14:textId="77777777" w:rsidR="00231324" w:rsidRPr="00BE4828" w:rsidRDefault="00231324" w:rsidP="00F6261A">
            <w:pPr>
              <w:pStyle w:val="NCLBodyText"/>
              <w:rPr>
                <w:sz w:val="20"/>
                <w:szCs w:val="20"/>
              </w:rPr>
            </w:pPr>
            <w:r w:rsidRPr="00BE4828">
              <w:rPr>
                <w:sz w:val="20"/>
                <w:szCs w:val="20"/>
              </w:rPr>
              <w:t>Vomiting, diarrhoea, nausea, constipation, abdominal/stomach discomfort</w:t>
            </w:r>
          </w:p>
        </w:tc>
        <w:tc>
          <w:tcPr>
            <w:tcW w:w="1116" w:type="dxa"/>
            <w:gridSpan w:val="2"/>
            <w:shd w:val="clear" w:color="auto" w:fill="FFFFFF" w:themeFill="background1"/>
          </w:tcPr>
          <w:p w14:paraId="79440067" w14:textId="77777777" w:rsidR="00231324" w:rsidRPr="00BE4828" w:rsidRDefault="00231324" w:rsidP="00F6261A">
            <w:pPr>
              <w:pStyle w:val="Default"/>
              <w:rPr>
                <w:rFonts w:asciiTheme="minorHAnsi" w:hAnsiTheme="minorHAnsi" w:cstheme="minorHAnsi"/>
                <w:sz w:val="22"/>
                <w:szCs w:val="22"/>
              </w:rPr>
            </w:pPr>
            <w:r w:rsidRPr="00BE4828">
              <w:rPr>
                <w:rFonts w:asciiTheme="minorHAnsi" w:hAnsiTheme="minorHAnsi" w:cstheme="minorHAnsi"/>
                <w:sz w:val="22"/>
                <w:szCs w:val="22"/>
              </w:rPr>
              <w:t>1-10%</w:t>
            </w:r>
          </w:p>
        </w:tc>
        <w:tc>
          <w:tcPr>
            <w:tcW w:w="3813" w:type="dxa"/>
            <w:shd w:val="clear" w:color="auto" w:fill="FFFFFF" w:themeFill="background1"/>
          </w:tcPr>
          <w:p w14:paraId="40D07205" w14:textId="77777777" w:rsidR="00231324" w:rsidRPr="00BE4828" w:rsidRDefault="00231324" w:rsidP="00F6261A">
            <w:pPr>
              <w:pStyle w:val="NCLBodyText"/>
              <w:rPr>
                <w:rFonts w:asciiTheme="minorHAnsi" w:hAnsiTheme="minorHAnsi" w:cstheme="minorHAnsi"/>
              </w:rPr>
            </w:pPr>
            <w:r w:rsidRPr="00BE4828">
              <w:rPr>
                <w:rFonts w:asciiTheme="minorHAnsi" w:hAnsiTheme="minorHAnsi" w:cstheme="minorHAnsi"/>
              </w:rPr>
              <w:t>Refer to specialist for advice if continues</w:t>
            </w:r>
          </w:p>
        </w:tc>
      </w:tr>
      <w:tr w:rsidR="000A4081" w:rsidRPr="00B91BE4" w14:paraId="7DAD73E8" w14:textId="77777777" w:rsidTr="00B31C2B">
        <w:trPr>
          <w:gridBefore w:val="1"/>
          <w:wBefore w:w="28" w:type="dxa"/>
          <w:trHeight w:val="132"/>
        </w:trPr>
        <w:tc>
          <w:tcPr>
            <w:tcW w:w="5173" w:type="dxa"/>
            <w:gridSpan w:val="2"/>
            <w:shd w:val="clear" w:color="auto" w:fill="FFFFFF" w:themeFill="background1"/>
          </w:tcPr>
          <w:p w14:paraId="3B8EFF7F" w14:textId="2999603E" w:rsidR="000A4081" w:rsidRPr="00BE4828" w:rsidRDefault="000A4081" w:rsidP="00F6261A">
            <w:pPr>
              <w:pStyle w:val="NCLBodyText"/>
              <w:rPr>
                <w:sz w:val="20"/>
                <w:szCs w:val="20"/>
              </w:rPr>
            </w:pPr>
            <w:r w:rsidRPr="00BE4828">
              <w:rPr>
                <w:sz w:val="20"/>
                <w:szCs w:val="20"/>
              </w:rPr>
              <w:t>Rash (pruritis rarely)</w:t>
            </w:r>
          </w:p>
        </w:tc>
        <w:tc>
          <w:tcPr>
            <w:tcW w:w="1116" w:type="dxa"/>
            <w:gridSpan w:val="2"/>
            <w:shd w:val="clear" w:color="auto" w:fill="FFFFFF" w:themeFill="background1"/>
          </w:tcPr>
          <w:p w14:paraId="77EC81FA" w14:textId="27197193" w:rsidR="000A4081" w:rsidRPr="00BE4828" w:rsidRDefault="000A4081" w:rsidP="00F6261A">
            <w:pPr>
              <w:pStyle w:val="Default"/>
              <w:rPr>
                <w:rFonts w:asciiTheme="minorHAnsi" w:hAnsiTheme="minorHAnsi" w:cstheme="minorHAnsi"/>
                <w:sz w:val="22"/>
                <w:szCs w:val="22"/>
              </w:rPr>
            </w:pPr>
            <w:r w:rsidRPr="00BE4828">
              <w:rPr>
                <w:rFonts w:asciiTheme="minorHAnsi" w:hAnsiTheme="minorHAnsi" w:cstheme="minorHAnsi"/>
                <w:sz w:val="22"/>
                <w:szCs w:val="22"/>
              </w:rPr>
              <w:t>1-10%</w:t>
            </w:r>
          </w:p>
        </w:tc>
        <w:tc>
          <w:tcPr>
            <w:tcW w:w="3813" w:type="dxa"/>
            <w:shd w:val="clear" w:color="auto" w:fill="FFFFFF" w:themeFill="background1"/>
          </w:tcPr>
          <w:p w14:paraId="474358AB" w14:textId="175C8DE4" w:rsidR="000A4081" w:rsidRPr="00BE4828" w:rsidRDefault="000A4081" w:rsidP="00F6261A">
            <w:pPr>
              <w:pStyle w:val="NCLBodyText"/>
              <w:rPr>
                <w:rFonts w:asciiTheme="minorHAnsi" w:hAnsiTheme="minorHAnsi" w:cstheme="minorHAnsi"/>
              </w:rPr>
            </w:pPr>
            <w:r w:rsidRPr="00BE4828">
              <w:rPr>
                <w:rFonts w:asciiTheme="minorHAnsi" w:hAnsiTheme="minorHAnsi" w:cstheme="minorHAnsi"/>
              </w:rPr>
              <w:t>Consider discontinuing. Refer back to specialist.</w:t>
            </w:r>
          </w:p>
        </w:tc>
      </w:tr>
    </w:tbl>
    <w:p w14:paraId="68B01068" w14:textId="77777777" w:rsidR="00B31C2B" w:rsidRDefault="00B31C2B" w:rsidP="00B33F10">
      <w:pPr>
        <w:pStyle w:val="NCLBodyText"/>
      </w:pPr>
    </w:p>
    <w:p w14:paraId="37A651AD" w14:textId="206EA96F" w:rsidR="00B33F10" w:rsidRPr="00751648" w:rsidRDefault="00B33F10" w:rsidP="00B33F10">
      <w:pPr>
        <w:pStyle w:val="NCLBodyText"/>
      </w:pPr>
      <w:r w:rsidRPr="00751648">
        <w:t xml:space="preserve">Suspected adverse drug reactions should be reported to the MHRA using the Yellow Card Scheme at </w:t>
      </w:r>
      <w:hyperlink r:id="rId19" w:history="1">
        <w:r w:rsidRPr="00751648">
          <w:rPr>
            <w:rStyle w:val="Hyperlink"/>
          </w:rPr>
          <w:t>www.yellowcard.mhra.gov.uk</w:t>
        </w:r>
      </w:hyperlink>
      <w:r w:rsidRPr="00751648">
        <w:t>. Refer to BNF for further details.</w:t>
      </w:r>
    </w:p>
    <w:p w14:paraId="2AF005A2" w14:textId="1B99E63B" w:rsidR="001738CB" w:rsidRPr="00751648" w:rsidRDefault="001738CB" w:rsidP="001738CB">
      <w:pPr>
        <w:pStyle w:val="NCLBodyText"/>
        <w:jc w:val="left"/>
      </w:pPr>
      <w:r w:rsidRPr="00751648">
        <w:t xml:space="preserve">For a full list of adverse </w:t>
      </w:r>
      <w:r w:rsidR="006557F0" w:rsidRPr="00751648">
        <w:t>effects,</w:t>
      </w:r>
      <w:r w:rsidRPr="00751648">
        <w:t xml:space="preserve"> refer to the Summary of Product Characteristics (</w:t>
      </w:r>
      <w:hyperlink r:id="rId20" w:history="1">
        <w:r w:rsidRPr="00751648">
          <w:rPr>
            <w:rStyle w:val="Hyperlink"/>
          </w:rPr>
          <w:t>www.medicines.org.uk</w:t>
        </w:r>
      </w:hyperlink>
      <w:r w:rsidRPr="00751648">
        <w:t>) .</w:t>
      </w:r>
    </w:p>
    <w:p w14:paraId="1BEE39FE" w14:textId="77777777" w:rsidR="00CC34C1" w:rsidRPr="00751648" w:rsidRDefault="00CC34C1" w:rsidP="001E30D7">
      <w:pPr>
        <w:pStyle w:val="NCLHeading1"/>
        <w:numPr>
          <w:ilvl w:val="0"/>
          <w:numId w:val="30"/>
        </w:numPr>
        <w:tabs>
          <w:tab w:val="left" w:pos="567"/>
        </w:tabs>
        <w:ind w:left="567" w:hanging="567"/>
      </w:pPr>
      <w:bookmarkStart w:id="17" w:name="_Toc42095046"/>
      <w:r w:rsidRPr="00751648">
        <w:lastRenderedPageBreak/>
        <w:t>Cautions</w:t>
      </w:r>
      <w:bookmarkEnd w:id="17"/>
    </w:p>
    <w:p w14:paraId="1D337322" w14:textId="48F30E48" w:rsidR="00D4227B" w:rsidRPr="00751648" w:rsidRDefault="00D4227B" w:rsidP="00D4227B">
      <w:pPr>
        <w:pStyle w:val="NCLBodyText"/>
      </w:pPr>
      <w:r w:rsidRPr="00751648">
        <w:rPr>
          <w:b/>
          <w:u w:val="single"/>
        </w:rPr>
        <w:t>Methylphenidate:</w:t>
      </w:r>
      <w:r w:rsidRPr="00751648">
        <w:t xml:space="preserve"> Co-existing cardiac disease or psychiatric disorder, anxiety/agitation/tension, tics or family history of Tourette or other movement disorders, </w:t>
      </w:r>
      <w:r w:rsidR="00CC443F">
        <w:t>risk of dependence/diversion/misuse of medication (both prior to initiation and ongoing during treatment)</w:t>
      </w:r>
      <w:r w:rsidRPr="00751648">
        <w:t>, epilepsy, pregnancy, breast feeding; avoid abrupt withdrawal.</w:t>
      </w:r>
    </w:p>
    <w:p w14:paraId="59D4991F" w14:textId="77777777" w:rsidR="00C2292C" w:rsidRPr="00751648" w:rsidRDefault="00C2292C" w:rsidP="00D4227B">
      <w:pPr>
        <w:pStyle w:val="NCLBodyText"/>
        <w:rPr>
          <w:b/>
          <w:sz w:val="16"/>
          <w:szCs w:val="16"/>
          <w:u w:val="single"/>
        </w:rPr>
      </w:pPr>
    </w:p>
    <w:p w14:paraId="4C0315D3" w14:textId="2F77BE44" w:rsidR="00D4227B" w:rsidRPr="00751648" w:rsidRDefault="00D4227B" w:rsidP="00D4227B">
      <w:pPr>
        <w:pStyle w:val="NCLBodyText"/>
      </w:pPr>
      <w:r w:rsidRPr="00751648">
        <w:rPr>
          <w:b/>
          <w:u w:val="single"/>
        </w:rPr>
        <w:t>Dexamfetamine / Lisdexamfetamine:</w:t>
      </w:r>
      <w:r w:rsidRPr="00751648">
        <w:t xml:space="preserve"> Anorexia, mild hypertension, psychosis or bipolar disorder, renal impairment, history of epilepsy, tics or Tourette syndrome, </w:t>
      </w:r>
      <w:r w:rsidR="00CC443F">
        <w:t>risk of dependence/diversion/misuse of medication (both prior to initiation and ongoing during treatment)</w:t>
      </w:r>
      <w:r w:rsidRPr="00751648">
        <w:t>, avoid abrupt withdrawal.</w:t>
      </w:r>
    </w:p>
    <w:p w14:paraId="2D691825" w14:textId="77777777" w:rsidR="00C2292C" w:rsidRPr="00751648" w:rsidRDefault="00C2292C" w:rsidP="00D4227B">
      <w:pPr>
        <w:pStyle w:val="NCLBodyText"/>
        <w:rPr>
          <w:b/>
          <w:sz w:val="16"/>
          <w:szCs w:val="16"/>
          <w:u w:val="single"/>
        </w:rPr>
      </w:pPr>
    </w:p>
    <w:p w14:paraId="33D00AC6" w14:textId="2AFA002D" w:rsidR="00D4227B" w:rsidRDefault="00D4227B" w:rsidP="00D4227B">
      <w:pPr>
        <w:pStyle w:val="NCLBodyText"/>
      </w:pPr>
      <w:r w:rsidRPr="00751648">
        <w:rPr>
          <w:b/>
          <w:u w:val="single"/>
        </w:rPr>
        <w:t>Atomoxetine</w:t>
      </w:r>
      <w:r w:rsidRPr="00751648">
        <w:t>: Cardiovascular disease, structural cardiac abnormalities, QT interval prolongation, psychosis/mania, history of seizures, aggressive behaviour/hostility/emotional lability, hepatic impairment.</w:t>
      </w:r>
    </w:p>
    <w:p w14:paraId="53E57BB7" w14:textId="25C7EC41" w:rsidR="000A4081" w:rsidRDefault="000A4081" w:rsidP="00D4227B">
      <w:pPr>
        <w:pStyle w:val="NCLBodyText"/>
      </w:pPr>
    </w:p>
    <w:p w14:paraId="0EA8DF03" w14:textId="7F97FDDA" w:rsidR="000A4081" w:rsidRPr="004722D7" w:rsidRDefault="000A4081" w:rsidP="00CC34C1">
      <w:pPr>
        <w:pStyle w:val="NCLBodyText"/>
        <w:rPr>
          <w:rFonts w:asciiTheme="minorHAnsi" w:hAnsiTheme="minorHAnsi" w:cstheme="minorHAnsi"/>
          <w:color w:val="000000"/>
          <w:shd w:val="clear" w:color="auto" w:fill="FFFFFF"/>
        </w:rPr>
      </w:pPr>
      <w:r w:rsidRPr="00BE4828">
        <w:rPr>
          <w:b/>
          <w:bCs/>
          <w:u w:val="single"/>
        </w:rPr>
        <w:t>Guanfacine:</w:t>
      </w:r>
      <w:r w:rsidR="004722D7" w:rsidRPr="00BE4828">
        <w:rPr>
          <w:b/>
          <w:bCs/>
          <w:u w:val="single"/>
        </w:rPr>
        <w:t xml:space="preserve"> </w:t>
      </w:r>
      <w:r w:rsidR="004722D7" w:rsidRPr="00BE4828">
        <w:rPr>
          <w:rFonts w:asciiTheme="minorHAnsi" w:hAnsiTheme="minorHAnsi" w:cstheme="minorHAnsi"/>
          <w:color w:val="000000"/>
          <w:shd w:val="clear" w:color="auto" w:fill="FFFFFF"/>
        </w:rPr>
        <w:t>Hypotension, bradycardia and syncope, blood pressure and heart rate increase upon discontinuation, QTc interval (avoid in patients with known history of QTc prolongation), s</w:t>
      </w:r>
      <w:r w:rsidR="00AA45F1" w:rsidRPr="00BE4828">
        <w:rPr>
          <w:rFonts w:asciiTheme="minorHAnsi" w:hAnsiTheme="minorHAnsi" w:cstheme="minorHAnsi"/>
          <w:color w:val="000000"/>
          <w:shd w:val="clear" w:color="auto" w:fill="FFFFFF"/>
        </w:rPr>
        <w:t>e</w:t>
      </w:r>
      <w:r w:rsidR="004722D7" w:rsidRPr="00BE4828">
        <w:rPr>
          <w:rFonts w:asciiTheme="minorHAnsi" w:hAnsiTheme="minorHAnsi" w:cstheme="minorHAnsi"/>
          <w:color w:val="000000"/>
          <w:shd w:val="clear" w:color="auto" w:fill="FFFFFF"/>
        </w:rPr>
        <w:t xml:space="preserve">dation and somnolence, suicidal ideation (ask patients and caregivers to report distressing thoughts or feelings), effects on height, </w:t>
      </w:r>
      <w:r w:rsidR="006557F0" w:rsidRPr="00BE4828">
        <w:rPr>
          <w:rFonts w:asciiTheme="minorHAnsi" w:hAnsiTheme="minorHAnsi" w:cstheme="minorHAnsi"/>
          <w:color w:val="000000"/>
          <w:shd w:val="clear" w:color="auto" w:fill="FFFFFF"/>
        </w:rPr>
        <w:t>weight,</w:t>
      </w:r>
      <w:r w:rsidR="004722D7" w:rsidRPr="00BE4828">
        <w:rPr>
          <w:rFonts w:asciiTheme="minorHAnsi" w:hAnsiTheme="minorHAnsi" w:cstheme="minorHAnsi"/>
          <w:color w:val="000000"/>
          <w:shd w:val="clear" w:color="auto" w:fill="FFFFFF"/>
        </w:rPr>
        <w:t xml:space="preserve"> and body mass index (BMI).</w:t>
      </w:r>
      <w:r w:rsidR="004722D7">
        <w:rPr>
          <w:rFonts w:asciiTheme="minorHAnsi" w:hAnsiTheme="minorHAnsi" w:cstheme="minorHAnsi"/>
          <w:color w:val="000000"/>
          <w:shd w:val="clear" w:color="auto" w:fill="FFFFFF"/>
        </w:rPr>
        <w:t xml:space="preserve"> </w:t>
      </w:r>
    </w:p>
    <w:p w14:paraId="77008348" w14:textId="77777777" w:rsidR="004722D7" w:rsidRPr="004722D7" w:rsidRDefault="004722D7" w:rsidP="00CC34C1">
      <w:pPr>
        <w:pStyle w:val="NCLBodyText"/>
        <w:rPr>
          <w:rFonts w:asciiTheme="minorHAnsi" w:hAnsiTheme="minorHAnsi" w:cstheme="minorHAnsi"/>
        </w:rPr>
      </w:pPr>
    </w:p>
    <w:p w14:paraId="04A1876A" w14:textId="4D156CDB" w:rsidR="00CC34C1" w:rsidRDefault="00CC34C1" w:rsidP="00CC34C1">
      <w:pPr>
        <w:pStyle w:val="NCLBodyText"/>
      </w:pPr>
      <w:r w:rsidRPr="00751648">
        <w:t>For a full list of cautions, refer to the Summary of Product Characteristics</w:t>
      </w:r>
      <w:r w:rsidR="00D4227B" w:rsidRPr="00751648">
        <w:t xml:space="preserve"> (</w:t>
      </w:r>
      <w:hyperlink r:id="rId21" w:history="1">
        <w:r w:rsidR="00D4227B" w:rsidRPr="00751648">
          <w:rPr>
            <w:rStyle w:val="Hyperlink"/>
          </w:rPr>
          <w:t>www.medicines.org.uk</w:t>
        </w:r>
      </w:hyperlink>
      <w:r w:rsidR="00D4227B" w:rsidRPr="00751648">
        <w:t>)</w:t>
      </w:r>
      <w:r w:rsidR="00EE4129">
        <w:t>.</w:t>
      </w:r>
    </w:p>
    <w:p w14:paraId="43D4ABEC" w14:textId="77777777" w:rsidR="00CC34C1" w:rsidRPr="00751648" w:rsidRDefault="00CC34C1" w:rsidP="00CC34C1">
      <w:pPr>
        <w:pStyle w:val="NCLHeading1"/>
      </w:pPr>
      <w:bookmarkStart w:id="18" w:name="_Toc42095047"/>
      <w:r w:rsidRPr="00751648">
        <w:t>Clinical Monitoring</w:t>
      </w:r>
      <w:bookmarkEnd w:id="18"/>
    </w:p>
    <w:p w14:paraId="50D46256" w14:textId="11CAA71F" w:rsidR="00335603" w:rsidRPr="00751648" w:rsidRDefault="00C2292C" w:rsidP="00C2292C">
      <w:pPr>
        <w:pStyle w:val="NCLBodyText"/>
      </w:pPr>
      <w:r w:rsidRPr="00751648">
        <w:t xml:space="preserve">Once prescribing is undertaken by the GP, </w:t>
      </w:r>
      <w:r w:rsidR="00B51889">
        <w:t xml:space="preserve">some or all of </w:t>
      </w:r>
      <w:r w:rsidR="00C45D1E">
        <w:t>the</w:t>
      </w:r>
      <w:r w:rsidR="00C45D1E" w:rsidRPr="00751648">
        <w:t xml:space="preserve"> necessary</w:t>
      </w:r>
      <w:r w:rsidRPr="00751648">
        <w:t xml:space="preserve"> clinical monitoring will take place in Primary Care. </w:t>
      </w:r>
      <w:r w:rsidR="00B51889">
        <w:t xml:space="preserve">This is dependent on the facilities of the specialist clinic and the </w:t>
      </w:r>
      <w:r w:rsidR="00A65697">
        <w:t>patient’s</w:t>
      </w:r>
      <w:r w:rsidR="00B51889">
        <w:t xml:space="preserve"> geographical location. </w:t>
      </w:r>
      <w:r w:rsidRPr="00751648">
        <w:t xml:space="preserve">The </w:t>
      </w:r>
      <w:r w:rsidR="00093849">
        <w:t xml:space="preserve">Specialist will advise the GP on the clinical monitoring requirements (including test and frequency) that is required. The </w:t>
      </w:r>
      <w:r w:rsidRPr="00751648">
        <w:t>ADHD service will offer specialist advice and review any patient whose medication was started in the clinic</w:t>
      </w:r>
      <w:r w:rsidR="00093849">
        <w:t xml:space="preserve"> at the request of the GP</w:t>
      </w:r>
      <w:r w:rsidRPr="00751648">
        <w:t xml:space="preserve">. </w:t>
      </w:r>
    </w:p>
    <w:p w14:paraId="7ECD62C4" w14:textId="77777777" w:rsidR="00A547AC" w:rsidRPr="00751648" w:rsidRDefault="00A547AC" w:rsidP="00335603">
      <w:pPr>
        <w:pStyle w:val="NCLBodyText"/>
        <w:spacing w:before="0"/>
        <w:rPr>
          <w:sz w:val="6"/>
          <w:szCs w:val="6"/>
        </w:rPr>
      </w:pPr>
    </w:p>
    <w:p w14:paraId="2852FE21" w14:textId="49FDF123" w:rsidR="00C2292C" w:rsidRPr="00751648" w:rsidRDefault="00C2292C" w:rsidP="00335603">
      <w:pPr>
        <w:pStyle w:val="NCLBodyText"/>
        <w:spacing w:before="0"/>
      </w:pPr>
      <w:r w:rsidRPr="00751648">
        <w:t xml:space="preserve">Patients will need to be re-referred to the service if they have </w:t>
      </w:r>
      <w:r w:rsidR="00525ECB">
        <w:t xml:space="preserve">already </w:t>
      </w:r>
      <w:r w:rsidRPr="00751648">
        <w:t xml:space="preserve">been discharged </w:t>
      </w:r>
      <w:r w:rsidR="00525ECB">
        <w:t>from the Specialist team (e.g. CAMHS)</w:t>
      </w:r>
      <w:r w:rsidRPr="00751648">
        <w:t>.</w:t>
      </w:r>
    </w:p>
    <w:p w14:paraId="12EBF475" w14:textId="77777777" w:rsidR="00A547AC" w:rsidRPr="00751648" w:rsidRDefault="00A547AC" w:rsidP="00335603">
      <w:pPr>
        <w:pStyle w:val="NCLBodyText"/>
        <w:spacing w:before="0"/>
        <w:rPr>
          <w:sz w:val="6"/>
          <w:szCs w:val="6"/>
        </w:rPr>
      </w:pPr>
    </w:p>
    <w:p w14:paraId="010DF663" w14:textId="77777777" w:rsidR="00C2292C" w:rsidRDefault="00C2292C" w:rsidP="00335603">
      <w:pPr>
        <w:pStyle w:val="NCLBodyText"/>
        <w:spacing w:before="0"/>
      </w:pPr>
      <w:r w:rsidRPr="00751648">
        <w:t xml:space="preserve">If there is a need for specialist advice / interventions for patients who have an ADHD diagnosis / treatment, which was established elsewhere, a new referral to the service will be </w:t>
      </w:r>
      <w:r w:rsidR="00EA4DCC" w:rsidRPr="00751648">
        <w:t>needed.</w:t>
      </w:r>
    </w:p>
    <w:p w14:paraId="0FB1EB31" w14:textId="77777777" w:rsidR="00093849" w:rsidRDefault="00093849" w:rsidP="00335603">
      <w:pPr>
        <w:pStyle w:val="NCLBodyText"/>
        <w:spacing w:before="0"/>
      </w:pPr>
    </w:p>
    <w:p w14:paraId="37986542" w14:textId="77777777" w:rsidR="00093849" w:rsidRPr="00751648" w:rsidRDefault="00093849" w:rsidP="00335603">
      <w:pPr>
        <w:pStyle w:val="NCLBodyText"/>
        <w:spacing w:before="0"/>
      </w:pPr>
      <w:r>
        <w:t xml:space="preserve">The following tests may be suggested by the </w:t>
      </w:r>
      <w:r w:rsidR="0028331F">
        <w:t>ADHD service</w:t>
      </w:r>
      <w:r>
        <w:t xml:space="preserve"> to monitor</w:t>
      </w:r>
      <w:r w:rsidR="0028331F">
        <w:t xml:space="preserve"> in Primary care</w:t>
      </w:r>
      <w:r>
        <w:t>. If suitable, a practice nurse may be able to complete these tests and escalate to the GP if there is cause for concern.</w:t>
      </w:r>
    </w:p>
    <w:p w14:paraId="1AFC8FE9" w14:textId="77777777" w:rsidR="00F23ED9" w:rsidRPr="00751648" w:rsidRDefault="00F23ED9" w:rsidP="00591EE0">
      <w:pPr>
        <w:pStyle w:val="NCLBodyText"/>
        <w:rPr>
          <w:b/>
        </w:rPr>
      </w:pPr>
    </w:p>
    <w:p w14:paraId="563AEF21" w14:textId="77777777" w:rsidR="00EA4DCC" w:rsidRPr="00751648" w:rsidRDefault="00591EE0" w:rsidP="00591EE0">
      <w:pPr>
        <w:pStyle w:val="NCLBodyText"/>
      </w:pPr>
      <w:r w:rsidRPr="00751648">
        <w:rPr>
          <w:b/>
          <w:u w:val="single"/>
        </w:rPr>
        <w:t>Height and weight</w:t>
      </w:r>
      <w:r w:rsidR="00EA4DCC" w:rsidRPr="00751648">
        <w:t xml:space="preserve">:  </w:t>
      </w:r>
    </w:p>
    <w:p w14:paraId="2DF4B7B4" w14:textId="77777777" w:rsidR="00591EE0" w:rsidRPr="00751648" w:rsidRDefault="00EA4DCC" w:rsidP="00EA4DCC">
      <w:pPr>
        <w:pStyle w:val="NCLBodyText"/>
        <w:numPr>
          <w:ilvl w:val="0"/>
          <w:numId w:val="25"/>
        </w:numPr>
      </w:pPr>
      <w:r w:rsidRPr="00751648">
        <w:t>M</w:t>
      </w:r>
      <w:r w:rsidR="00591EE0" w:rsidRPr="00751648">
        <w:t>easure height every 6 months in children and young people</w:t>
      </w:r>
    </w:p>
    <w:p w14:paraId="203851C1" w14:textId="77777777" w:rsidR="00591EE0" w:rsidRPr="00751648" w:rsidRDefault="00EA4DCC" w:rsidP="00F82176">
      <w:pPr>
        <w:pStyle w:val="NCLBodyText"/>
        <w:numPr>
          <w:ilvl w:val="0"/>
          <w:numId w:val="25"/>
        </w:numPr>
      </w:pPr>
      <w:r w:rsidRPr="00751648">
        <w:t>M</w:t>
      </w:r>
      <w:r w:rsidR="00591EE0" w:rsidRPr="00751648">
        <w:t xml:space="preserve">easure weight every 3 months in children </w:t>
      </w:r>
      <w:r w:rsidR="00591EE0" w:rsidRPr="00751648">
        <w:rPr>
          <w:b/>
        </w:rPr>
        <w:t>10 years and under</w:t>
      </w:r>
      <w:r w:rsidR="002246C8" w:rsidRPr="00751648">
        <w:rPr>
          <w:b/>
        </w:rPr>
        <w:t xml:space="preserve">. </w:t>
      </w:r>
      <w:r w:rsidR="002246C8" w:rsidRPr="00751648">
        <w:t>Measure</w:t>
      </w:r>
      <w:r w:rsidR="002246C8" w:rsidRPr="00F82176">
        <w:rPr>
          <w:b/>
        </w:rPr>
        <w:t xml:space="preserve"> </w:t>
      </w:r>
      <w:r w:rsidR="00591EE0" w:rsidRPr="00751648">
        <w:t xml:space="preserve">at 3 and 6 months after starting treatment in children </w:t>
      </w:r>
      <w:r w:rsidR="00591EE0" w:rsidRPr="00F82176">
        <w:rPr>
          <w:b/>
        </w:rPr>
        <w:t>over 10 years and young people</w:t>
      </w:r>
      <w:r w:rsidR="00591EE0" w:rsidRPr="00751648">
        <w:t>, and every 6 months thereafter, or more often if concerns arise</w:t>
      </w:r>
      <w:r w:rsidRPr="00751648">
        <w:t>.</w:t>
      </w:r>
      <w:r w:rsidR="00591EE0" w:rsidRPr="00751648">
        <w:t xml:space="preserve"> </w:t>
      </w:r>
    </w:p>
    <w:p w14:paraId="2BA51907" w14:textId="3E25A0F1" w:rsidR="00591EE0" w:rsidRDefault="00525ECB" w:rsidP="00EA4DCC">
      <w:pPr>
        <w:pStyle w:val="NCLBodyText"/>
        <w:numPr>
          <w:ilvl w:val="0"/>
          <w:numId w:val="25"/>
        </w:numPr>
      </w:pPr>
      <w:r>
        <w:t>Record height and weight</w:t>
      </w:r>
      <w:r w:rsidR="00591EE0" w:rsidRPr="00751648">
        <w:t xml:space="preserve"> of children and young people </w:t>
      </w:r>
      <w:r>
        <w:t xml:space="preserve">and plot </w:t>
      </w:r>
      <w:r w:rsidR="00591EE0" w:rsidRPr="00751648">
        <w:t>on a growth chart</w:t>
      </w:r>
      <w:r>
        <w:t xml:space="preserve"> (in lieu of a growth chart, </w:t>
      </w:r>
      <w:r w:rsidR="00DC240B" w:rsidRPr="00DC240B">
        <w:t>in the patient notes record the difference in growth centiles from the previous measurements/readings</w:t>
      </w:r>
      <w:r>
        <w:t>).</w:t>
      </w:r>
    </w:p>
    <w:p w14:paraId="77BDF90E" w14:textId="77777777" w:rsidR="00F82176" w:rsidRDefault="00F82176" w:rsidP="00EA4DCC">
      <w:pPr>
        <w:pStyle w:val="NCLBodyText"/>
        <w:numPr>
          <w:ilvl w:val="0"/>
          <w:numId w:val="25"/>
        </w:numPr>
      </w:pPr>
      <w:r>
        <w:t xml:space="preserve">Consultants in NCL may decide that physical observations may only be </w:t>
      </w:r>
      <w:r w:rsidR="0028331F">
        <w:t>necessary</w:t>
      </w:r>
      <w:r>
        <w:t xml:space="preserve"> once every six months (if the patient has been stable on therapy for a significant amount of time and physical observations have also been stable). The Consultant should communicate this to the GP on every occasion.</w:t>
      </w:r>
    </w:p>
    <w:p w14:paraId="4E089448" w14:textId="45DA4A7D" w:rsidR="0028331F" w:rsidRPr="00751648" w:rsidRDefault="0028331F" w:rsidP="00EA4DCC">
      <w:pPr>
        <w:pStyle w:val="NCLBodyText"/>
        <w:numPr>
          <w:ilvl w:val="0"/>
          <w:numId w:val="25"/>
        </w:numPr>
      </w:pPr>
      <w:r>
        <w:lastRenderedPageBreak/>
        <w:t xml:space="preserve">If a trend of weight loss or growth </w:t>
      </w:r>
      <w:r w:rsidR="00EA00A2">
        <w:t xml:space="preserve">restriction </w:t>
      </w:r>
      <w:r>
        <w:t xml:space="preserve">is observed in results over time, </w:t>
      </w:r>
      <w:r w:rsidR="00352213">
        <w:t>seek advice from a</w:t>
      </w:r>
      <w:r w:rsidR="00352213" w:rsidRPr="00352213">
        <w:t xml:space="preserve"> psychiatrist or paediatrician</w:t>
      </w:r>
      <w:r w:rsidR="00352213">
        <w:t xml:space="preserve"> from the initiating clinic to consider stopping the medicine as an interim measure; in all instances the patient should be referred back to clinic</w:t>
      </w:r>
      <w:r>
        <w:t>.</w:t>
      </w:r>
    </w:p>
    <w:p w14:paraId="5E58847B" w14:textId="79E3A8D1" w:rsidR="00907CB4" w:rsidRDefault="00907CB4" w:rsidP="00591EE0">
      <w:pPr>
        <w:pStyle w:val="NCLBodyText"/>
      </w:pPr>
    </w:p>
    <w:p w14:paraId="2DD04527" w14:textId="77777777" w:rsidR="00907CB4" w:rsidRPr="00751648" w:rsidRDefault="00907CB4" w:rsidP="00591EE0">
      <w:pPr>
        <w:pStyle w:val="NCLBodyText"/>
      </w:pPr>
    </w:p>
    <w:p w14:paraId="7CD2DE19" w14:textId="77777777" w:rsidR="00591EE0" w:rsidRPr="00751648" w:rsidRDefault="00591EE0" w:rsidP="00591EE0">
      <w:pPr>
        <w:pStyle w:val="NCLBodyText"/>
        <w:rPr>
          <w:b/>
        </w:rPr>
      </w:pPr>
      <w:r w:rsidRPr="00751648">
        <w:rPr>
          <w:b/>
          <w:u w:val="single"/>
        </w:rPr>
        <w:t>Cardiovascular</w:t>
      </w:r>
      <w:r w:rsidR="00DC1CA9" w:rsidRPr="00751648">
        <w:rPr>
          <w:b/>
        </w:rPr>
        <w:t>:</w:t>
      </w:r>
    </w:p>
    <w:p w14:paraId="409F4D28" w14:textId="77777777" w:rsidR="00591EE0" w:rsidRPr="00AD0F45" w:rsidRDefault="00591EE0" w:rsidP="00DC1CA9">
      <w:pPr>
        <w:pStyle w:val="NCLBodyText"/>
        <w:numPr>
          <w:ilvl w:val="0"/>
          <w:numId w:val="26"/>
        </w:numPr>
      </w:pPr>
      <w:r w:rsidRPr="00AD0F45">
        <w:t>Monitor heart rate and blood pressure and compare with the normal range for age</w:t>
      </w:r>
      <w:r w:rsidR="009F7D5E" w:rsidRPr="00AD0F45">
        <w:t>,</w:t>
      </w:r>
      <w:r w:rsidRPr="00AD0F45">
        <w:t xml:space="preserve"> before and after each dose change and every 6 months. </w:t>
      </w:r>
    </w:p>
    <w:p w14:paraId="3A5FDCE9" w14:textId="77777777" w:rsidR="00591EE0" w:rsidRPr="00751648" w:rsidRDefault="00DC1CA9" w:rsidP="00DC1CA9">
      <w:pPr>
        <w:pStyle w:val="NCLBodyText"/>
        <w:numPr>
          <w:ilvl w:val="0"/>
          <w:numId w:val="26"/>
        </w:numPr>
      </w:pPr>
      <w:r w:rsidRPr="00751648">
        <w:t>R</w:t>
      </w:r>
      <w:r w:rsidR="00591EE0" w:rsidRPr="00751648">
        <w:t xml:space="preserve">outine blood tests (including liver function tests) or ECGs </w:t>
      </w:r>
      <w:r w:rsidRPr="00751648">
        <w:t xml:space="preserve">should not be done </w:t>
      </w:r>
      <w:r w:rsidR="00591EE0" w:rsidRPr="00751648">
        <w:t xml:space="preserve">unless there is a clinical indication. </w:t>
      </w:r>
      <w:r w:rsidR="0024156E">
        <w:t>Those patients who require routine blood tests or ECGs will be highlighted by the Consultant when prescribing responsibility is transferred to the GP.</w:t>
      </w:r>
    </w:p>
    <w:p w14:paraId="0AAAA745" w14:textId="77777777" w:rsidR="0024156E" w:rsidRDefault="0024156E" w:rsidP="00AD0F45">
      <w:pPr>
        <w:pStyle w:val="NCLBodyText"/>
        <w:ind w:left="567"/>
      </w:pPr>
    </w:p>
    <w:p w14:paraId="4FDFC6A0" w14:textId="77777777" w:rsidR="0024156E" w:rsidRDefault="0024156E" w:rsidP="0024156E">
      <w:pPr>
        <w:pStyle w:val="NCLBodyText"/>
        <w:rPr>
          <w:b/>
          <w:u w:val="single"/>
        </w:rPr>
      </w:pPr>
      <w:r>
        <w:rPr>
          <w:b/>
          <w:u w:val="single"/>
        </w:rPr>
        <w:t>Management of adverse effects:</w:t>
      </w:r>
    </w:p>
    <w:p w14:paraId="56D3C9AE" w14:textId="747EC2CD" w:rsidR="0024156E" w:rsidRDefault="0024156E" w:rsidP="0024156E">
      <w:pPr>
        <w:pStyle w:val="NCLBodyText"/>
        <w:numPr>
          <w:ilvl w:val="0"/>
          <w:numId w:val="36"/>
        </w:numPr>
      </w:pPr>
      <w:r w:rsidRPr="00751648">
        <w:t xml:space="preserve">If patient has a sustained resting tachycardia (more than 120 beats per minute), arrhythmia or systolic blood pressure greater than the 95th percentile (or a clinically significant increase) measured on </w:t>
      </w:r>
      <w:r w:rsidR="006557F0" w:rsidRPr="00751648">
        <w:t>two</w:t>
      </w:r>
      <w:r w:rsidRPr="00751648">
        <w:t xml:space="preserve"> occasions, reduce their dose and refer them to a paediatric hypertension specialist or adult physician, as appropriate.</w:t>
      </w:r>
    </w:p>
    <w:p w14:paraId="15ED0516" w14:textId="32291549" w:rsidR="0024156E" w:rsidRDefault="0024156E" w:rsidP="0024156E">
      <w:pPr>
        <w:pStyle w:val="NCLBodyText"/>
        <w:numPr>
          <w:ilvl w:val="0"/>
          <w:numId w:val="36"/>
        </w:numPr>
      </w:pPr>
      <w:r>
        <w:t>For other severe adverse effects</w:t>
      </w:r>
      <w:r w:rsidR="0028331F">
        <w:t xml:space="preserve"> (e.g. </w:t>
      </w:r>
      <w:r w:rsidR="005D346F">
        <w:t xml:space="preserve">new or worsening </w:t>
      </w:r>
      <w:r w:rsidR="0028331F">
        <w:t>seizures</w:t>
      </w:r>
      <w:r w:rsidR="005D346F">
        <w:t>, new emerging psychotic symptoms</w:t>
      </w:r>
      <w:r w:rsidR="0028331F">
        <w:t>)</w:t>
      </w:r>
      <w:r>
        <w:t>, it is recommended to stop the patient</w:t>
      </w:r>
      <w:r w:rsidR="00BE7C47">
        <w:t>’</w:t>
      </w:r>
      <w:r>
        <w:t xml:space="preserve">s treatment and refer the patient back into the </w:t>
      </w:r>
      <w:r w:rsidR="005D346F">
        <w:t>initiating clinic</w:t>
      </w:r>
      <w:r>
        <w:t xml:space="preserve">. </w:t>
      </w:r>
    </w:p>
    <w:p w14:paraId="40E8CD8C" w14:textId="5D9A0D4A" w:rsidR="0024156E" w:rsidRDefault="0024156E" w:rsidP="0024156E">
      <w:pPr>
        <w:pStyle w:val="NCLBodyText"/>
        <w:numPr>
          <w:ilvl w:val="0"/>
          <w:numId w:val="36"/>
        </w:numPr>
      </w:pPr>
      <w:r>
        <w:t xml:space="preserve">For other mild/moderate adverse effects (e.g. dyspepsia), consider reducing the dose or stopping the medication and refer the patient back into the </w:t>
      </w:r>
      <w:r w:rsidR="005D346F">
        <w:t>initiating clinic</w:t>
      </w:r>
      <w:r>
        <w:t>.</w:t>
      </w:r>
    </w:p>
    <w:p w14:paraId="103E755E" w14:textId="599C6E6E" w:rsidR="00F23ED9" w:rsidRDefault="00F23ED9" w:rsidP="00F23ED9">
      <w:pPr>
        <w:pStyle w:val="NCLBodyText"/>
      </w:pPr>
    </w:p>
    <w:p w14:paraId="61454F78" w14:textId="3DC02DB5" w:rsidR="00F23ED9" w:rsidRPr="00F23ED9" w:rsidRDefault="00F23ED9" w:rsidP="00F23ED9">
      <w:pPr>
        <w:pStyle w:val="NCLBodyText"/>
        <w:rPr>
          <w:b/>
          <w:bCs/>
          <w:u w:val="single"/>
        </w:rPr>
      </w:pPr>
      <w:r>
        <w:rPr>
          <w:b/>
          <w:bCs/>
          <w:u w:val="single"/>
        </w:rPr>
        <w:t>Risk of diversion</w:t>
      </w:r>
    </w:p>
    <w:p w14:paraId="2EB205FB" w14:textId="2A9425ED" w:rsidR="00F23ED9" w:rsidRPr="0024156E" w:rsidRDefault="00F23ED9" w:rsidP="0024156E">
      <w:pPr>
        <w:pStyle w:val="NCLBodyText"/>
        <w:numPr>
          <w:ilvl w:val="0"/>
          <w:numId w:val="36"/>
        </w:numPr>
      </w:pPr>
      <w:r w:rsidRPr="00F23ED9">
        <w:t>Healthcare professionals and parents or carers should monitor changes in the potential for stimulant misuse and diversion, which may come with changes in circumstances and age.</w:t>
      </w:r>
    </w:p>
    <w:p w14:paraId="3E22424F" w14:textId="77777777" w:rsidR="00CC34C1" w:rsidRPr="00751648" w:rsidRDefault="00CC34C1" w:rsidP="00CC34C1">
      <w:pPr>
        <w:pStyle w:val="NCLHeading1"/>
      </w:pPr>
      <w:bookmarkStart w:id="19" w:name="_Toc42095048"/>
      <w:r w:rsidRPr="00751648">
        <w:t>Contraindications</w:t>
      </w:r>
      <w:bookmarkEnd w:id="19"/>
    </w:p>
    <w:p w14:paraId="4356B15B" w14:textId="77777777" w:rsidR="00CC34C1" w:rsidRPr="00751648" w:rsidRDefault="00545697" w:rsidP="00B31C2B">
      <w:pPr>
        <w:pStyle w:val="NCLBodyText"/>
        <w:numPr>
          <w:ilvl w:val="0"/>
          <w:numId w:val="36"/>
        </w:numPr>
      </w:pPr>
      <w:r w:rsidRPr="00751648">
        <w:rPr>
          <w:b/>
        </w:rPr>
        <w:t>Atomoxetine</w:t>
      </w:r>
      <w:r w:rsidRPr="00751648">
        <w:t xml:space="preserve">:  </w:t>
      </w:r>
      <w:r w:rsidR="004B0656" w:rsidRPr="00751648">
        <w:t>Concomitant use or use within 2 weeks of MAOI, narrow-angle glaucoma, severe cardiovascular or cerebrovascular disorders, pheochromocytoma</w:t>
      </w:r>
      <w:r w:rsidR="00A547AC" w:rsidRPr="00751648">
        <w:t>.</w:t>
      </w:r>
    </w:p>
    <w:p w14:paraId="6FDED609" w14:textId="77777777" w:rsidR="004B0656" w:rsidRPr="00751648" w:rsidRDefault="004B0656" w:rsidP="00B31C2B">
      <w:pPr>
        <w:pStyle w:val="NCLBodyText"/>
        <w:numPr>
          <w:ilvl w:val="0"/>
          <w:numId w:val="36"/>
        </w:numPr>
      </w:pPr>
      <w:r w:rsidRPr="00751648">
        <w:rPr>
          <w:b/>
          <w:bCs/>
        </w:rPr>
        <w:t xml:space="preserve">Dexamfetamine/Lisdexamfetamine: </w:t>
      </w:r>
      <w:r w:rsidRPr="00751648">
        <w:t>Symptomatic cardiovascular disease, structural cardiac abnormalities, moderate or severe hypertension, advanced arteriosclerosis, concomitant use or use within 2 weeks of MAOI, history of drug/alcohol abuse, hyperthyroidism, glaucoma, agitated states, severe depression, anorexia nervosa/anorexic disorders, suicidal ideation, hyper</w:t>
      </w:r>
      <w:r w:rsidR="00335603" w:rsidRPr="00751648">
        <w:t>-</w:t>
      </w:r>
      <w:r w:rsidRPr="00751648">
        <w:t>excitability, psychotic symptoms, severe and episodic (Type I) Bipolar (affective) Disorder (that is not well-controlled.</w:t>
      </w:r>
    </w:p>
    <w:p w14:paraId="52C5F946" w14:textId="1FAFDC33" w:rsidR="00E33F4B" w:rsidRDefault="00E33F4B" w:rsidP="00B31C2B">
      <w:pPr>
        <w:pStyle w:val="NCLBodyText"/>
        <w:numPr>
          <w:ilvl w:val="0"/>
          <w:numId w:val="36"/>
        </w:numPr>
      </w:pPr>
      <w:r w:rsidRPr="00751648">
        <w:rPr>
          <w:b/>
        </w:rPr>
        <w:t>Methylphenidate:</w:t>
      </w:r>
      <w:r w:rsidRPr="00751648">
        <w:t xml:space="preserve"> Severe depression, suicidal ideation, psychosis, anorexia nervosa, cardiovascular disease, severe hypertension, hyperthyroidism, glaucoma, concomitant use or use within 2 weeks of MAOI</w:t>
      </w:r>
    </w:p>
    <w:p w14:paraId="389F510B" w14:textId="6BFB171C" w:rsidR="004722D7" w:rsidRPr="00BE4828" w:rsidRDefault="004722D7" w:rsidP="00B31C2B">
      <w:pPr>
        <w:pStyle w:val="NCLBodyText"/>
        <w:numPr>
          <w:ilvl w:val="0"/>
          <w:numId w:val="36"/>
        </w:numPr>
        <w:rPr>
          <w:rFonts w:asciiTheme="minorHAnsi" w:hAnsiTheme="minorHAnsi" w:cstheme="minorHAnsi"/>
        </w:rPr>
      </w:pPr>
      <w:r w:rsidRPr="00BE4828">
        <w:rPr>
          <w:b/>
        </w:rPr>
        <w:t>Guanfacine</w:t>
      </w:r>
      <w:r w:rsidR="00D700E0" w:rsidRPr="00BE4828">
        <w:rPr>
          <w:b/>
        </w:rPr>
        <w:t>:</w:t>
      </w:r>
      <w:r w:rsidR="00D700E0" w:rsidRPr="00BE4828">
        <w:t xml:space="preserve"> </w:t>
      </w:r>
      <w:r w:rsidR="00D700E0" w:rsidRPr="00BE4828">
        <w:rPr>
          <w:rFonts w:asciiTheme="minorHAnsi" w:hAnsiTheme="minorHAnsi" w:cstheme="minorHAnsi"/>
          <w:color w:val="000000"/>
          <w:shd w:val="clear" w:color="auto" w:fill="FFFFFF"/>
        </w:rPr>
        <w:t xml:space="preserve">Hypersensitivity to the active substance or to any of the excipients </w:t>
      </w:r>
      <w:r w:rsidR="006557F0" w:rsidRPr="00BE4828">
        <w:rPr>
          <w:rFonts w:asciiTheme="minorHAnsi" w:hAnsiTheme="minorHAnsi" w:cstheme="minorHAnsi"/>
          <w:color w:val="000000"/>
          <w:shd w:val="clear" w:color="auto" w:fill="FFFFFF"/>
        </w:rPr>
        <w:t>listed.</w:t>
      </w:r>
    </w:p>
    <w:p w14:paraId="0FF8E2C0" w14:textId="1A328A4F" w:rsidR="00CC34C1" w:rsidRDefault="00CC34C1" w:rsidP="00B31C2B">
      <w:pPr>
        <w:pStyle w:val="NCLBodyText"/>
        <w:numPr>
          <w:ilvl w:val="0"/>
          <w:numId w:val="36"/>
        </w:numPr>
      </w:pPr>
      <w:r w:rsidRPr="00751648">
        <w:t>For a full list of contraindications, refer to the Summary of Product Characteristics</w:t>
      </w:r>
      <w:r w:rsidR="00DB4CF4" w:rsidRPr="00751648">
        <w:t xml:space="preserve"> </w:t>
      </w:r>
      <w:hyperlink r:id="rId22" w:history="1">
        <w:r w:rsidR="00DB4CF4" w:rsidRPr="00751648">
          <w:rPr>
            <w:rStyle w:val="Hyperlink"/>
          </w:rPr>
          <w:t>www.medicines.org.uk</w:t>
        </w:r>
      </w:hyperlink>
      <w:r w:rsidRPr="00751648">
        <w:t>.</w:t>
      </w:r>
      <w:r w:rsidR="00DB4CF4" w:rsidRPr="00751648">
        <w:t xml:space="preserve"> </w:t>
      </w:r>
    </w:p>
    <w:p w14:paraId="1FF0B89E" w14:textId="70E7368C" w:rsidR="00907CB4" w:rsidRDefault="00907CB4" w:rsidP="00907CB4">
      <w:pPr>
        <w:pStyle w:val="NCLBodyText"/>
        <w:jc w:val="left"/>
      </w:pPr>
    </w:p>
    <w:p w14:paraId="5A1F9DF0" w14:textId="77777777" w:rsidR="00D92962" w:rsidRPr="00751648" w:rsidRDefault="00CC34C1" w:rsidP="00573862">
      <w:pPr>
        <w:pStyle w:val="NCLHeading1"/>
      </w:pPr>
      <w:bookmarkStart w:id="20" w:name="_Toc42095049"/>
      <w:r w:rsidRPr="00751648">
        <w:t>Drug Interactions</w:t>
      </w:r>
      <w:bookmarkEnd w:id="20"/>
    </w:p>
    <w:p w14:paraId="09FAF741" w14:textId="77777777" w:rsidR="00D92962" w:rsidRPr="00751648" w:rsidRDefault="00D92962" w:rsidP="00FD4F47">
      <w:pPr>
        <w:pStyle w:val="NCLBodyText"/>
        <w:jc w:val="left"/>
        <w:rPr>
          <w:sz w:val="6"/>
          <w:szCs w:val="6"/>
        </w:rPr>
      </w:pPr>
    </w:p>
    <w:p w14:paraId="7BEC1DC6" w14:textId="77777777" w:rsidR="008432A4" w:rsidRPr="00751648" w:rsidRDefault="008432A4" w:rsidP="00B31C2B">
      <w:pPr>
        <w:pStyle w:val="NCLBodyText"/>
        <w:rPr>
          <w:b/>
          <w:color w:val="3333FF"/>
        </w:rPr>
      </w:pPr>
      <w:r w:rsidRPr="00751648">
        <w:rPr>
          <w:b/>
          <w:color w:val="3333FF"/>
        </w:rPr>
        <w:t>Atomoxetine:</w:t>
      </w:r>
    </w:p>
    <w:p w14:paraId="107024E5" w14:textId="6C6585F2" w:rsidR="00E37B02" w:rsidRPr="00751648" w:rsidRDefault="00E37B02" w:rsidP="00B31C2B">
      <w:pPr>
        <w:pStyle w:val="NCLBodyText"/>
        <w:numPr>
          <w:ilvl w:val="0"/>
          <w:numId w:val="33"/>
        </w:numPr>
      </w:pPr>
      <w:r w:rsidRPr="00751648">
        <w:rPr>
          <w:b/>
        </w:rPr>
        <w:lastRenderedPageBreak/>
        <w:t>Antidepressants</w:t>
      </w:r>
      <w:r w:rsidRPr="00751648">
        <w:t>- Risk of hypertensive crisis when</w:t>
      </w:r>
      <w:r w:rsidR="00A547AC" w:rsidRPr="00751648">
        <w:t xml:space="preserve"> </w:t>
      </w:r>
      <w:r w:rsidRPr="00751648">
        <w:t>given with MAOI/</w:t>
      </w:r>
      <w:r w:rsidR="00C042E6">
        <w:t>m</w:t>
      </w:r>
      <w:r w:rsidRPr="00751648">
        <w:t xml:space="preserve">oclobemide. Metabolism of </w:t>
      </w:r>
      <w:r w:rsidR="00C042E6">
        <w:t>a</w:t>
      </w:r>
      <w:r w:rsidRPr="00751648">
        <w:t xml:space="preserve">tomoxetine possibly inhibited by </w:t>
      </w:r>
      <w:r w:rsidR="00C042E6">
        <w:t>f</w:t>
      </w:r>
      <w:r w:rsidRPr="00751648">
        <w:t xml:space="preserve">luoxetine and </w:t>
      </w:r>
      <w:r w:rsidR="00C042E6">
        <w:t>p</w:t>
      </w:r>
      <w:r w:rsidRPr="00751648">
        <w:t xml:space="preserve">aroxetine. Increased risk of convulsions with </w:t>
      </w:r>
      <w:r w:rsidR="00C042E6">
        <w:t>a</w:t>
      </w:r>
      <w:r w:rsidRPr="00751648">
        <w:t xml:space="preserve">tomoxetine and antidepressants (including </w:t>
      </w:r>
      <w:r w:rsidR="00C042E6">
        <w:t>b</w:t>
      </w:r>
      <w:r w:rsidRPr="00751648">
        <w:t>upropion).</w:t>
      </w:r>
    </w:p>
    <w:p w14:paraId="39441931" w14:textId="41F5FFD8" w:rsidR="00E37B02" w:rsidRPr="00751648" w:rsidRDefault="00E37B02" w:rsidP="00B31C2B">
      <w:pPr>
        <w:pStyle w:val="NCLBodyText"/>
        <w:numPr>
          <w:ilvl w:val="0"/>
          <w:numId w:val="33"/>
        </w:numPr>
      </w:pPr>
      <w:r w:rsidRPr="00751648">
        <w:rPr>
          <w:b/>
        </w:rPr>
        <w:t>Analgesics</w:t>
      </w:r>
      <w:r w:rsidRPr="00751648">
        <w:t xml:space="preserve">- Increased risk of ventricular arrhythmias with concomitant use of </w:t>
      </w:r>
      <w:r w:rsidR="00C042E6">
        <w:t>a</w:t>
      </w:r>
      <w:r w:rsidRPr="00751648">
        <w:t xml:space="preserve">tomoxetine and </w:t>
      </w:r>
      <w:r w:rsidR="00C042E6">
        <w:t>m</w:t>
      </w:r>
      <w:r w:rsidRPr="00751648">
        <w:t xml:space="preserve">ethadone. Possible increased risk of convulsions with concomitant use with </w:t>
      </w:r>
      <w:r w:rsidR="00C042E6">
        <w:t>t</w:t>
      </w:r>
      <w:r w:rsidRPr="00751648">
        <w:t>ramadol.</w:t>
      </w:r>
    </w:p>
    <w:p w14:paraId="048748E4" w14:textId="42A0D6B0" w:rsidR="00A8618D" w:rsidRPr="00751648" w:rsidRDefault="00A8618D" w:rsidP="00B31C2B">
      <w:pPr>
        <w:pStyle w:val="NCLBodyText"/>
        <w:numPr>
          <w:ilvl w:val="0"/>
          <w:numId w:val="33"/>
        </w:numPr>
      </w:pPr>
      <w:r w:rsidRPr="00751648">
        <w:rPr>
          <w:b/>
        </w:rPr>
        <w:t xml:space="preserve">Coumarin anticoagulants e.g. </w:t>
      </w:r>
      <w:r w:rsidR="00C042E6">
        <w:rPr>
          <w:b/>
        </w:rPr>
        <w:t>w</w:t>
      </w:r>
      <w:r w:rsidRPr="00751648">
        <w:rPr>
          <w:b/>
        </w:rPr>
        <w:t>arfarin</w:t>
      </w:r>
      <w:r w:rsidRPr="00751648">
        <w:tab/>
      </w:r>
      <w:r w:rsidR="00A547AC" w:rsidRPr="00751648">
        <w:t xml:space="preserve">- </w:t>
      </w:r>
      <w:r w:rsidRPr="00751648">
        <w:t xml:space="preserve">Increased anticoagulant effects CYP2D6 inhibitor drugs e.g. </w:t>
      </w:r>
      <w:r w:rsidR="00C042E6">
        <w:t>f</w:t>
      </w:r>
      <w:r w:rsidRPr="00751648">
        <w:t>luoxetine (SSRIs)</w:t>
      </w:r>
      <w:r w:rsidR="00F923A8" w:rsidRPr="00751648">
        <w:t>, i</w:t>
      </w:r>
      <w:r w:rsidRPr="00751648">
        <w:t xml:space="preserve">ncreased serum levels and drowsiness </w:t>
      </w:r>
      <w:r w:rsidR="00C042E6">
        <w:t>t</w:t>
      </w:r>
      <w:r w:rsidRPr="00751648">
        <w:t xml:space="preserve">ricyclic </w:t>
      </w:r>
      <w:r w:rsidR="00F923A8" w:rsidRPr="00751648">
        <w:t>a</w:t>
      </w:r>
      <w:r w:rsidRPr="00751648">
        <w:t>ntidepressants</w:t>
      </w:r>
      <w:r w:rsidR="00E37B02" w:rsidRPr="00751648">
        <w:t xml:space="preserve">. </w:t>
      </w:r>
      <w:r w:rsidRPr="00751648">
        <w:t>Increased serum levels and side effects</w:t>
      </w:r>
      <w:r w:rsidR="00F923A8" w:rsidRPr="00751648">
        <w:t>.</w:t>
      </w:r>
    </w:p>
    <w:p w14:paraId="55040F5F" w14:textId="4D318147" w:rsidR="008432A4" w:rsidRPr="00751648" w:rsidRDefault="00A8618D" w:rsidP="00B31C2B">
      <w:pPr>
        <w:pStyle w:val="NCLBodyText"/>
        <w:numPr>
          <w:ilvl w:val="0"/>
          <w:numId w:val="29"/>
        </w:numPr>
        <w:ind w:left="709" w:hanging="425"/>
      </w:pPr>
      <w:r w:rsidRPr="00751648">
        <w:t xml:space="preserve">Increased risk of cardiovascular side effects when given with </w:t>
      </w:r>
      <w:r w:rsidR="00C042E6">
        <w:rPr>
          <w:b/>
        </w:rPr>
        <w:t>b</w:t>
      </w:r>
      <w:r w:rsidRPr="00751648">
        <w:rPr>
          <w:b/>
        </w:rPr>
        <w:t xml:space="preserve">eta2 </w:t>
      </w:r>
      <w:r w:rsidR="00C042E6">
        <w:rPr>
          <w:b/>
        </w:rPr>
        <w:t>a</w:t>
      </w:r>
      <w:r w:rsidRPr="00751648">
        <w:rPr>
          <w:b/>
        </w:rPr>
        <w:t>gonists</w:t>
      </w:r>
      <w:r w:rsidRPr="00751648">
        <w:t xml:space="preserve"> (high dose) e.g. high dose </w:t>
      </w:r>
      <w:r w:rsidR="00C042E6">
        <w:t>s</w:t>
      </w:r>
      <w:r w:rsidRPr="00751648">
        <w:t>albutamol</w:t>
      </w:r>
      <w:r w:rsidR="006557F0" w:rsidRPr="00751648">
        <w:t xml:space="preserve">. </w:t>
      </w:r>
      <w:r w:rsidRPr="00751648">
        <w:t>Increased agonist effects</w:t>
      </w:r>
      <w:r w:rsidR="00E37B02" w:rsidRPr="00751648">
        <w:t>.</w:t>
      </w:r>
    </w:p>
    <w:p w14:paraId="17CE805D" w14:textId="77777777" w:rsidR="008432A4" w:rsidRPr="00751648" w:rsidRDefault="008432A4" w:rsidP="00B31C2B">
      <w:pPr>
        <w:pStyle w:val="NCLBodyText"/>
        <w:rPr>
          <w:b/>
        </w:rPr>
      </w:pPr>
    </w:p>
    <w:p w14:paraId="681F22E2" w14:textId="5933C98B" w:rsidR="008432A4" w:rsidRPr="00751648" w:rsidRDefault="008432A4" w:rsidP="00B31C2B">
      <w:pPr>
        <w:pStyle w:val="NCLBodyText"/>
        <w:rPr>
          <w:b/>
        </w:rPr>
      </w:pPr>
      <w:r w:rsidRPr="00751648">
        <w:rPr>
          <w:b/>
          <w:color w:val="3333FF"/>
        </w:rPr>
        <w:t>Dexamfetamine</w:t>
      </w:r>
      <w:r w:rsidR="006557F0" w:rsidRPr="00751648">
        <w:rPr>
          <w:b/>
          <w:color w:val="3333FF"/>
        </w:rPr>
        <w:t>/ Lisdexamfetamine</w:t>
      </w:r>
      <w:r w:rsidRPr="00751648">
        <w:rPr>
          <w:b/>
        </w:rPr>
        <w:t>:</w:t>
      </w:r>
    </w:p>
    <w:p w14:paraId="360F32AD" w14:textId="4E70FFB0" w:rsidR="004532E1" w:rsidRDefault="004532E1" w:rsidP="00B31C2B">
      <w:pPr>
        <w:pStyle w:val="NCLBodyText"/>
        <w:numPr>
          <w:ilvl w:val="0"/>
          <w:numId w:val="29"/>
        </w:numPr>
      </w:pPr>
      <w:r w:rsidRPr="00751648">
        <w:rPr>
          <w:b/>
        </w:rPr>
        <w:t>Antidepressants</w:t>
      </w:r>
      <w:r w:rsidRPr="00751648">
        <w:t>- Risk of hypertensive crisis when given with MAOI/</w:t>
      </w:r>
      <w:r w:rsidR="00C042E6">
        <w:t>m</w:t>
      </w:r>
      <w:r w:rsidRPr="00751648">
        <w:t xml:space="preserve">oclobemide. </w:t>
      </w:r>
    </w:p>
    <w:p w14:paraId="1E9D5F46" w14:textId="3FAD61DB" w:rsidR="004532E1" w:rsidRDefault="004532E1" w:rsidP="00B31C2B">
      <w:pPr>
        <w:pStyle w:val="NCLBodyText"/>
        <w:numPr>
          <w:ilvl w:val="0"/>
          <w:numId w:val="29"/>
        </w:numPr>
      </w:pPr>
      <w:r w:rsidRPr="00751648">
        <w:rPr>
          <w:b/>
        </w:rPr>
        <w:t>Antipsychotics</w:t>
      </w:r>
      <w:r w:rsidRPr="00751648">
        <w:t xml:space="preserve">- Lis/Dexamfetamine possibly antagonises antipsychotic effects of </w:t>
      </w:r>
      <w:r w:rsidR="00C042E6">
        <w:t>c</w:t>
      </w:r>
      <w:r w:rsidRPr="00751648">
        <w:t xml:space="preserve">hlorpromazine, </w:t>
      </w:r>
      <w:r w:rsidR="00C042E6">
        <w:t>m</w:t>
      </w:r>
      <w:r w:rsidRPr="00751648">
        <w:t xml:space="preserve">ethylphenidate possibly increases side effects of </w:t>
      </w:r>
      <w:r w:rsidR="00C042E6">
        <w:t>r</w:t>
      </w:r>
      <w:r w:rsidRPr="00751648">
        <w:t xml:space="preserve">isperidone. Increased risk of ventricular arrhythmias when </w:t>
      </w:r>
      <w:r w:rsidR="00C042E6">
        <w:t>a</w:t>
      </w:r>
      <w:r w:rsidRPr="00751648">
        <w:t xml:space="preserve">tomoxetine given with antipsychotics that prolong QT </w:t>
      </w:r>
      <w:r w:rsidR="00F61F51" w:rsidRPr="00751648">
        <w:t>interval.</w:t>
      </w:r>
    </w:p>
    <w:p w14:paraId="0D8A33A9" w14:textId="1E160249" w:rsidR="00A8618D" w:rsidRPr="00751648" w:rsidRDefault="00A8618D" w:rsidP="00B31C2B">
      <w:pPr>
        <w:pStyle w:val="NCLBodyText"/>
        <w:numPr>
          <w:ilvl w:val="0"/>
          <w:numId w:val="29"/>
        </w:numPr>
      </w:pPr>
      <w:r w:rsidRPr="00751648">
        <w:t xml:space="preserve">Avoid concomitant use of </w:t>
      </w:r>
      <w:r w:rsidRPr="00751648">
        <w:rPr>
          <w:b/>
        </w:rPr>
        <w:t>MAO</w:t>
      </w:r>
      <w:r w:rsidR="00A547AC" w:rsidRPr="00751648">
        <w:rPr>
          <w:b/>
        </w:rPr>
        <w:t xml:space="preserve"> </w:t>
      </w:r>
      <w:r w:rsidRPr="00751648">
        <w:rPr>
          <w:b/>
        </w:rPr>
        <w:t>Inhibitors</w:t>
      </w:r>
      <w:r w:rsidRPr="00751648">
        <w:t xml:space="preserve">. Risk of Hypertensive crisis. Avoid </w:t>
      </w:r>
      <w:r w:rsidR="00C042E6">
        <w:t>l</w:t>
      </w:r>
      <w:r w:rsidRPr="00751648">
        <w:t xml:space="preserve">isdexamfetamine at </w:t>
      </w:r>
      <w:r w:rsidR="00F61F51" w:rsidRPr="00751648">
        <w:t>least for</w:t>
      </w:r>
      <w:r w:rsidRPr="00751648">
        <w:t xml:space="preserve"> 2 weeks after stopping MAOI.</w:t>
      </w:r>
    </w:p>
    <w:p w14:paraId="09ECA208" w14:textId="5A89E0DB" w:rsidR="00A8618D" w:rsidRPr="00751648" w:rsidRDefault="00A8618D" w:rsidP="00B31C2B">
      <w:pPr>
        <w:pStyle w:val="NCLBodyText"/>
        <w:numPr>
          <w:ilvl w:val="0"/>
          <w:numId w:val="29"/>
        </w:numPr>
      </w:pPr>
      <w:r w:rsidRPr="00751648">
        <w:rPr>
          <w:b/>
        </w:rPr>
        <w:t>Antihypertensive</w:t>
      </w:r>
      <w:r w:rsidRPr="00751648">
        <w:t xml:space="preserve">: </w:t>
      </w:r>
      <w:r w:rsidR="00C042E6">
        <w:t>l</w:t>
      </w:r>
      <w:r w:rsidRPr="00751648">
        <w:t xml:space="preserve">isdexamfetamine may reduce the antihypertensive effect of </w:t>
      </w:r>
      <w:r w:rsidR="00C042E6">
        <w:t>g</w:t>
      </w:r>
      <w:r w:rsidRPr="00751648">
        <w:t>uanethidine and others.</w:t>
      </w:r>
    </w:p>
    <w:p w14:paraId="5610B2E5" w14:textId="76840A6C" w:rsidR="008432A4" w:rsidRPr="00751648" w:rsidRDefault="00A8618D" w:rsidP="00B31C2B">
      <w:pPr>
        <w:pStyle w:val="NCLBodyText"/>
        <w:numPr>
          <w:ilvl w:val="0"/>
          <w:numId w:val="29"/>
        </w:numPr>
      </w:pPr>
      <w:r w:rsidRPr="00751648">
        <w:t xml:space="preserve">Increased analgesic effects of </w:t>
      </w:r>
      <w:r w:rsidR="00C042E6">
        <w:rPr>
          <w:b/>
        </w:rPr>
        <w:t>m</w:t>
      </w:r>
      <w:r w:rsidRPr="00751648">
        <w:rPr>
          <w:b/>
        </w:rPr>
        <w:t>orphine and other opioids</w:t>
      </w:r>
      <w:r w:rsidRPr="00751648">
        <w:t>.</w:t>
      </w:r>
    </w:p>
    <w:p w14:paraId="59ABD88D" w14:textId="6EF80C3E" w:rsidR="008432A4" w:rsidRDefault="008432A4" w:rsidP="00B31C2B">
      <w:pPr>
        <w:pStyle w:val="NCLBodyText"/>
        <w:rPr>
          <w:b/>
        </w:rPr>
      </w:pPr>
    </w:p>
    <w:p w14:paraId="309F7F80" w14:textId="77777777" w:rsidR="008432A4" w:rsidRPr="00751648" w:rsidRDefault="008432A4" w:rsidP="00B31C2B">
      <w:pPr>
        <w:pStyle w:val="NCLBodyText"/>
        <w:rPr>
          <w:b/>
        </w:rPr>
      </w:pPr>
      <w:r w:rsidRPr="00751648">
        <w:rPr>
          <w:b/>
          <w:color w:val="3333FF"/>
        </w:rPr>
        <w:t>Methylphenidate</w:t>
      </w:r>
      <w:r w:rsidRPr="00751648">
        <w:rPr>
          <w:b/>
        </w:rPr>
        <w:t>:</w:t>
      </w:r>
    </w:p>
    <w:p w14:paraId="3C72FA9A" w14:textId="51DDF1D4" w:rsidR="004532E1" w:rsidRDefault="004532E1" w:rsidP="00B31C2B">
      <w:pPr>
        <w:pStyle w:val="NCLBodyText"/>
        <w:numPr>
          <w:ilvl w:val="0"/>
          <w:numId w:val="28"/>
        </w:numPr>
      </w:pPr>
      <w:r w:rsidRPr="00751648">
        <w:rPr>
          <w:b/>
        </w:rPr>
        <w:t>Antidepressants</w:t>
      </w:r>
      <w:r w:rsidRPr="00751648">
        <w:t>- Risk of hypertensive crisis when given with MAOI/</w:t>
      </w:r>
      <w:r w:rsidR="00C042E6">
        <w:t>m</w:t>
      </w:r>
      <w:r w:rsidRPr="00751648">
        <w:t xml:space="preserve">oclobemide. </w:t>
      </w:r>
      <w:r w:rsidR="00C042E6">
        <w:t>m</w:t>
      </w:r>
      <w:r w:rsidRPr="00751648">
        <w:t>ethylphenidate possibly inhibits metabolism of SSRI’s and TCA’s.</w:t>
      </w:r>
    </w:p>
    <w:p w14:paraId="71EB2903" w14:textId="4E3958A2" w:rsidR="008432A4" w:rsidRPr="00751648" w:rsidRDefault="008432A4" w:rsidP="00B31C2B">
      <w:pPr>
        <w:pStyle w:val="NCLBodyText"/>
        <w:numPr>
          <w:ilvl w:val="0"/>
          <w:numId w:val="28"/>
        </w:numPr>
      </w:pPr>
      <w:r w:rsidRPr="00751648">
        <w:t xml:space="preserve">May inhibit the metabolism of </w:t>
      </w:r>
      <w:r w:rsidR="00C042E6">
        <w:rPr>
          <w:b/>
        </w:rPr>
        <w:t>c</w:t>
      </w:r>
      <w:r w:rsidRPr="00751648">
        <w:rPr>
          <w:b/>
        </w:rPr>
        <w:t>oumarin anticoagulants</w:t>
      </w:r>
      <w:r w:rsidRPr="00751648">
        <w:t xml:space="preserve">, some </w:t>
      </w:r>
      <w:r w:rsidRPr="00751648">
        <w:rPr>
          <w:b/>
        </w:rPr>
        <w:t xml:space="preserve">anticonvulsants </w:t>
      </w:r>
      <w:r w:rsidRPr="00751648">
        <w:t>(</w:t>
      </w:r>
      <w:r w:rsidR="00C042E6">
        <w:t>p</w:t>
      </w:r>
      <w:r w:rsidRPr="00751648">
        <w:t xml:space="preserve">henobarbitones, </w:t>
      </w:r>
      <w:r w:rsidR="00C042E6">
        <w:t>p</w:t>
      </w:r>
      <w:r w:rsidRPr="00751648">
        <w:t xml:space="preserve">henytoin and </w:t>
      </w:r>
      <w:r w:rsidR="00C042E6">
        <w:t>p</w:t>
      </w:r>
      <w:r w:rsidRPr="00751648">
        <w:t xml:space="preserve">rimidone), </w:t>
      </w:r>
      <w:r w:rsidR="00C042E6">
        <w:t>p</w:t>
      </w:r>
      <w:r w:rsidRPr="00751648">
        <w:t xml:space="preserve">henylbutazone and </w:t>
      </w:r>
      <w:r w:rsidR="00C042E6">
        <w:t>t</w:t>
      </w:r>
      <w:r w:rsidRPr="00751648">
        <w:t>ricyclic antidepressants. The dosage of these drugs may have to be reduced.</w:t>
      </w:r>
    </w:p>
    <w:p w14:paraId="65915E49" w14:textId="77777777" w:rsidR="008432A4" w:rsidRPr="00751648" w:rsidRDefault="008432A4" w:rsidP="00B31C2B">
      <w:pPr>
        <w:pStyle w:val="NCLBodyText"/>
        <w:numPr>
          <w:ilvl w:val="0"/>
          <w:numId w:val="28"/>
        </w:numPr>
      </w:pPr>
      <w:r w:rsidRPr="00751648">
        <w:t xml:space="preserve">Use in caution with </w:t>
      </w:r>
      <w:r w:rsidRPr="00751648">
        <w:rPr>
          <w:b/>
        </w:rPr>
        <w:t>MAOI</w:t>
      </w:r>
      <w:r w:rsidR="005D577A" w:rsidRPr="00751648">
        <w:rPr>
          <w:b/>
        </w:rPr>
        <w:t>.</w:t>
      </w:r>
    </w:p>
    <w:p w14:paraId="14DAFCA6" w14:textId="090A2B94" w:rsidR="008432A4" w:rsidRPr="00751648" w:rsidRDefault="008432A4" w:rsidP="00B31C2B">
      <w:pPr>
        <w:pStyle w:val="NCLBodyText"/>
        <w:numPr>
          <w:ilvl w:val="0"/>
          <w:numId w:val="28"/>
        </w:numPr>
      </w:pPr>
      <w:r w:rsidRPr="00751648">
        <w:rPr>
          <w:b/>
        </w:rPr>
        <w:t>Alcohol</w:t>
      </w:r>
      <w:r w:rsidRPr="00751648">
        <w:t xml:space="preserve"> may exacerbate the adverse CNS effect of </w:t>
      </w:r>
      <w:r w:rsidR="00C042E6">
        <w:t>m</w:t>
      </w:r>
      <w:r w:rsidRPr="00751648">
        <w:t>ethylphenidate. Patients should be advised to abstain from alcohol during treatment.</w:t>
      </w:r>
    </w:p>
    <w:p w14:paraId="301B35E3" w14:textId="66366F61" w:rsidR="008432A4" w:rsidRPr="00751648" w:rsidRDefault="008432A4" w:rsidP="00B31C2B">
      <w:pPr>
        <w:pStyle w:val="NCLBodyText"/>
        <w:numPr>
          <w:ilvl w:val="0"/>
          <w:numId w:val="28"/>
        </w:numPr>
      </w:pPr>
      <w:r w:rsidRPr="00751648">
        <w:rPr>
          <w:b/>
        </w:rPr>
        <w:t xml:space="preserve">Pseudoephedrine, </w:t>
      </w:r>
      <w:r w:rsidR="00C042E6">
        <w:rPr>
          <w:b/>
        </w:rPr>
        <w:t>p</w:t>
      </w:r>
      <w:r w:rsidRPr="00751648">
        <w:rPr>
          <w:b/>
        </w:rPr>
        <w:t>henylpropanolamine</w:t>
      </w:r>
      <w:r w:rsidRPr="00751648">
        <w:t xml:space="preserve"> (both found in OTC cough remedies). Patients should be warned when buying cough medicines.</w:t>
      </w:r>
    </w:p>
    <w:p w14:paraId="1EEF072E" w14:textId="0CB84301" w:rsidR="008432A4" w:rsidRDefault="008432A4" w:rsidP="00B31C2B">
      <w:pPr>
        <w:pStyle w:val="NCLBodyText"/>
        <w:numPr>
          <w:ilvl w:val="0"/>
          <w:numId w:val="28"/>
        </w:numPr>
      </w:pPr>
      <w:r w:rsidRPr="00751648">
        <w:t xml:space="preserve">Methylphenidate can worsen the side effects of </w:t>
      </w:r>
      <w:r w:rsidR="00C042E6">
        <w:rPr>
          <w:b/>
        </w:rPr>
        <w:t>r</w:t>
      </w:r>
      <w:r w:rsidRPr="00751648">
        <w:rPr>
          <w:b/>
        </w:rPr>
        <w:t>isperidone</w:t>
      </w:r>
      <w:r w:rsidRPr="00751648">
        <w:t>.</w:t>
      </w:r>
    </w:p>
    <w:p w14:paraId="13EF45E6" w14:textId="5D59356F" w:rsidR="00D700E0" w:rsidRDefault="00D700E0" w:rsidP="00D700E0">
      <w:pPr>
        <w:pStyle w:val="NCLBodyText"/>
      </w:pPr>
    </w:p>
    <w:p w14:paraId="4263DBF5" w14:textId="1EE30D8A" w:rsidR="00D700E0" w:rsidRDefault="00D700E0" w:rsidP="00D700E0">
      <w:pPr>
        <w:pStyle w:val="NCLBodyText"/>
        <w:rPr>
          <w:b/>
          <w:bCs/>
          <w:color w:val="0000FF"/>
        </w:rPr>
      </w:pPr>
      <w:r w:rsidRPr="00D700E0">
        <w:rPr>
          <w:b/>
          <w:bCs/>
          <w:color w:val="0000FF"/>
        </w:rPr>
        <w:t>Guanfacine:</w:t>
      </w:r>
    </w:p>
    <w:p w14:paraId="078B2D7F" w14:textId="529A8461" w:rsidR="00D700E0" w:rsidRPr="00BE4828" w:rsidRDefault="00D700E0" w:rsidP="00B31C2B">
      <w:pPr>
        <w:pStyle w:val="NCLBodyText"/>
        <w:numPr>
          <w:ilvl w:val="0"/>
          <w:numId w:val="43"/>
        </w:numPr>
        <w:rPr>
          <w:rFonts w:asciiTheme="minorHAnsi" w:hAnsiTheme="minorHAnsi" w:cstheme="minorHAnsi"/>
          <w:b/>
          <w:bCs/>
        </w:rPr>
      </w:pPr>
      <w:r w:rsidRPr="00BE4828">
        <w:rPr>
          <w:rFonts w:asciiTheme="minorHAnsi" w:hAnsiTheme="minorHAnsi" w:cstheme="minorHAnsi"/>
          <w:b/>
          <w:bCs/>
          <w:color w:val="000000"/>
          <w:shd w:val="clear" w:color="auto" w:fill="FFFFFF"/>
        </w:rPr>
        <w:t>QT prolonging medicinal products,</w:t>
      </w:r>
      <w:r w:rsidRPr="00BE4828">
        <w:rPr>
          <w:rFonts w:asciiTheme="minorHAnsi" w:hAnsiTheme="minorHAnsi" w:cstheme="minorHAnsi"/>
          <w:color w:val="000000"/>
          <w:u w:val="single"/>
          <w:shd w:val="clear" w:color="auto" w:fill="FFFFFF"/>
        </w:rPr>
        <w:t xml:space="preserve"> </w:t>
      </w:r>
      <w:r w:rsidRPr="00BE4828">
        <w:rPr>
          <w:rFonts w:asciiTheme="minorHAnsi" w:hAnsiTheme="minorHAnsi" w:cstheme="minorHAnsi"/>
          <w:color w:val="000000"/>
          <w:shd w:val="clear" w:color="auto" w:fill="FFFFFF"/>
        </w:rPr>
        <w:t>the concomitant use of guanfacine with QT prolonging medicinal products is generally not recommended</w:t>
      </w:r>
      <w:r w:rsidR="00052146">
        <w:rPr>
          <w:rFonts w:asciiTheme="minorHAnsi" w:hAnsiTheme="minorHAnsi" w:cstheme="minorHAnsi"/>
          <w:color w:val="000000"/>
          <w:shd w:val="clear" w:color="auto" w:fill="FFFFFF"/>
        </w:rPr>
        <w:t>.</w:t>
      </w:r>
    </w:p>
    <w:p w14:paraId="179D9ED2" w14:textId="2051A1B8" w:rsidR="00D700E0" w:rsidRPr="00BE4828" w:rsidRDefault="00D700E0" w:rsidP="00B31C2B">
      <w:pPr>
        <w:pStyle w:val="ListParagraph"/>
        <w:numPr>
          <w:ilvl w:val="0"/>
          <w:numId w:val="43"/>
        </w:numPr>
        <w:shd w:val="clear" w:color="auto" w:fill="FFFFFF"/>
        <w:spacing w:after="143"/>
        <w:jc w:val="both"/>
        <w:rPr>
          <w:rFonts w:asciiTheme="minorHAnsi" w:hAnsiTheme="minorHAnsi" w:cstheme="minorHAnsi"/>
          <w:color w:val="000000"/>
          <w:sz w:val="22"/>
          <w:szCs w:val="22"/>
          <w:lang w:eastAsia="en-GB"/>
        </w:rPr>
      </w:pPr>
      <w:r w:rsidRPr="00BE4828">
        <w:rPr>
          <w:rFonts w:asciiTheme="minorHAnsi" w:hAnsiTheme="minorHAnsi" w:cstheme="minorHAnsi"/>
          <w:b/>
          <w:bCs/>
          <w:color w:val="000000"/>
          <w:sz w:val="22"/>
          <w:szCs w:val="22"/>
          <w:lang w:eastAsia="en-GB"/>
        </w:rPr>
        <w:t>CYP3A4 and CYP3A5 inhibitors</w:t>
      </w:r>
      <w:r w:rsidRPr="00BE4828">
        <w:rPr>
          <w:rFonts w:asciiTheme="minorHAnsi" w:hAnsiTheme="minorHAnsi" w:cstheme="minorHAnsi"/>
          <w:color w:val="000000"/>
          <w:sz w:val="22"/>
          <w:szCs w:val="22"/>
          <w:u w:val="single"/>
          <w:lang w:eastAsia="en-GB"/>
        </w:rPr>
        <w:t xml:space="preserve"> </w:t>
      </w:r>
      <w:r w:rsidRPr="00BE4828">
        <w:rPr>
          <w:rFonts w:asciiTheme="minorHAnsi" w:hAnsiTheme="minorHAnsi" w:cstheme="minorHAnsi"/>
          <w:color w:val="000000"/>
          <w:sz w:val="22"/>
          <w:szCs w:val="22"/>
          <w:lang w:eastAsia="en-GB"/>
        </w:rPr>
        <w:t xml:space="preserve">Caution should be used when guanfacine is administered to patients taking ketoconazole and other moderate and strong CYP3A4/5 inhibitors, a decrease in the dose of guanfacine within the recommended dose range is </w:t>
      </w:r>
      <w:r w:rsidR="00F61F51" w:rsidRPr="00BE4828">
        <w:rPr>
          <w:rFonts w:asciiTheme="minorHAnsi" w:hAnsiTheme="minorHAnsi" w:cstheme="minorHAnsi"/>
          <w:color w:val="000000"/>
          <w:sz w:val="22"/>
          <w:szCs w:val="22"/>
          <w:lang w:eastAsia="en-GB"/>
        </w:rPr>
        <w:t>proposed.</w:t>
      </w:r>
      <w:r w:rsidRPr="00BE4828">
        <w:rPr>
          <w:rFonts w:asciiTheme="minorHAnsi" w:hAnsiTheme="minorHAnsi" w:cstheme="minorHAnsi"/>
          <w:color w:val="000000"/>
          <w:sz w:val="22"/>
          <w:szCs w:val="22"/>
          <w:lang w:eastAsia="en-GB"/>
        </w:rPr>
        <w:t> </w:t>
      </w:r>
    </w:p>
    <w:p w14:paraId="283EE22A" w14:textId="4A516C6C" w:rsidR="00D700E0" w:rsidRPr="00BE4828" w:rsidRDefault="00D700E0" w:rsidP="00B31C2B">
      <w:pPr>
        <w:pStyle w:val="ListParagraph"/>
        <w:numPr>
          <w:ilvl w:val="0"/>
          <w:numId w:val="43"/>
        </w:numPr>
        <w:shd w:val="clear" w:color="auto" w:fill="FFFFFF"/>
        <w:spacing w:after="143"/>
        <w:jc w:val="both"/>
        <w:rPr>
          <w:rFonts w:asciiTheme="minorHAnsi" w:hAnsiTheme="minorHAnsi" w:cstheme="minorHAnsi"/>
          <w:color w:val="000000"/>
          <w:sz w:val="22"/>
          <w:szCs w:val="22"/>
          <w:lang w:eastAsia="en-GB"/>
        </w:rPr>
      </w:pPr>
      <w:r w:rsidRPr="00BE4828">
        <w:rPr>
          <w:rFonts w:asciiTheme="minorHAnsi" w:hAnsiTheme="minorHAnsi" w:cstheme="minorHAnsi"/>
          <w:b/>
          <w:bCs/>
          <w:color w:val="000000"/>
          <w:sz w:val="22"/>
          <w:szCs w:val="22"/>
          <w:lang w:eastAsia="en-GB"/>
        </w:rPr>
        <w:t>CYP3A4 inducers</w:t>
      </w:r>
      <w:r w:rsidRPr="00BE4828">
        <w:rPr>
          <w:rFonts w:asciiTheme="minorHAnsi" w:hAnsiTheme="minorHAnsi" w:cstheme="minorHAnsi"/>
          <w:color w:val="000000"/>
          <w:sz w:val="22"/>
          <w:szCs w:val="22"/>
          <w:u w:val="single"/>
          <w:lang w:eastAsia="en-GB"/>
        </w:rPr>
        <w:t xml:space="preserve"> </w:t>
      </w:r>
      <w:r w:rsidRPr="00BE4828">
        <w:rPr>
          <w:rFonts w:asciiTheme="minorHAnsi" w:hAnsiTheme="minorHAnsi" w:cstheme="minorHAnsi"/>
          <w:color w:val="000000"/>
          <w:sz w:val="22"/>
          <w:szCs w:val="22"/>
          <w:lang w:eastAsia="en-GB"/>
        </w:rPr>
        <w:t xml:space="preserve">When patients are taking guanfacine concomitantly with a CYP3A4 inducer, an increase in the dose of guanfacine within the recommended dose range is </w:t>
      </w:r>
      <w:r w:rsidR="00F61F51" w:rsidRPr="00BE4828">
        <w:rPr>
          <w:rFonts w:asciiTheme="minorHAnsi" w:hAnsiTheme="minorHAnsi" w:cstheme="minorHAnsi"/>
          <w:color w:val="000000"/>
          <w:sz w:val="22"/>
          <w:szCs w:val="22"/>
          <w:lang w:eastAsia="en-GB"/>
        </w:rPr>
        <w:t>proposed.</w:t>
      </w:r>
      <w:r w:rsidRPr="00BE4828">
        <w:rPr>
          <w:rFonts w:asciiTheme="minorHAnsi" w:hAnsiTheme="minorHAnsi" w:cstheme="minorHAnsi"/>
          <w:color w:val="000000"/>
          <w:sz w:val="22"/>
          <w:szCs w:val="22"/>
          <w:lang w:eastAsia="en-GB"/>
        </w:rPr>
        <w:t> </w:t>
      </w:r>
    </w:p>
    <w:p w14:paraId="552CB639" w14:textId="1D38A991" w:rsidR="00D700E0" w:rsidRPr="00BE4828" w:rsidRDefault="00D700E0" w:rsidP="00B31C2B">
      <w:pPr>
        <w:pStyle w:val="ListParagraph"/>
        <w:numPr>
          <w:ilvl w:val="0"/>
          <w:numId w:val="43"/>
        </w:numPr>
        <w:shd w:val="clear" w:color="auto" w:fill="FFFFFF"/>
        <w:spacing w:after="143"/>
        <w:jc w:val="both"/>
        <w:rPr>
          <w:rFonts w:asciiTheme="minorHAnsi" w:hAnsiTheme="minorHAnsi" w:cstheme="minorHAnsi"/>
          <w:color w:val="000000"/>
          <w:sz w:val="22"/>
          <w:szCs w:val="22"/>
          <w:lang w:eastAsia="en-GB"/>
        </w:rPr>
      </w:pPr>
      <w:r w:rsidRPr="00BE4828">
        <w:rPr>
          <w:rFonts w:asciiTheme="minorHAnsi" w:hAnsiTheme="minorHAnsi" w:cstheme="minorHAnsi"/>
          <w:b/>
          <w:bCs/>
          <w:color w:val="000000"/>
          <w:sz w:val="22"/>
          <w:szCs w:val="22"/>
          <w:lang w:eastAsia="en-GB"/>
        </w:rPr>
        <w:t>Valproic acid</w:t>
      </w:r>
      <w:r w:rsidRPr="00BE4828">
        <w:rPr>
          <w:rFonts w:asciiTheme="minorHAnsi" w:hAnsiTheme="minorHAnsi" w:cstheme="minorHAnsi"/>
          <w:color w:val="000000"/>
          <w:sz w:val="22"/>
          <w:szCs w:val="22"/>
          <w:u w:val="single"/>
          <w:lang w:eastAsia="en-GB"/>
        </w:rPr>
        <w:t xml:space="preserve"> </w:t>
      </w:r>
      <w:r w:rsidRPr="00BE4828">
        <w:rPr>
          <w:rFonts w:asciiTheme="minorHAnsi" w:hAnsiTheme="minorHAnsi" w:cstheme="minorHAnsi"/>
          <w:color w:val="000000"/>
          <w:sz w:val="22"/>
          <w:szCs w:val="22"/>
          <w:lang w:eastAsia="en-GB"/>
        </w:rPr>
        <w:t>Co-administration of guanfacine and valproic acid can result in increased concentrations of valproic acid. </w:t>
      </w:r>
    </w:p>
    <w:p w14:paraId="4B3A53A4" w14:textId="0FE7B4FA" w:rsidR="00B902F9" w:rsidRPr="00BE4828" w:rsidRDefault="00B902F9" w:rsidP="00B31C2B">
      <w:pPr>
        <w:pStyle w:val="ListParagraph"/>
        <w:numPr>
          <w:ilvl w:val="0"/>
          <w:numId w:val="43"/>
        </w:numPr>
        <w:shd w:val="clear" w:color="auto" w:fill="FFFFFF"/>
        <w:spacing w:after="143"/>
        <w:jc w:val="both"/>
        <w:rPr>
          <w:rFonts w:asciiTheme="minorHAnsi" w:hAnsiTheme="minorHAnsi" w:cstheme="minorHAnsi"/>
          <w:color w:val="000000"/>
          <w:sz w:val="22"/>
          <w:szCs w:val="22"/>
          <w:lang w:eastAsia="en-GB"/>
        </w:rPr>
      </w:pPr>
      <w:r w:rsidRPr="00BE4828">
        <w:rPr>
          <w:rFonts w:asciiTheme="minorHAnsi" w:hAnsiTheme="minorHAnsi" w:cstheme="minorHAnsi"/>
          <w:b/>
          <w:bCs/>
          <w:color w:val="000000"/>
          <w:sz w:val="22"/>
          <w:szCs w:val="22"/>
          <w:lang w:eastAsia="en-GB"/>
        </w:rPr>
        <w:lastRenderedPageBreak/>
        <w:t>Antihypertensive medicinal products</w:t>
      </w:r>
      <w:r w:rsidRPr="00BE4828">
        <w:rPr>
          <w:rFonts w:asciiTheme="minorHAnsi" w:hAnsiTheme="minorHAnsi" w:cstheme="minorHAnsi"/>
          <w:color w:val="000000"/>
          <w:sz w:val="22"/>
          <w:szCs w:val="22"/>
          <w:u w:val="single"/>
          <w:lang w:eastAsia="en-GB"/>
        </w:rPr>
        <w:t xml:space="preserve"> </w:t>
      </w:r>
      <w:r w:rsidRPr="00BE4828">
        <w:rPr>
          <w:rFonts w:asciiTheme="minorHAnsi" w:hAnsiTheme="minorHAnsi" w:cstheme="minorHAnsi"/>
          <w:color w:val="000000"/>
          <w:sz w:val="22"/>
          <w:szCs w:val="22"/>
          <w:lang w:eastAsia="en-GB"/>
        </w:rPr>
        <w:t xml:space="preserve">Caution should be used when guanfacine is administered concomitantly with antihypertensive medicinal products, due to the potential for additive pharmacodynamic effects such as hypotension and </w:t>
      </w:r>
      <w:r w:rsidR="00F61F51" w:rsidRPr="00BE4828">
        <w:rPr>
          <w:rFonts w:asciiTheme="minorHAnsi" w:hAnsiTheme="minorHAnsi" w:cstheme="minorHAnsi"/>
          <w:color w:val="000000"/>
          <w:sz w:val="22"/>
          <w:szCs w:val="22"/>
          <w:lang w:eastAsia="en-GB"/>
        </w:rPr>
        <w:t>syncope.</w:t>
      </w:r>
      <w:r w:rsidRPr="00BE4828">
        <w:rPr>
          <w:rFonts w:asciiTheme="minorHAnsi" w:hAnsiTheme="minorHAnsi" w:cstheme="minorHAnsi"/>
          <w:color w:val="000000"/>
          <w:sz w:val="22"/>
          <w:szCs w:val="22"/>
          <w:lang w:eastAsia="en-GB"/>
        </w:rPr>
        <w:t xml:space="preserve"> </w:t>
      </w:r>
    </w:p>
    <w:p w14:paraId="148DCC2E" w14:textId="00322F5C" w:rsidR="00B902F9" w:rsidRPr="00BE4828" w:rsidRDefault="00B902F9" w:rsidP="00B31C2B">
      <w:pPr>
        <w:pStyle w:val="ListParagraph"/>
        <w:numPr>
          <w:ilvl w:val="0"/>
          <w:numId w:val="43"/>
        </w:numPr>
        <w:shd w:val="clear" w:color="auto" w:fill="FFFFFF"/>
        <w:spacing w:after="143"/>
        <w:jc w:val="both"/>
        <w:rPr>
          <w:rFonts w:asciiTheme="minorHAnsi" w:hAnsiTheme="minorHAnsi" w:cstheme="minorHAnsi"/>
          <w:color w:val="000000"/>
          <w:sz w:val="22"/>
          <w:szCs w:val="22"/>
          <w:lang w:eastAsia="en-GB"/>
        </w:rPr>
      </w:pPr>
      <w:r w:rsidRPr="00BE4828">
        <w:rPr>
          <w:rFonts w:asciiTheme="minorHAnsi" w:hAnsiTheme="minorHAnsi" w:cstheme="minorHAnsi"/>
          <w:b/>
          <w:bCs/>
          <w:color w:val="000000"/>
          <w:sz w:val="22"/>
          <w:szCs w:val="22"/>
          <w:lang w:eastAsia="en-GB"/>
        </w:rPr>
        <w:t>CNS depressant medicinal products</w:t>
      </w:r>
      <w:r w:rsidRPr="00BE4828">
        <w:rPr>
          <w:rFonts w:asciiTheme="minorHAnsi" w:hAnsiTheme="minorHAnsi" w:cstheme="minorHAnsi"/>
          <w:color w:val="000000"/>
          <w:sz w:val="22"/>
          <w:szCs w:val="22"/>
          <w:u w:val="single"/>
          <w:lang w:eastAsia="en-GB"/>
        </w:rPr>
        <w:t xml:space="preserve"> </w:t>
      </w:r>
      <w:r w:rsidRPr="00BE4828">
        <w:rPr>
          <w:rFonts w:asciiTheme="minorHAnsi" w:hAnsiTheme="minorHAnsi" w:cstheme="minorHAnsi"/>
          <w:color w:val="000000"/>
          <w:sz w:val="22"/>
          <w:szCs w:val="22"/>
          <w:lang w:eastAsia="en-GB"/>
        </w:rPr>
        <w:t xml:space="preserve">Caution should be used when guanfacine is administered concomitantly with CNS depressant medicinal </w:t>
      </w:r>
      <w:r w:rsidR="00F61F51" w:rsidRPr="00BE4828">
        <w:rPr>
          <w:rFonts w:asciiTheme="minorHAnsi" w:hAnsiTheme="minorHAnsi" w:cstheme="minorHAnsi"/>
          <w:color w:val="000000"/>
          <w:sz w:val="22"/>
          <w:szCs w:val="22"/>
          <w:lang w:eastAsia="en-GB"/>
        </w:rPr>
        <w:t>products.</w:t>
      </w:r>
      <w:r w:rsidRPr="00BE4828">
        <w:rPr>
          <w:rFonts w:asciiTheme="minorHAnsi" w:hAnsiTheme="minorHAnsi" w:cstheme="minorHAnsi"/>
          <w:color w:val="000000"/>
          <w:sz w:val="22"/>
          <w:szCs w:val="22"/>
          <w:lang w:eastAsia="en-GB"/>
        </w:rPr>
        <w:t xml:space="preserve"> </w:t>
      </w:r>
    </w:p>
    <w:p w14:paraId="392FEFB9" w14:textId="2C14D76F" w:rsidR="00AA45F1" w:rsidRPr="00BE4828" w:rsidRDefault="00AA45F1" w:rsidP="00B31C2B">
      <w:pPr>
        <w:pStyle w:val="ListParagraph"/>
        <w:numPr>
          <w:ilvl w:val="0"/>
          <w:numId w:val="43"/>
        </w:numPr>
        <w:shd w:val="clear" w:color="auto" w:fill="FFFFFF"/>
        <w:spacing w:after="143"/>
        <w:jc w:val="both"/>
        <w:rPr>
          <w:rFonts w:asciiTheme="minorHAnsi" w:hAnsiTheme="minorHAnsi" w:cstheme="minorHAnsi"/>
          <w:color w:val="000000" w:themeColor="text1"/>
          <w:sz w:val="22"/>
          <w:szCs w:val="22"/>
          <w:lang w:eastAsia="en-GB"/>
        </w:rPr>
      </w:pPr>
      <w:r w:rsidRPr="00BE4828">
        <w:rPr>
          <w:rFonts w:ascii="Helvetica" w:hAnsi="Helvetica" w:cs="Helvetica"/>
          <w:b/>
          <w:bCs/>
          <w:color w:val="000000" w:themeColor="text1"/>
          <w:shd w:val="clear" w:color="auto" w:fill="F1EFF7"/>
        </w:rPr>
        <w:t>Your child should not eat grapefruit or drink grapefruit juice as this may increase the amount of Guanfacine in the body, which could be harmful.</w:t>
      </w:r>
    </w:p>
    <w:p w14:paraId="52F32EA6" w14:textId="77777777" w:rsidR="008432A4" w:rsidRPr="00751648" w:rsidRDefault="008432A4" w:rsidP="008432A4">
      <w:pPr>
        <w:pStyle w:val="NCLBodyText"/>
      </w:pPr>
    </w:p>
    <w:p w14:paraId="6C3E4884" w14:textId="77777777" w:rsidR="00B31C2B" w:rsidRPr="00751648" w:rsidRDefault="00B31C2B" w:rsidP="00B31C2B">
      <w:pPr>
        <w:pStyle w:val="NCLBodyText"/>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751648">
        <w:rPr>
          <w:b/>
        </w:rPr>
        <w:t>SUPPORTING INFORMATION</w:t>
      </w:r>
    </w:p>
    <w:p w14:paraId="2C70F0C2" w14:textId="77777777" w:rsidR="00B31C2B" w:rsidRPr="00751648" w:rsidRDefault="00B31C2B" w:rsidP="00B31C2B">
      <w:pPr>
        <w:pStyle w:val="NCLBodyText"/>
        <w:pBdr>
          <w:top w:val="single" w:sz="4" w:space="1" w:color="auto"/>
          <w:left w:val="single" w:sz="4" w:space="4" w:color="auto"/>
          <w:bottom w:val="single" w:sz="4" w:space="1" w:color="auto"/>
          <w:right w:val="single" w:sz="4" w:space="4" w:color="auto"/>
        </w:pBdr>
        <w:shd w:val="clear" w:color="auto" w:fill="F2F2F2" w:themeFill="background1" w:themeFillShade="F2"/>
      </w:pPr>
      <w:r w:rsidRPr="00751648">
        <w:t xml:space="preserve">For further details refer to the manufacturer’s Summary of Product Characteristics (SPC) </w:t>
      </w:r>
      <w:r>
        <w:t xml:space="preserve">(on </w:t>
      </w:r>
      <w:hyperlink r:id="rId23" w:history="1">
        <w:r w:rsidRPr="00FF4356">
          <w:rPr>
            <w:rStyle w:val="Hyperlink"/>
          </w:rPr>
          <w:t>www.medicines.org.uk</w:t>
        </w:r>
      </w:hyperlink>
      <w:r w:rsidRPr="00751648">
        <w:t xml:space="preserve">  </w:t>
      </w:r>
      <w:r>
        <w:t xml:space="preserve">or </w:t>
      </w:r>
      <w:hyperlink r:id="rId24" w:history="1">
        <w:r>
          <w:rPr>
            <w:rStyle w:val="Hyperlink"/>
          </w:rPr>
          <w:t>https://products.mhra.gov.uk/</w:t>
        </w:r>
      </w:hyperlink>
      <w:r>
        <w:t xml:space="preserve">) </w:t>
      </w:r>
      <w:r w:rsidRPr="00751648">
        <w:t xml:space="preserve">and current </w:t>
      </w:r>
      <w:r>
        <w:t xml:space="preserve">children’s </w:t>
      </w:r>
      <w:r w:rsidRPr="00751648">
        <w:t xml:space="preserve">BNF </w:t>
      </w:r>
      <w:r>
        <w:t>(</w:t>
      </w:r>
      <w:hyperlink r:id="rId25" w:history="1">
        <w:r w:rsidRPr="00FF4356">
          <w:rPr>
            <w:rStyle w:val="Hyperlink"/>
          </w:rPr>
          <w:t>https://bnfc.nice.org.uk/</w:t>
        </w:r>
      </w:hyperlink>
      <w:r>
        <w:t xml:space="preserve">).  </w:t>
      </w:r>
    </w:p>
    <w:p w14:paraId="109AE6D6" w14:textId="38DD4B10" w:rsidR="00CC34C1" w:rsidRDefault="00CC34C1" w:rsidP="00CC34C1">
      <w:pPr>
        <w:pStyle w:val="NCLBodyText"/>
        <w:rPr>
          <w:sz w:val="16"/>
          <w:szCs w:val="16"/>
        </w:rPr>
      </w:pPr>
    </w:p>
    <w:p w14:paraId="1C957656" w14:textId="77777777" w:rsidR="00907CB4" w:rsidRPr="00751648" w:rsidRDefault="00907CB4" w:rsidP="00CC34C1">
      <w:pPr>
        <w:pStyle w:val="NCLBodyText"/>
        <w:rPr>
          <w:sz w:val="16"/>
          <w:szCs w:val="16"/>
        </w:rPr>
      </w:pPr>
    </w:p>
    <w:p w14:paraId="21965A90" w14:textId="73DCC853" w:rsidR="00592DE9" w:rsidRPr="00751648" w:rsidRDefault="008962F6" w:rsidP="00CC34C1">
      <w:pPr>
        <w:pStyle w:val="NCLHeading1"/>
      </w:pPr>
      <w:bookmarkStart w:id="21" w:name="_Toc42095050"/>
      <w:r w:rsidRPr="00751648">
        <w:t>References</w:t>
      </w:r>
      <w:bookmarkEnd w:id="21"/>
      <w:r w:rsidR="00BE4828">
        <w:t xml:space="preserve"> and Resources</w:t>
      </w:r>
    </w:p>
    <w:p w14:paraId="201D1058" w14:textId="4A510B8C" w:rsidR="00FD4F47" w:rsidRPr="00751648" w:rsidRDefault="00FD4F47" w:rsidP="00615A0C">
      <w:pPr>
        <w:pStyle w:val="NCLBodyText"/>
        <w:numPr>
          <w:ilvl w:val="0"/>
          <w:numId w:val="38"/>
        </w:numPr>
        <w:jc w:val="left"/>
      </w:pPr>
      <w:r w:rsidRPr="00751648">
        <w:t xml:space="preserve">NICE Guideline </w:t>
      </w:r>
      <w:r w:rsidR="00615A0C" w:rsidRPr="00751648">
        <w:t>87</w:t>
      </w:r>
      <w:r w:rsidRPr="00751648">
        <w:t xml:space="preserve">; </w:t>
      </w:r>
      <w:r w:rsidR="00615A0C" w:rsidRPr="00751648">
        <w:t>Attention deficit hyperactivity disorder: diagnosis and management (</w:t>
      </w:r>
      <w:r w:rsidR="00BB26ED">
        <w:t>September 2019</w:t>
      </w:r>
      <w:r w:rsidR="00615A0C" w:rsidRPr="00751648">
        <w:t xml:space="preserve">) </w:t>
      </w:r>
      <w:hyperlink r:id="rId26" w:history="1">
        <w:r w:rsidR="00615A0C" w:rsidRPr="00751648">
          <w:rPr>
            <w:rStyle w:val="Hyperlink"/>
          </w:rPr>
          <w:t>https://www.nice.org.uk/guidance/ng87</w:t>
        </w:r>
      </w:hyperlink>
      <w:r w:rsidR="00615A0C" w:rsidRPr="00751648">
        <w:rPr>
          <w:rStyle w:val="Hyperlink"/>
        </w:rPr>
        <w:t xml:space="preserve"> </w:t>
      </w:r>
      <w:r w:rsidRPr="00751648">
        <w:t xml:space="preserve"> </w:t>
      </w:r>
    </w:p>
    <w:p w14:paraId="1608C521" w14:textId="77777777" w:rsidR="00FD4F47" w:rsidRPr="00751648" w:rsidRDefault="00FD4F47" w:rsidP="00A547AC">
      <w:pPr>
        <w:pStyle w:val="NCLBodyText"/>
        <w:numPr>
          <w:ilvl w:val="0"/>
          <w:numId w:val="38"/>
        </w:numPr>
      </w:pPr>
      <w:r w:rsidRPr="00751648">
        <w:t xml:space="preserve">Summary of Product Characteristics </w:t>
      </w:r>
      <w:hyperlink r:id="rId27" w:history="1">
        <w:r w:rsidRPr="00751648">
          <w:rPr>
            <w:rStyle w:val="Hyperlink"/>
          </w:rPr>
          <w:t>http://www.medicines.org.uk</w:t>
        </w:r>
      </w:hyperlink>
      <w:r w:rsidRPr="00751648">
        <w:t xml:space="preserve"> </w:t>
      </w:r>
    </w:p>
    <w:p w14:paraId="697F4F90" w14:textId="2234D8CC" w:rsidR="004B7D1B" w:rsidRPr="00BE4828" w:rsidRDefault="004B7D1B" w:rsidP="00A547AC">
      <w:pPr>
        <w:pStyle w:val="NCLBodyText"/>
        <w:numPr>
          <w:ilvl w:val="0"/>
          <w:numId w:val="38"/>
        </w:numPr>
      </w:pPr>
      <w:r w:rsidRPr="00BE4828">
        <w:t xml:space="preserve">BNF </w:t>
      </w:r>
      <w:r w:rsidR="00BB26ED" w:rsidRPr="00BE4828">
        <w:t xml:space="preserve">online </w:t>
      </w:r>
      <w:hyperlink r:id="rId28" w:history="1">
        <w:r w:rsidR="00BB26ED" w:rsidRPr="00BE4828">
          <w:rPr>
            <w:rStyle w:val="Hyperlink"/>
          </w:rPr>
          <w:t>https://bnf.nice.org.uk/</w:t>
        </w:r>
      </w:hyperlink>
    </w:p>
    <w:p w14:paraId="59D9BCAE" w14:textId="77777777" w:rsidR="00136686" w:rsidRPr="00BE4828" w:rsidRDefault="00136686" w:rsidP="00136686">
      <w:pPr>
        <w:pStyle w:val="NCLBodyText"/>
        <w:numPr>
          <w:ilvl w:val="0"/>
          <w:numId w:val="38"/>
        </w:numPr>
        <w:jc w:val="left"/>
      </w:pPr>
      <w:r w:rsidRPr="00BE4828">
        <w:t>NCL Shared Care Guideline Methylphenidate (immediate release and long acting), Lisdexamfetamine, Atomoxetine and Dexamfetamine for treatment of Adult Attention Deficit Hyperactivity Disorder (ADHD), March 2019.</w:t>
      </w:r>
    </w:p>
    <w:p w14:paraId="112837DB" w14:textId="748008BE" w:rsidR="00FD4F47" w:rsidRPr="00751648" w:rsidRDefault="00FD4F47" w:rsidP="00A547AC">
      <w:pPr>
        <w:pStyle w:val="NCLBodyText"/>
        <w:numPr>
          <w:ilvl w:val="0"/>
          <w:numId w:val="38"/>
        </w:numPr>
      </w:pPr>
      <w:r w:rsidRPr="00751648">
        <w:t xml:space="preserve">Barnet, Enfield and Haringey Mental Health Trust shared care guidelines for methylphenidate, dexamfetamine and atomoxetine for ADHD in </w:t>
      </w:r>
      <w:r w:rsidR="008B6D60" w:rsidRPr="00751648">
        <w:t>Children 2015</w:t>
      </w:r>
      <w:r w:rsidR="004B7D1B" w:rsidRPr="00751648">
        <w:t>.</w:t>
      </w:r>
    </w:p>
    <w:p w14:paraId="6DD452D4" w14:textId="18037A63" w:rsidR="00FD4F47" w:rsidRPr="00751648" w:rsidRDefault="00FD4F47" w:rsidP="00B31C2B">
      <w:pPr>
        <w:pStyle w:val="NCLBodyText"/>
        <w:numPr>
          <w:ilvl w:val="0"/>
          <w:numId w:val="38"/>
        </w:numPr>
        <w:jc w:val="left"/>
      </w:pPr>
      <w:r w:rsidRPr="00751648">
        <w:t xml:space="preserve">Attention </w:t>
      </w:r>
      <w:r w:rsidR="008B6D60" w:rsidRPr="00751648">
        <w:t>deficit</w:t>
      </w:r>
      <w:r w:rsidRPr="00751648">
        <w:t xml:space="preserve"> hyperactivity disorder in children and young people: lisdexamfetamine dimesylate Evidence summary: new medicine Published: May 2013.nice.org.uk/guidance/esnm19.</w:t>
      </w:r>
      <w:r w:rsidR="004B7D1B" w:rsidRPr="00751648">
        <w:t xml:space="preserve"> </w:t>
      </w:r>
      <w:hyperlink r:id="rId29" w:history="1">
        <w:r w:rsidR="004B7D1B" w:rsidRPr="00751648">
          <w:rPr>
            <w:rStyle w:val="Hyperlink"/>
          </w:rPr>
          <w:t>https://www.nice.org.uk/advice/esnm19/resources/attention-deficit-hyperactivity-disorder-in-children-and-young-people-lisdexamfetamine-dimesylate-pdf-1502680811289541</w:t>
        </w:r>
      </w:hyperlink>
      <w:r w:rsidR="004B7D1B" w:rsidRPr="00751648">
        <w:t xml:space="preserve"> </w:t>
      </w:r>
    </w:p>
    <w:p w14:paraId="057A7D9D" w14:textId="77777777" w:rsidR="00FD4F47" w:rsidRPr="00751648" w:rsidRDefault="00FD4F47" w:rsidP="00A547AC">
      <w:pPr>
        <w:pStyle w:val="NCLBodyText"/>
        <w:numPr>
          <w:ilvl w:val="0"/>
          <w:numId w:val="38"/>
        </w:numPr>
      </w:pPr>
      <w:r w:rsidRPr="00751648">
        <w:t>Jadad AR, Boyle M, Cunningham C et al. Treatment of attention deficit hyperactivity disorder, Evid Rep Technol Assess (Summ) 1999 Nov:1-341. http:/www.ahcpr.gov (In Evidence Based Medicine, Issue No 7. June 2002)</w:t>
      </w:r>
    </w:p>
    <w:p w14:paraId="4731A768" w14:textId="48D6A1E2" w:rsidR="00FD4F47" w:rsidRDefault="00FD4F47" w:rsidP="00A547AC">
      <w:pPr>
        <w:pStyle w:val="NCLBodyText"/>
        <w:numPr>
          <w:ilvl w:val="0"/>
          <w:numId w:val="38"/>
        </w:numPr>
      </w:pPr>
      <w:r w:rsidRPr="00751648">
        <w:t>NIH Consensus Statement: Diagnosis and Treatment of Attention Deficit Hyperactivity Disorder (ADHD): National Institutes of Health 15:2; Nov 1998</w:t>
      </w:r>
    </w:p>
    <w:p w14:paraId="549D7030" w14:textId="77777777" w:rsidR="00FF72BC" w:rsidRDefault="00FF72BC" w:rsidP="00FF72BC">
      <w:pPr>
        <w:pStyle w:val="NCLBodyText"/>
        <w:ind w:left="720"/>
      </w:pPr>
    </w:p>
    <w:p w14:paraId="6D0D47D2" w14:textId="77FE1488" w:rsidR="00BE4828" w:rsidRDefault="00BE4828" w:rsidP="00BE4828">
      <w:pPr>
        <w:pStyle w:val="NCLBodyText"/>
        <w:rPr>
          <w:u w:val="single"/>
        </w:rPr>
      </w:pPr>
      <w:r w:rsidRPr="00BE4828">
        <w:rPr>
          <w:u w:val="single"/>
        </w:rPr>
        <w:t>Resource for Primary care providers:</w:t>
      </w:r>
    </w:p>
    <w:p w14:paraId="69669353" w14:textId="134190A3" w:rsidR="00BE4828" w:rsidRPr="00BE4828" w:rsidRDefault="00BE4828" w:rsidP="00BE4828">
      <w:pPr>
        <w:pStyle w:val="NCLBodyText"/>
        <w:numPr>
          <w:ilvl w:val="0"/>
          <w:numId w:val="44"/>
        </w:numPr>
      </w:pPr>
      <w:r w:rsidRPr="00BE4828">
        <w:t xml:space="preserve">NCL ICB- </w:t>
      </w:r>
      <w:r>
        <w:t xml:space="preserve">North Central London prescribing guidance Prescribing dilemmas: A guide for primary care prescribers (available from GP portal or via </w:t>
      </w:r>
      <w:r w:rsidR="00FF72BC">
        <w:t>the NCL</w:t>
      </w:r>
      <w:r>
        <w:t xml:space="preserve"> ICB Medicines Management</w:t>
      </w:r>
      <w:r w:rsidR="00FF72BC">
        <w:t xml:space="preserve"> team</w:t>
      </w:r>
      <w:r>
        <w:t xml:space="preserve">). </w:t>
      </w:r>
    </w:p>
    <w:p w14:paraId="66164658" w14:textId="77777777" w:rsidR="00BE4828" w:rsidRPr="00751648" w:rsidRDefault="00BE4828" w:rsidP="00BE4828">
      <w:pPr>
        <w:pStyle w:val="NCLBodyText"/>
      </w:pPr>
    </w:p>
    <w:p w14:paraId="56F02389" w14:textId="77777777" w:rsidR="00FD4F47" w:rsidRPr="00751648" w:rsidRDefault="00FD4F47" w:rsidP="003F7AC9">
      <w:pPr>
        <w:pStyle w:val="NCLBodyText"/>
        <w:ind w:left="720"/>
      </w:pPr>
    </w:p>
    <w:p w14:paraId="5590280B" w14:textId="77777777" w:rsidR="00FD4F47" w:rsidRPr="00751648" w:rsidRDefault="00FD4F47" w:rsidP="00FD4F47">
      <w:pPr>
        <w:pStyle w:val="NCLBodyText"/>
      </w:pPr>
    </w:p>
    <w:p w14:paraId="165D0FB5" w14:textId="77777777" w:rsidR="005D577A" w:rsidRPr="00751648" w:rsidRDefault="005D577A">
      <w:pPr>
        <w:spacing w:after="200" w:line="276" w:lineRule="auto"/>
        <w:rPr>
          <w:rFonts w:eastAsiaTheme="minorHAnsi" w:cs="Calibri"/>
          <w:sz w:val="22"/>
          <w:szCs w:val="22"/>
        </w:rPr>
      </w:pPr>
      <w:r w:rsidRPr="00751648">
        <w:br w:type="page"/>
      </w:r>
    </w:p>
    <w:p w14:paraId="0B3040D7" w14:textId="77777777" w:rsidR="00CC34C1" w:rsidRPr="00751648" w:rsidRDefault="00CC34C1" w:rsidP="00615A0C">
      <w:pPr>
        <w:pStyle w:val="NCLHeading1"/>
      </w:pPr>
      <w:bookmarkStart w:id="22" w:name="_Toc42095051"/>
      <w:r w:rsidRPr="00751648">
        <w:lastRenderedPageBreak/>
        <w:t>Contact Details</w:t>
      </w:r>
      <w:bookmarkEnd w:id="22"/>
      <w:r w:rsidR="00335603" w:rsidRPr="00751648">
        <w:tab/>
      </w:r>
    </w:p>
    <w:tbl>
      <w:tblPr>
        <w:tblStyle w:val="TableGrid"/>
        <w:tblW w:w="0" w:type="auto"/>
        <w:tblLook w:val="04A0" w:firstRow="1" w:lastRow="0" w:firstColumn="1" w:lastColumn="0" w:noHBand="0" w:noVBand="1"/>
      </w:tblPr>
      <w:tblGrid>
        <w:gridCol w:w="4579"/>
        <w:gridCol w:w="4743"/>
      </w:tblGrid>
      <w:tr w:rsidR="00CC34C1" w:rsidRPr="00751648" w14:paraId="7E272426" w14:textId="77777777" w:rsidTr="004B7D1B">
        <w:tc>
          <w:tcPr>
            <w:tcW w:w="4774" w:type="dxa"/>
            <w:shd w:val="clear" w:color="auto" w:fill="F2F2F2" w:themeFill="background1" w:themeFillShade="F2"/>
          </w:tcPr>
          <w:p w14:paraId="5534206A" w14:textId="77777777" w:rsidR="00CC34C1" w:rsidRPr="00751648" w:rsidRDefault="00D70F43" w:rsidP="008424FD">
            <w:pPr>
              <w:rPr>
                <w:b/>
              </w:rPr>
            </w:pPr>
            <w:r w:rsidRPr="00751648">
              <w:rPr>
                <w:b/>
              </w:rPr>
              <w:t>HOSPITAL SWITCHBOARD:</w:t>
            </w:r>
          </w:p>
        </w:tc>
        <w:tc>
          <w:tcPr>
            <w:tcW w:w="4774" w:type="dxa"/>
          </w:tcPr>
          <w:p w14:paraId="4BCC7812" w14:textId="77777777" w:rsidR="00CC34C1" w:rsidRPr="00751648" w:rsidRDefault="00CC34C1" w:rsidP="004B7D1B">
            <w:pPr>
              <w:spacing w:after="200" w:line="276" w:lineRule="auto"/>
              <w:rPr>
                <w:b/>
              </w:rPr>
            </w:pPr>
            <w:r w:rsidRPr="00751648">
              <w:rPr>
                <w:b/>
              </w:rPr>
              <w:t>020</w:t>
            </w:r>
            <w:r w:rsidR="004B7D1B" w:rsidRPr="00751648">
              <w:rPr>
                <w:b/>
              </w:rPr>
              <w:t xml:space="preserve"> 8702 3000</w:t>
            </w:r>
          </w:p>
        </w:tc>
      </w:tr>
      <w:tr w:rsidR="00CC34C1" w:rsidRPr="00751648" w14:paraId="58E0749A" w14:textId="77777777" w:rsidTr="007163E0">
        <w:trPr>
          <w:trHeight w:val="1583"/>
        </w:trPr>
        <w:tc>
          <w:tcPr>
            <w:tcW w:w="4774" w:type="dxa"/>
            <w:shd w:val="clear" w:color="auto" w:fill="F2F2F2" w:themeFill="background1" w:themeFillShade="F2"/>
          </w:tcPr>
          <w:p w14:paraId="3EA2CF4C" w14:textId="77777777" w:rsidR="00E02BF4" w:rsidRPr="00751648" w:rsidRDefault="00E02BF4" w:rsidP="00E02BF4">
            <w:pPr>
              <w:rPr>
                <w:b/>
              </w:rPr>
            </w:pPr>
            <w:r w:rsidRPr="00751648">
              <w:rPr>
                <w:b/>
              </w:rPr>
              <w:t xml:space="preserve">BARNET </w:t>
            </w:r>
            <w:r w:rsidR="00A547AC" w:rsidRPr="00751648">
              <w:rPr>
                <w:b/>
              </w:rPr>
              <w:t xml:space="preserve">SERVICE </w:t>
            </w:r>
            <w:r w:rsidR="00CC34C1" w:rsidRPr="00751648">
              <w:rPr>
                <w:b/>
              </w:rPr>
              <w:t xml:space="preserve"> </w:t>
            </w:r>
          </w:p>
          <w:p w14:paraId="06F77C71" w14:textId="77777777" w:rsidR="00CC34C1" w:rsidRPr="00751648" w:rsidRDefault="00397B4C" w:rsidP="008432A4">
            <w:pPr>
              <w:spacing w:after="0"/>
            </w:pPr>
            <w:r w:rsidRPr="00751648">
              <w:t>Holly</w:t>
            </w:r>
            <w:r w:rsidR="00D70F43" w:rsidRPr="00751648">
              <w:t xml:space="preserve"> -Oa</w:t>
            </w:r>
            <w:r w:rsidRPr="00751648">
              <w:t>k (D</w:t>
            </w:r>
            <w:r w:rsidR="00D70F43" w:rsidRPr="00751648">
              <w:t xml:space="preserve">ennis Scott Unit) </w:t>
            </w:r>
          </w:p>
          <w:p w14:paraId="5F6DA8C1" w14:textId="77777777" w:rsidR="00D70F43" w:rsidRPr="00751648" w:rsidRDefault="00D70F43" w:rsidP="00D70F43">
            <w:pPr>
              <w:spacing w:after="0"/>
            </w:pPr>
            <w:r w:rsidRPr="00751648">
              <w:t xml:space="preserve">Edgware Community Hospital </w:t>
            </w:r>
          </w:p>
          <w:p w14:paraId="0CEFECAD" w14:textId="77777777" w:rsidR="00397B4C" w:rsidRPr="00751648" w:rsidRDefault="00397B4C" w:rsidP="008432A4">
            <w:pPr>
              <w:spacing w:after="0"/>
            </w:pPr>
            <w:r w:rsidRPr="00751648">
              <w:t xml:space="preserve">Burnt </w:t>
            </w:r>
            <w:r w:rsidR="00D70F43" w:rsidRPr="00751648">
              <w:t>Oak B</w:t>
            </w:r>
            <w:r w:rsidRPr="00751648">
              <w:t>roadway</w:t>
            </w:r>
          </w:p>
          <w:p w14:paraId="6B576649" w14:textId="77777777" w:rsidR="00397B4C" w:rsidRPr="00751648" w:rsidRDefault="00397B4C" w:rsidP="008432A4">
            <w:pPr>
              <w:spacing w:after="0"/>
            </w:pPr>
            <w:r w:rsidRPr="00751648">
              <w:t xml:space="preserve">Edgware </w:t>
            </w:r>
          </w:p>
          <w:p w14:paraId="12FBFCA0" w14:textId="77777777" w:rsidR="00397B4C" w:rsidRPr="00751648" w:rsidRDefault="00D70F43" w:rsidP="008432A4">
            <w:pPr>
              <w:spacing w:after="0"/>
            </w:pPr>
            <w:r w:rsidRPr="00751648">
              <w:t>HA8 0AD</w:t>
            </w:r>
          </w:p>
        </w:tc>
        <w:tc>
          <w:tcPr>
            <w:tcW w:w="4774" w:type="dxa"/>
          </w:tcPr>
          <w:p w14:paraId="68175493" w14:textId="73D23440" w:rsidR="00E02BF4" w:rsidRPr="00751648" w:rsidRDefault="00E02BF4" w:rsidP="00E02BF4">
            <w:pPr>
              <w:spacing w:after="0"/>
              <w:rPr>
                <w:b/>
              </w:rPr>
            </w:pPr>
            <w:r w:rsidRPr="00751648">
              <w:rPr>
                <w:b/>
              </w:rPr>
              <w:t>Tel: 020</w:t>
            </w:r>
            <w:r w:rsidR="002A0954">
              <w:rPr>
                <w:b/>
              </w:rPr>
              <w:t xml:space="preserve"> </w:t>
            </w:r>
            <w:r w:rsidRPr="00751648">
              <w:rPr>
                <w:b/>
              </w:rPr>
              <w:t xml:space="preserve">8702 </w:t>
            </w:r>
            <w:r w:rsidR="00A547AC" w:rsidRPr="00751648">
              <w:rPr>
                <w:b/>
              </w:rPr>
              <w:t>4500</w:t>
            </w:r>
            <w:r w:rsidR="002A0954">
              <w:rPr>
                <w:b/>
              </w:rPr>
              <w:t>/ 3444/ 3300</w:t>
            </w:r>
          </w:p>
          <w:p w14:paraId="62146C0F" w14:textId="77777777" w:rsidR="00CC34C1" w:rsidRDefault="00CC34C1" w:rsidP="00E02BF4">
            <w:pPr>
              <w:spacing w:after="0"/>
              <w:rPr>
                <w:b/>
              </w:rPr>
            </w:pPr>
          </w:p>
          <w:p w14:paraId="4482616D" w14:textId="4A042F5D" w:rsidR="00C20CD0" w:rsidRPr="00751648" w:rsidRDefault="00CE7FE2" w:rsidP="00E02BF4">
            <w:pPr>
              <w:spacing w:after="0"/>
              <w:rPr>
                <w:b/>
              </w:rPr>
            </w:pPr>
            <w:hyperlink r:id="rId30" w:history="1">
              <w:r w:rsidR="002A0954" w:rsidRPr="005A4877">
                <w:rPr>
                  <w:rStyle w:val="Hyperlink"/>
                  <w:b/>
                </w:rPr>
                <w:t>beh-tr.camhsadmin@nhs.net</w:t>
              </w:r>
            </w:hyperlink>
            <w:r w:rsidR="002A0954">
              <w:rPr>
                <w:b/>
              </w:rPr>
              <w:t xml:space="preserve"> </w:t>
            </w:r>
          </w:p>
        </w:tc>
      </w:tr>
      <w:tr w:rsidR="00CC34C1" w:rsidRPr="00751648" w14:paraId="6208AAF6" w14:textId="77777777" w:rsidTr="007163E0">
        <w:trPr>
          <w:trHeight w:val="1395"/>
        </w:trPr>
        <w:tc>
          <w:tcPr>
            <w:tcW w:w="4774" w:type="dxa"/>
            <w:shd w:val="clear" w:color="auto" w:fill="F2F2F2" w:themeFill="background1" w:themeFillShade="F2"/>
          </w:tcPr>
          <w:p w14:paraId="35E62844" w14:textId="77777777" w:rsidR="00E02BF4" w:rsidRPr="00751648" w:rsidRDefault="00E02BF4" w:rsidP="008424FD">
            <w:r w:rsidRPr="00751648">
              <w:rPr>
                <w:b/>
              </w:rPr>
              <w:t xml:space="preserve">ENFIELD </w:t>
            </w:r>
            <w:r w:rsidR="00A547AC" w:rsidRPr="00751648">
              <w:rPr>
                <w:b/>
              </w:rPr>
              <w:t>SERVICE</w:t>
            </w:r>
            <w:r w:rsidRPr="00751648">
              <w:t>:</w:t>
            </w:r>
          </w:p>
          <w:p w14:paraId="59A376E4" w14:textId="6A43B6DC" w:rsidR="00CC34C1" w:rsidRPr="00751648" w:rsidRDefault="002D518E" w:rsidP="00E02BF4">
            <w:pPr>
              <w:spacing w:after="0"/>
            </w:pPr>
            <w:r>
              <w:t>Bay Tree House</w:t>
            </w:r>
          </w:p>
          <w:p w14:paraId="6F14FFE3" w14:textId="42CAFA40" w:rsidR="00397B4C" w:rsidRPr="00751648" w:rsidRDefault="002D518E" w:rsidP="00E02BF4">
            <w:pPr>
              <w:spacing w:after="0"/>
            </w:pPr>
            <w:r>
              <w:t>Church Close</w:t>
            </w:r>
          </w:p>
          <w:p w14:paraId="13A9995C" w14:textId="000CE404" w:rsidR="00397B4C" w:rsidRPr="00751648" w:rsidRDefault="008B6D60" w:rsidP="00E02BF4">
            <w:pPr>
              <w:spacing w:after="0"/>
            </w:pPr>
            <w:r w:rsidRPr="00751648">
              <w:t>Enfield,</w:t>
            </w:r>
            <w:r w:rsidR="00397B4C" w:rsidRPr="00751648">
              <w:t xml:space="preserve"> Middlesex</w:t>
            </w:r>
          </w:p>
          <w:p w14:paraId="6C6D157E" w14:textId="7FEF4B67" w:rsidR="00397B4C" w:rsidRPr="00751648" w:rsidRDefault="00397B4C" w:rsidP="00E02BF4">
            <w:pPr>
              <w:spacing w:after="0"/>
            </w:pPr>
            <w:r w:rsidRPr="00751648">
              <w:t>EN</w:t>
            </w:r>
            <w:r w:rsidR="002D518E">
              <w:t>2 6NZ</w:t>
            </w:r>
          </w:p>
        </w:tc>
        <w:tc>
          <w:tcPr>
            <w:tcW w:w="4774" w:type="dxa"/>
          </w:tcPr>
          <w:p w14:paraId="2FDE7005" w14:textId="36D5FDCA" w:rsidR="00E02BF4" w:rsidRPr="00751648" w:rsidRDefault="00E02BF4" w:rsidP="00E02BF4">
            <w:pPr>
              <w:spacing w:after="0"/>
              <w:rPr>
                <w:b/>
              </w:rPr>
            </w:pPr>
            <w:r w:rsidRPr="00751648">
              <w:rPr>
                <w:b/>
              </w:rPr>
              <w:t xml:space="preserve">Tel: </w:t>
            </w:r>
            <w:r w:rsidR="002D518E" w:rsidRPr="002D518E">
              <w:rPr>
                <w:b/>
              </w:rPr>
              <w:t>020</w:t>
            </w:r>
            <w:r w:rsidR="002A0954">
              <w:rPr>
                <w:b/>
              </w:rPr>
              <w:t xml:space="preserve"> </w:t>
            </w:r>
            <w:r w:rsidR="002D518E" w:rsidRPr="002D518E">
              <w:rPr>
                <w:b/>
              </w:rPr>
              <w:t>8702 4070</w:t>
            </w:r>
            <w:r w:rsidR="002A0954">
              <w:rPr>
                <w:b/>
              </w:rPr>
              <w:t xml:space="preserve"> (S.A.F.E) or 020 8702 5100 (Generic CAMHS Team)</w:t>
            </w:r>
          </w:p>
          <w:p w14:paraId="037C435E" w14:textId="77777777" w:rsidR="00CC34C1" w:rsidRDefault="00CC34C1" w:rsidP="00E02BF4">
            <w:pPr>
              <w:spacing w:after="0"/>
              <w:rPr>
                <w:b/>
              </w:rPr>
            </w:pPr>
          </w:p>
          <w:p w14:paraId="51310E91" w14:textId="5E9AC962" w:rsidR="00C20CD0" w:rsidRPr="00751648" w:rsidRDefault="00CE7FE2" w:rsidP="00E02BF4">
            <w:pPr>
              <w:spacing w:after="0"/>
              <w:rPr>
                <w:b/>
              </w:rPr>
            </w:pPr>
            <w:hyperlink r:id="rId31" w:history="1">
              <w:r w:rsidR="002A0954" w:rsidRPr="005A4877">
                <w:rPr>
                  <w:rStyle w:val="Hyperlink"/>
                  <w:b/>
                </w:rPr>
                <w:t>beh-tr.enfieldcamhs@nhs.net</w:t>
              </w:r>
            </w:hyperlink>
            <w:r w:rsidR="002A0954">
              <w:rPr>
                <w:b/>
              </w:rPr>
              <w:t xml:space="preserve"> </w:t>
            </w:r>
          </w:p>
        </w:tc>
      </w:tr>
      <w:tr w:rsidR="00CC34C1" w:rsidRPr="00751648" w14:paraId="42C4F62D" w14:textId="77777777" w:rsidTr="007163E0">
        <w:trPr>
          <w:trHeight w:val="1675"/>
        </w:trPr>
        <w:tc>
          <w:tcPr>
            <w:tcW w:w="4774" w:type="dxa"/>
            <w:shd w:val="clear" w:color="auto" w:fill="F2F2F2" w:themeFill="background1" w:themeFillShade="F2"/>
          </w:tcPr>
          <w:p w14:paraId="01939ADA" w14:textId="77777777" w:rsidR="00E02BF4" w:rsidRPr="00751648" w:rsidRDefault="00E02BF4" w:rsidP="00E02BF4">
            <w:pPr>
              <w:rPr>
                <w:b/>
              </w:rPr>
            </w:pPr>
            <w:r w:rsidRPr="00751648">
              <w:rPr>
                <w:b/>
              </w:rPr>
              <w:t xml:space="preserve">HARINGEY </w:t>
            </w:r>
            <w:r w:rsidR="00397B4C" w:rsidRPr="00751648">
              <w:rPr>
                <w:b/>
              </w:rPr>
              <w:t>SERVICE</w:t>
            </w:r>
            <w:r w:rsidR="00D70F43" w:rsidRPr="00751648">
              <w:rPr>
                <w:b/>
              </w:rPr>
              <w:t>:</w:t>
            </w:r>
          </w:p>
          <w:p w14:paraId="16A85DDC" w14:textId="77777777" w:rsidR="00CC34C1" w:rsidRPr="00751648" w:rsidRDefault="00397B4C" w:rsidP="00E02BF4">
            <w:pPr>
              <w:spacing w:after="0"/>
            </w:pPr>
            <w:r w:rsidRPr="00751648">
              <w:t>St Ann’s Hospital – H Block</w:t>
            </w:r>
          </w:p>
          <w:p w14:paraId="54259165" w14:textId="77777777" w:rsidR="00397B4C" w:rsidRPr="00751648" w:rsidRDefault="00397B4C" w:rsidP="00397B4C">
            <w:pPr>
              <w:spacing w:after="0"/>
            </w:pPr>
            <w:r w:rsidRPr="00751648">
              <w:t>St Ann’s Road</w:t>
            </w:r>
          </w:p>
          <w:p w14:paraId="4047B82E" w14:textId="77777777" w:rsidR="00397B4C" w:rsidRPr="00751648" w:rsidRDefault="00397B4C" w:rsidP="00E02BF4">
            <w:pPr>
              <w:spacing w:after="0"/>
            </w:pPr>
            <w:r w:rsidRPr="00751648">
              <w:t>Tottenham</w:t>
            </w:r>
          </w:p>
          <w:p w14:paraId="1A718ED6" w14:textId="77777777" w:rsidR="00397B4C" w:rsidRPr="00751648" w:rsidRDefault="00397B4C" w:rsidP="00397B4C">
            <w:pPr>
              <w:spacing w:after="0"/>
            </w:pPr>
            <w:r w:rsidRPr="00751648">
              <w:t xml:space="preserve">London </w:t>
            </w:r>
          </w:p>
          <w:p w14:paraId="11815E38" w14:textId="77777777" w:rsidR="00397B4C" w:rsidRPr="00751648" w:rsidRDefault="00397B4C" w:rsidP="00397B4C">
            <w:pPr>
              <w:spacing w:after="0"/>
            </w:pPr>
            <w:r w:rsidRPr="00751648">
              <w:t xml:space="preserve">N15 3TH </w:t>
            </w:r>
          </w:p>
        </w:tc>
        <w:tc>
          <w:tcPr>
            <w:tcW w:w="4774" w:type="dxa"/>
          </w:tcPr>
          <w:p w14:paraId="2B083FD8" w14:textId="4CD92FC3" w:rsidR="00E02BF4" w:rsidRPr="00751648" w:rsidRDefault="00E02BF4" w:rsidP="00E02BF4">
            <w:pPr>
              <w:spacing w:after="0"/>
              <w:rPr>
                <w:b/>
              </w:rPr>
            </w:pPr>
            <w:r w:rsidRPr="00751648">
              <w:rPr>
                <w:b/>
              </w:rPr>
              <w:t>Tel: 020</w:t>
            </w:r>
            <w:r w:rsidR="002A0954">
              <w:rPr>
                <w:b/>
              </w:rPr>
              <w:t xml:space="preserve"> 8</w:t>
            </w:r>
            <w:r w:rsidRPr="00751648">
              <w:rPr>
                <w:b/>
              </w:rPr>
              <w:t xml:space="preserve">702 </w:t>
            </w:r>
            <w:r w:rsidR="00A547AC" w:rsidRPr="00751648">
              <w:rPr>
                <w:b/>
              </w:rPr>
              <w:t>5154</w:t>
            </w:r>
            <w:r w:rsidR="002A0954">
              <w:rPr>
                <w:b/>
              </w:rPr>
              <w:t xml:space="preserve"> or 020 8702 3400</w:t>
            </w:r>
          </w:p>
          <w:p w14:paraId="76860F77" w14:textId="77777777" w:rsidR="00CC34C1" w:rsidRDefault="00CC34C1" w:rsidP="00E02BF4">
            <w:pPr>
              <w:spacing w:after="0"/>
              <w:rPr>
                <w:b/>
              </w:rPr>
            </w:pPr>
          </w:p>
          <w:p w14:paraId="100C4BCF" w14:textId="7A6C7947" w:rsidR="00C20CD0" w:rsidRPr="00751648" w:rsidRDefault="00CE7FE2" w:rsidP="00E02BF4">
            <w:pPr>
              <w:spacing w:after="0"/>
              <w:rPr>
                <w:b/>
              </w:rPr>
            </w:pPr>
            <w:hyperlink r:id="rId32" w:history="1">
              <w:r w:rsidR="009E4F06" w:rsidRPr="005A4877">
                <w:rPr>
                  <w:rStyle w:val="Hyperlink"/>
                  <w:b/>
                </w:rPr>
                <w:t>beh-tr.camhsreferral@nhs.net</w:t>
              </w:r>
            </w:hyperlink>
            <w:r w:rsidR="009E4F06">
              <w:rPr>
                <w:b/>
              </w:rPr>
              <w:t xml:space="preserve"> </w:t>
            </w:r>
          </w:p>
        </w:tc>
      </w:tr>
      <w:tr w:rsidR="007C1221" w:rsidRPr="00751648" w14:paraId="531D69F4" w14:textId="77777777" w:rsidTr="007163E0">
        <w:trPr>
          <w:trHeight w:val="1675"/>
        </w:trPr>
        <w:tc>
          <w:tcPr>
            <w:tcW w:w="4774" w:type="dxa"/>
            <w:shd w:val="clear" w:color="auto" w:fill="F2F2F2" w:themeFill="background1" w:themeFillShade="F2"/>
          </w:tcPr>
          <w:p w14:paraId="1924FC1C" w14:textId="3B0C2153" w:rsidR="007C1221" w:rsidRPr="00751648" w:rsidRDefault="007C1221" w:rsidP="00E02BF4">
            <w:pPr>
              <w:rPr>
                <w:b/>
              </w:rPr>
            </w:pPr>
            <w:r w:rsidRPr="00751648">
              <w:rPr>
                <w:b/>
              </w:rPr>
              <w:t xml:space="preserve">ISLINGTON SERVICE: </w:t>
            </w:r>
          </w:p>
          <w:p w14:paraId="3AE876E5" w14:textId="77777777" w:rsidR="00C5767D" w:rsidRPr="00751648" w:rsidRDefault="00C5767D" w:rsidP="00E02BF4">
            <w:pPr>
              <w:rPr>
                <w:b/>
              </w:rPr>
            </w:pPr>
            <w:r w:rsidRPr="00751648">
              <w:rPr>
                <w:b/>
              </w:rPr>
              <w:t>Islington Child and Adolescent Mental Health Service (CAMHS)</w:t>
            </w:r>
          </w:p>
          <w:p w14:paraId="0325F5EE" w14:textId="77777777" w:rsidR="00C5767D" w:rsidRPr="00751648" w:rsidRDefault="00C5767D" w:rsidP="00C5767D">
            <w:pPr>
              <w:spacing w:after="0"/>
            </w:pPr>
            <w:r w:rsidRPr="00751648">
              <w:t>Whittington Health NHS Trust</w:t>
            </w:r>
          </w:p>
          <w:p w14:paraId="62584A8E" w14:textId="77777777" w:rsidR="00C5767D" w:rsidRPr="00751648" w:rsidRDefault="00C5767D" w:rsidP="00C5767D">
            <w:pPr>
              <w:spacing w:after="0"/>
            </w:pPr>
            <w:r w:rsidRPr="00751648">
              <w:t>Magdala Avenue</w:t>
            </w:r>
          </w:p>
          <w:p w14:paraId="70311209" w14:textId="77777777" w:rsidR="00C5767D" w:rsidRPr="00751648" w:rsidRDefault="00C5767D" w:rsidP="00C5767D">
            <w:pPr>
              <w:spacing w:after="0"/>
            </w:pPr>
            <w:r w:rsidRPr="00751648">
              <w:t>London</w:t>
            </w:r>
          </w:p>
          <w:p w14:paraId="258DDC0E" w14:textId="77777777" w:rsidR="00C5767D" w:rsidRPr="00751648" w:rsidRDefault="00C5767D" w:rsidP="00C5767D">
            <w:pPr>
              <w:spacing w:after="0"/>
              <w:rPr>
                <w:b/>
              </w:rPr>
            </w:pPr>
            <w:r w:rsidRPr="00751648">
              <w:t>N19 5NF</w:t>
            </w:r>
          </w:p>
        </w:tc>
        <w:tc>
          <w:tcPr>
            <w:tcW w:w="4774" w:type="dxa"/>
          </w:tcPr>
          <w:p w14:paraId="4E3FD76E" w14:textId="77777777" w:rsidR="007C1221" w:rsidRDefault="007C1221" w:rsidP="00E02BF4">
            <w:pPr>
              <w:spacing w:after="0"/>
              <w:rPr>
                <w:b/>
              </w:rPr>
            </w:pPr>
            <w:r w:rsidRPr="00751648">
              <w:rPr>
                <w:b/>
              </w:rPr>
              <w:t>Tel:</w:t>
            </w:r>
            <w:r w:rsidR="00C5767D" w:rsidRPr="00751648">
              <w:rPr>
                <w:b/>
              </w:rPr>
              <w:t xml:space="preserve">  020 7272 3070</w:t>
            </w:r>
          </w:p>
          <w:p w14:paraId="023888B5" w14:textId="77777777" w:rsidR="00C20CD0" w:rsidRDefault="00C20CD0" w:rsidP="00E02BF4">
            <w:pPr>
              <w:spacing w:after="0"/>
              <w:rPr>
                <w:b/>
              </w:rPr>
            </w:pPr>
          </w:p>
          <w:p w14:paraId="4DE130E4" w14:textId="388D3C35" w:rsidR="00C20CD0" w:rsidRPr="00751648" w:rsidRDefault="00CE7FE2" w:rsidP="00E02BF4">
            <w:pPr>
              <w:spacing w:after="0"/>
              <w:rPr>
                <w:b/>
              </w:rPr>
            </w:pPr>
            <w:hyperlink r:id="rId33" w:history="1">
              <w:r w:rsidR="009E4F06" w:rsidRPr="005A4877">
                <w:rPr>
                  <w:rStyle w:val="Hyperlink"/>
                  <w:b/>
                </w:rPr>
                <w:t>whh-tr.icamhsadmin@nhs.net</w:t>
              </w:r>
            </w:hyperlink>
            <w:r w:rsidR="009E4F06">
              <w:rPr>
                <w:b/>
              </w:rPr>
              <w:t xml:space="preserve"> </w:t>
            </w:r>
          </w:p>
        </w:tc>
      </w:tr>
      <w:tr w:rsidR="002C1FFA" w:rsidRPr="00751648" w14:paraId="749B6237" w14:textId="77777777" w:rsidTr="002C1FFA">
        <w:trPr>
          <w:trHeight w:val="1457"/>
        </w:trPr>
        <w:tc>
          <w:tcPr>
            <w:tcW w:w="4774" w:type="dxa"/>
            <w:shd w:val="clear" w:color="auto" w:fill="F2F2F2" w:themeFill="background1" w:themeFillShade="F2"/>
          </w:tcPr>
          <w:p w14:paraId="18111D80" w14:textId="77777777" w:rsidR="002C1FFA" w:rsidRDefault="002C1FFA" w:rsidP="00E02BF4">
            <w:pPr>
              <w:rPr>
                <w:b/>
              </w:rPr>
            </w:pPr>
            <w:r>
              <w:rPr>
                <w:b/>
              </w:rPr>
              <w:t>South Camden Community Team</w:t>
            </w:r>
          </w:p>
          <w:p w14:paraId="74CC59EA" w14:textId="77777777" w:rsidR="002C1FFA" w:rsidRDefault="002C1FFA" w:rsidP="002C1FFA">
            <w:pPr>
              <w:spacing w:after="0"/>
              <w:rPr>
                <w:bCs/>
              </w:rPr>
            </w:pPr>
            <w:r>
              <w:rPr>
                <w:bCs/>
              </w:rPr>
              <w:t>Openminded</w:t>
            </w:r>
          </w:p>
          <w:p w14:paraId="572D159F" w14:textId="77777777" w:rsidR="002C1FFA" w:rsidRDefault="002C1FFA" w:rsidP="002C1FFA">
            <w:pPr>
              <w:spacing w:after="0"/>
              <w:rPr>
                <w:bCs/>
              </w:rPr>
            </w:pPr>
            <w:r w:rsidRPr="002C1FFA">
              <w:rPr>
                <w:bCs/>
              </w:rPr>
              <w:t xml:space="preserve">219 Eversholt Street, </w:t>
            </w:r>
          </w:p>
          <w:p w14:paraId="501C4F55" w14:textId="77777777" w:rsidR="002C1FFA" w:rsidRDefault="002C1FFA" w:rsidP="002C1FFA">
            <w:pPr>
              <w:spacing w:after="0"/>
              <w:rPr>
                <w:bCs/>
              </w:rPr>
            </w:pPr>
            <w:r w:rsidRPr="002C1FFA">
              <w:rPr>
                <w:bCs/>
              </w:rPr>
              <w:t xml:space="preserve">London </w:t>
            </w:r>
          </w:p>
          <w:p w14:paraId="71FCA8FF" w14:textId="77A355B7" w:rsidR="002C1FFA" w:rsidRPr="002C1FFA" w:rsidRDefault="002C1FFA" w:rsidP="002C1FFA">
            <w:pPr>
              <w:spacing w:after="0"/>
              <w:rPr>
                <w:bCs/>
              </w:rPr>
            </w:pPr>
            <w:r w:rsidRPr="002C1FFA">
              <w:rPr>
                <w:bCs/>
              </w:rPr>
              <w:t>NW1 1DR</w:t>
            </w:r>
          </w:p>
        </w:tc>
        <w:tc>
          <w:tcPr>
            <w:tcW w:w="4774" w:type="dxa"/>
          </w:tcPr>
          <w:p w14:paraId="4BCF3627" w14:textId="77777777" w:rsidR="002C1FFA" w:rsidRDefault="002C1FFA" w:rsidP="00E02BF4">
            <w:pPr>
              <w:spacing w:after="0"/>
              <w:rPr>
                <w:b/>
              </w:rPr>
            </w:pPr>
            <w:r>
              <w:rPr>
                <w:b/>
              </w:rPr>
              <w:t>Tel: 020 8938 2700</w:t>
            </w:r>
          </w:p>
          <w:p w14:paraId="04291381" w14:textId="519B8661" w:rsidR="002C1FFA" w:rsidRDefault="002C1FFA" w:rsidP="00E02BF4">
            <w:pPr>
              <w:spacing w:after="0"/>
              <w:rPr>
                <w:b/>
              </w:rPr>
            </w:pPr>
          </w:p>
          <w:p w14:paraId="04EC3434" w14:textId="294A4B3C" w:rsidR="002C1FFA" w:rsidRPr="00751648" w:rsidRDefault="002827C0" w:rsidP="002827C0">
            <w:pPr>
              <w:spacing w:after="0"/>
              <w:rPr>
                <w:b/>
              </w:rPr>
            </w:pPr>
            <w:r>
              <w:rPr>
                <w:b/>
              </w:rPr>
              <w:t xml:space="preserve">Each team has their own admin address; if the initiating Specialist cannot be contacted, please contact the central referral email who can re-direct your enquiry: </w:t>
            </w:r>
            <w:hyperlink r:id="rId34" w:history="1">
              <w:r w:rsidR="00FB5E3B" w:rsidRPr="005A4877">
                <w:rPr>
                  <w:rStyle w:val="Hyperlink"/>
                  <w:b/>
                </w:rPr>
                <w:t>tpn-tr.CYAF-Intake@nhs.net</w:t>
              </w:r>
            </w:hyperlink>
            <w:r w:rsidR="00FB5E3B">
              <w:rPr>
                <w:b/>
              </w:rPr>
              <w:t xml:space="preserve"> </w:t>
            </w:r>
          </w:p>
        </w:tc>
      </w:tr>
      <w:tr w:rsidR="00C704BD" w:rsidRPr="00751648" w14:paraId="06E5F40D" w14:textId="77777777" w:rsidTr="007163E0">
        <w:trPr>
          <w:trHeight w:val="1675"/>
        </w:trPr>
        <w:tc>
          <w:tcPr>
            <w:tcW w:w="4774" w:type="dxa"/>
            <w:shd w:val="clear" w:color="auto" w:fill="F2F2F2" w:themeFill="background1" w:themeFillShade="F2"/>
          </w:tcPr>
          <w:p w14:paraId="2A769F4B" w14:textId="77777777" w:rsidR="00C704BD" w:rsidRPr="00751648" w:rsidRDefault="00C704BD" w:rsidP="00C704BD">
            <w:pPr>
              <w:rPr>
                <w:b/>
              </w:rPr>
            </w:pPr>
            <w:r w:rsidRPr="00751648">
              <w:rPr>
                <w:b/>
              </w:rPr>
              <w:t>Children and young people's psychological services</w:t>
            </w:r>
          </w:p>
          <w:p w14:paraId="23C9B812" w14:textId="77777777" w:rsidR="00C704BD" w:rsidRPr="00751648" w:rsidRDefault="00C704BD" w:rsidP="00C704BD">
            <w:pPr>
              <w:spacing w:after="0"/>
            </w:pPr>
            <w:r w:rsidRPr="00751648">
              <w:t>University College London Hospital</w:t>
            </w:r>
          </w:p>
          <w:p w14:paraId="0CA74A62" w14:textId="77777777" w:rsidR="00C704BD" w:rsidRPr="00751648" w:rsidRDefault="00C704BD" w:rsidP="00C704BD">
            <w:pPr>
              <w:spacing w:after="0"/>
            </w:pPr>
            <w:r w:rsidRPr="00751648">
              <w:t xml:space="preserve">Elizabeth Garrett Anderson Wing </w:t>
            </w:r>
          </w:p>
          <w:p w14:paraId="08DD3BCA" w14:textId="77777777" w:rsidR="00C704BD" w:rsidRPr="00751648" w:rsidRDefault="00C704BD" w:rsidP="00C704BD">
            <w:pPr>
              <w:spacing w:after="0"/>
            </w:pPr>
            <w:r w:rsidRPr="00751648">
              <w:t>Lower Ground Floor</w:t>
            </w:r>
          </w:p>
          <w:p w14:paraId="2A4B71FA" w14:textId="77777777" w:rsidR="00C704BD" w:rsidRPr="00751648" w:rsidRDefault="00C704BD" w:rsidP="00C704BD">
            <w:pPr>
              <w:spacing w:after="0"/>
            </w:pPr>
            <w:r w:rsidRPr="00751648">
              <w:t>235 Euston Road</w:t>
            </w:r>
          </w:p>
          <w:p w14:paraId="2B604323" w14:textId="77777777" w:rsidR="00C704BD" w:rsidRPr="00751648" w:rsidRDefault="00C704BD" w:rsidP="00C704BD">
            <w:pPr>
              <w:spacing w:after="0"/>
              <w:rPr>
                <w:b/>
              </w:rPr>
            </w:pPr>
            <w:r w:rsidRPr="00751648">
              <w:t>London, NW1 2BU</w:t>
            </w:r>
          </w:p>
        </w:tc>
        <w:tc>
          <w:tcPr>
            <w:tcW w:w="4774" w:type="dxa"/>
          </w:tcPr>
          <w:p w14:paraId="26FC5BD9" w14:textId="77777777" w:rsidR="00C704BD" w:rsidRDefault="00C704BD" w:rsidP="00E02BF4">
            <w:pPr>
              <w:spacing w:after="0"/>
              <w:rPr>
                <w:b/>
              </w:rPr>
            </w:pPr>
            <w:r w:rsidRPr="00751648">
              <w:rPr>
                <w:b/>
              </w:rPr>
              <w:t>Tel: 020 3447 9086</w:t>
            </w:r>
          </w:p>
          <w:p w14:paraId="3A5C6E45" w14:textId="77777777" w:rsidR="00C20CD0" w:rsidRDefault="00C20CD0" w:rsidP="00E02BF4">
            <w:pPr>
              <w:spacing w:after="0"/>
              <w:rPr>
                <w:b/>
              </w:rPr>
            </w:pPr>
          </w:p>
          <w:p w14:paraId="06FF3020" w14:textId="2A14CD90" w:rsidR="00C20CD0" w:rsidRPr="00751648" w:rsidRDefault="002A0954" w:rsidP="00E02BF4">
            <w:pPr>
              <w:spacing w:after="0"/>
              <w:rPr>
                <w:b/>
              </w:rPr>
            </w:pPr>
            <w:r>
              <w:rPr>
                <w:b/>
              </w:rPr>
              <w:t xml:space="preserve">The email address for patient enquiries can be found at </w:t>
            </w:r>
            <w:hyperlink r:id="rId35" w:history="1">
              <w:r w:rsidR="009E4F06" w:rsidRPr="005A4877">
                <w:rPr>
                  <w:rStyle w:val="Hyperlink"/>
                  <w:b/>
                </w:rPr>
                <w:t>https://www.uclh.nhs.uk/OurServices/ServiceA-Z/CYPS/CAPS/Pages/Home.aspx</w:t>
              </w:r>
            </w:hyperlink>
            <w:r>
              <w:rPr>
                <w:b/>
              </w:rPr>
              <w:t xml:space="preserve"> </w:t>
            </w:r>
          </w:p>
        </w:tc>
      </w:tr>
      <w:tr w:rsidR="00CC443F" w:rsidRPr="00751648" w14:paraId="7C19E81B" w14:textId="77777777" w:rsidTr="007163E0">
        <w:trPr>
          <w:trHeight w:val="1675"/>
        </w:trPr>
        <w:tc>
          <w:tcPr>
            <w:tcW w:w="4774" w:type="dxa"/>
            <w:shd w:val="clear" w:color="auto" w:fill="F2F2F2" w:themeFill="background1" w:themeFillShade="F2"/>
          </w:tcPr>
          <w:p w14:paraId="6D667288" w14:textId="77777777" w:rsidR="00CC443F" w:rsidRDefault="00CC443F" w:rsidP="00C704BD">
            <w:pPr>
              <w:rPr>
                <w:b/>
              </w:rPr>
            </w:pPr>
            <w:r>
              <w:rPr>
                <w:b/>
              </w:rPr>
              <w:t>Camden MOSAIC</w:t>
            </w:r>
          </w:p>
          <w:p w14:paraId="0737885E" w14:textId="77777777" w:rsidR="00CC443F" w:rsidRPr="00CC443F" w:rsidRDefault="00CC443F" w:rsidP="00CC443F">
            <w:pPr>
              <w:spacing w:after="0"/>
              <w:rPr>
                <w:bCs/>
              </w:rPr>
            </w:pPr>
            <w:r w:rsidRPr="00CC443F">
              <w:rPr>
                <w:bCs/>
              </w:rPr>
              <w:t>Kentish Town Health Centre</w:t>
            </w:r>
          </w:p>
          <w:p w14:paraId="787738AA" w14:textId="77777777" w:rsidR="00CC443F" w:rsidRPr="00CC443F" w:rsidRDefault="00CC443F" w:rsidP="00CC443F">
            <w:pPr>
              <w:spacing w:after="0"/>
              <w:rPr>
                <w:bCs/>
              </w:rPr>
            </w:pPr>
            <w:r w:rsidRPr="00CC443F">
              <w:rPr>
                <w:bCs/>
              </w:rPr>
              <w:t>Bartholomew Road</w:t>
            </w:r>
          </w:p>
          <w:p w14:paraId="10C5CCA5" w14:textId="77777777" w:rsidR="00CC443F" w:rsidRPr="00CC443F" w:rsidRDefault="00CC443F" w:rsidP="00CC443F">
            <w:pPr>
              <w:spacing w:after="0"/>
              <w:rPr>
                <w:bCs/>
              </w:rPr>
            </w:pPr>
            <w:r w:rsidRPr="00CC443F">
              <w:rPr>
                <w:bCs/>
              </w:rPr>
              <w:t>London</w:t>
            </w:r>
          </w:p>
          <w:p w14:paraId="4B7B08B6" w14:textId="4ECECD86" w:rsidR="00CC443F" w:rsidRPr="00CC443F" w:rsidRDefault="00CC443F" w:rsidP="00CC443F">
            <w:pPr>
              <w:spacing w:after="0"/>
              <w:rPr>
                <w:bCs/>
              </w:rPr>
            </w:pPr>
            <w:r w:rsidRPr="00CC443F">
              <w:rPr>
                <w:bCs/>
              </w:rPr>
              <w:t>NW5 2AJ</w:t>
            </w:r>
          </w:p>
        </w:tc>
        <w:tc>
          <w:tcPr>
            <w:tcW w:w="4774" w:type="dxa"/>
          </w:tcPr>
          <w:p w14:paraId="012599CC" w14:textId="60F3C0D1" w:rsidR="00CC443F" w:rsidRDefault="00CC443F" w:rsidP="00E02BF4">
            <w:pPr>
              <w:spacing w:after="0"/>
              <w:rPr>
                <w:b/>
              </w:rPr>
            </w:pPr>
            <w:r>
              <w:rPr>
                <w:b/>
              </w:rPr>
              <w:t xml:space="preserve">Tel: </w:t>
            </w:r>
            <w:r w:rsidRPr="00CC443F">
              <w:rPr>
                <w:b/>
              </w:rPr>
              <w:t>020 3317 2200</w:t>
            </w:r>
            <w:r w:rsidR="009E4F06">
              <w:rPr>
                <w:b/>
              </w:rPr>
              <w:t xml:space="preserve"> or </w:t>
            </w:r>
            <w:r w:rsidR="009E4F06" w:rsidRPr="009E4F06">
              <w:rPr>
                <w:b/>
              </w:rPr>
              <w:t>020 8938 2241</w:t>
            </w:r>
          </w:p>
          <w:p w14:paraId="33549808" w14:textId="77777777" w:rsidR="00F25C7C" w:rsidRDefault="00F25C7C" w:rsidP="00E02BF4">
            <w:pPr>
              <w:spacing w:after="0"/>
              <w:rPr>
                <w:b/>
              </w:rPr>
            </w:pPr>
          </w:p>
          <w:p w14:paraId="4A09FC1E" w14:textId="7C6CEC5C" w:rsidR="00F25C7C" w:rsidRPr="00751648" w:rsidRDefault="002827C0" w:rsidP="00E02BF4">
            <w:pPr>
              <w:spacing w:after="0"/>
              <w:rPr>
                <w:b/>
              </w:rPr>
            </w:pPr>
            <w:r>
              <w:rPr>
                <w:b/>
              </w:rPr>
              <w:t xml:space="preserve">Each team has their own admin address; if the initiating Specialist cannot be contacted, please contact the central referral email who can re-direct your enquiry: </w:t>
            </w:r>
            <w:hyperlink r:id="rId36" w:history="1">
              <w:r w:rsidRPr="005A4877">
                <w:rPr>
                  <w:rStyle w:val="Hyperlink"/>
                  <w:b/>
                </w:rPr>
                <w:t>tpn-tr.CYAF-Intake@nhs.net</w:t>
              </w:r>
            </w:hyperlink>
          </w:p>
        </w:tc>
      </w:tr>
    </w:tbl>
    <w:p w14:paraId="3ED04195" w14:textId="77777777" w:rsidR="00CC34C1" w:rsidRPr="00751648" w:rsidRDefault="00CC34C1" w:rsidP="005D577A"/>
    <w:p w14:paraId="5670C712" w14:textId="77777777" w:rsidR="00F3092A" w:rsidRPr="00751648" w:rsidRDefault="00F3092A" w:rsidP="005D577A"/>
    <w:p w14:paraId="3F91E47E" w14:textId="77777777" w:rsidR="00F3092A" w:rsidRPr="00751648" w:rsidRDefault="00F3092A" w:rsidP="005D577A"/>
    <w:p w14:paraId="5AF77F47" w14:textId="77777777" w:rsidR="00F3092A" w:rsidRPr="00751648" w:rsidRDefault="00F3092A" w:rsidP="005D577A"/>
    <w:p w14:paraId="63DAA7E6" w14:textId="77777777" w:rsidR="00F3092A" w:rsidRPr="00751648" w:rsidRDefault="00F3092A" w:rsidP="005D577A"/>
    <w:p w14:paraId="68569795" w14:textId="3F81B0F0" w:rsidR="00DF3C38" w:rsidRPr="00751648" w:rsidRDefault="00D46B50" w:rsidP="00136B25">
      <w:pPr>
        <w:pStyle w:val="NCLBodyText"/>
      </w:pPr>
      <w:r w:rsidRPr="00751648">
        <w:br w:type="page"/>
      </w:r>
      <w:bookmarkStart w:id="23" w:name="_Toc42095052"/>
      <w:r w:rsidR="00DF3C38" w:rsidRPr="00751648">
        <w:lastRenderedPageBreak/>
        <w:t xml:space="preserve">Appendix </w:t>
      </w:r>
      <w:r w:rsidR="00CE7FE2">
        <w:fldChar w:fldCharType="begin"/>
      </w:r>
      <w:r w:rsidR="00CE7FE2">
        <w:instrText xml:space="preserve"> SEQ Appendix \* ARABIC </w:instrText>
      </w:r>
      <w:r w:rsidR="00CE7FE2">
        <w:fldChar w:fldCharType="separate"/>
      </w:r>
      <w:r w:rsidR="00871302">
        <w:rPr>
          <w:noProof/>
        </w:rPr>
        <w:t>1</w:t>
      </w:r>
      <w:r w:rsidR="00CE7FE2">
        <w:rPr>
          <w:noProof/>
        </w:rPr>
        <w:fldChar w:fldCharType="end"/>
      </w:r>
      <w:r w:rsidR="00DF3C38" w:rsidRPr="00751648">
        <w:t xml:space="preserve">: </w:t>
      </w:r>
      <w:r w:rsidR="00FD4F47" w:rsidRPr="00751648">
        <w:t>T</w:t>
      </w:r>
      <w:r w:rsidR="00DF3C38" w:rsidRPr="00751648">
        <w:t>ransfer form to GP practice</w:t>
      </w:r>
      <w:bookmarkEnd w:id="23"/>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4"/>
        <w:gridCol w:w="1600"/>
        <w:gridCol w:w="380"/>
        <w:gridCol w:w="639"/>
        <w:gridCol w:w="257"/>
        <w:gridCol w:w="221"/>
        <w:gridCol w:w="15"/>
        <w:gridCol w:w="1536"/>
        <w:gridCol w:w="446"/>
        <w:gridCol w:w="875"/>
        <w:gridCol w:w="1920"/>
      </w:tblGrid>
      <w:tr w:rsidR="00DF3C38" w:rsidRPr="00751648" w14:paraId="6966034A" w14:textId="77777777" w:rsidTr="008424FD">
        <w:trPr>
          <w:cantSplit/>
          <w:trHeight w:val="482"/>
        </w:trPr>
        <w:tc>
          <w:tcPr>
            <w:tcW w:w="10363" w:type="dxa"/>
            <w:gridSpan w:val="11"/>
            <w:tcBorders>
              <w:top w:val="nil"/>
              <w:left w:val="nil"/>
              <w:bottom w:val="nil"/>
              <w:right w:val="nil"/>
            </w:tcBorders>
            <w:vAlign w:val="center"/>
          </w:tcPr>
          <w:p w14:paraId="5D0221D8" w14:textId="62768246" w:rsidR="00DF3C38" w:rsidRPr="00751648" w:rsidRDefault="00DF3C38" w:rsidP="008424FD">
            <w:pPr>
              <w:pStyle w:val="BodyText"/>
              <w:tabs>
                <w:tab w:val="left" w:pos="-174"/>
                <w:tab w:val="left" w:pos="4860"/>
                <w:tab w:val="left" w:pos="6660"/>
                <w:tab w:val="left" w:pos="7740"/>
                <w:tab w:val="right" w:pos="8820"/>
              </w:tabs>
              <w:spacing w:after="240"/>
              <w:ind w:left="-174" w:right="-516" w:firstLine="66"/>
              <w:rPr>
                <w:rFonts w:ascii="Arial" w:hAnsi="Arial" w:cs="Arial"/>
                <w:bCs/>
                <w:i/>
              </w:rPr>
            </w:pPr>
            <w:r w:rsidRPr="00751648">
              <w:rPr>
                <w:rFonts w:ascii="Arial" w:hAnsi="Arial" w:cs="Arial"/>
                <w:b/>
                <w:iCs/>
              </w:rPr>
              <w:t xml:space="preserve">Section A: to be completed by secondary care </w:t>
            </w:r>
            <w:r w:rsidR="002069C2">
              <w:rPr>
                <w:rFonts w:ascii="Arial" w:hAnsi="Arial" w:cs="Arial"/>
                <w:b/>
                <w:iCs/>
              </w:rPr>
              <w:t>(</w:t>
            </w:r>
            <w:r w:rsidR="002069C2" w:rsidRPr="00751648">
              <w:rPr>
                <w:rFonts w:ascii="Arial" w:hAnsi="Arial" w:cs="Arial"/>
                <w:bCs/>
                <w:i/>
              </w:rPr>
              <w:t>Send to</w:t>
            </w:r>
            <w:r w:rsidRPr="00751648">
              <w:rPr>
                <w:rFonts w:ascii="Arial" w:hAnsi="Arial" w:cs="Arial"/>
                <w:bCs/>
                <w:i/>
              </w:rPr>
              <w:t xml:space="preserve"> practice</w:t>
            </w:r>
            <w:r w:rsidR="002069C2">
              <w:rPr>
                <w:rFonts w:ascii="Arial" w:hAnsi="Arial" w:cs="Arial"/>
                <w:bCs/>
                <w:i/>
              </w:rPr>
              <w:t>)</w:t>
            </w:r>
          </w:p>
          <w:p w14:paraId="35D938D5" w14:textId="10E8B159" w:rsidR="00DF3C38" w:rsidRPr="00751648" w:rsidRDefault="00DF3C38" w:rsidP="008424FD">
            <w:pPr>
              <w:pStyle w:val="BodyText"/>
              <w:tabs>
                <w:tab w:val="left" w:pos="-540"/>
                <w:tab w:val="left" w:pos="4860"/>
                <w:tab w:val="left" w:pos="6660"/>
                <w:tab w:val="left" w:pos="7740"/>
                <w:tab w:val="right" w:pos="8820"/>
              </w:tabs>
              <w:spacing w:after="240"/>
              <w:ind w:left="-108" w:right="-516"/>
              <w:rPr>
                <w:rFonts w:ascii="Arial" w:hAnsi="Arial" w:cs="Arial"/>
                <w:bCs/>
                <w:iCs/>
              </w:rPr>
            </w:pPr>
            <w:r w:rsidRPr="00751648">
              <w:rPr>
                <w:rFonts w:ascii="Arial" w:hAnsi="Arial" w:cs="Arial"/>
                <w:bCs/>
                <w:i/>
              </w:rPr>
              <w:t xml:space="preserve">This document is to request the shared care pathway of your patient and comprises an agreement between the GP and named </w:t>
            </w:r>
            <w:r w:rsidR="00916F49" w:rsidRPr="00751648">
              <w:rPr>
                <w:rFonts w:ascii="Arial" w:hAnsi="Arial" w:cs="Arial"/>
                <w:bCs/>
                <w:i/>
              </w:rPr>
              <w:t>C</w:t>
            </w:r>
            <w:r w:rsidRPr="00751648">
              <w:rPr>
                <w:rFonts w:ascii="Arial" w:hAnsi="Arial" w:cs="Arial"/>
                <w:bCs/>
                <w:i/>
              </w:rPr>
              <w:t>onsultant</w:t>
            </w:r>
            <w:r w:rsidR="008B6D60" w:rsidRPr="00751648">
              <w:rPr>
                <w:rFonts w:ascii="Arial" w:hAnsi="Arial" w:cs="Arial"/>
                <w:bCs/>
                <w:i/>
              </w:rPr>
              <w:t xml:space="preserve">. </w:t>
            </w:r>
            <w:r w:rsidRPr="00751648">
              <w:rPr>
                <w:rFonts w:ascii="Arial" w:hAnsi="Arial" w:cs="Arial"/>
                <w:bCs/>
                <w:i/>
              </w:rPr>
              <w:t xml:space="preserve">The patient will continue to be seen by the named </w:t>
            </w:r>
            <w:r w:rsidR="00916F49" w:rsidRPr="00751648">
              <w:rPr>
                <w:rFonts w:ascii="Arial" w:hAnsi="Arial" w:cs="Arial"/>
                <w:bCs/>
                <w:i/>
              </w:rPr>
              <w:t>C</w:t>
            </w:r>
            <w:r w:rsidRPr="00751648">
              <w:rPr>
                <w:rFonts w:ascii="Arial" w:hAnsi="Arial" w:cs="Arial"/>
                <w:bCs/>
                <w:i/>
              </w:rPr>
              <w:t>onsultant as regular follow up.</w:t>
            </w:r>
          </w:p>
        </w:tc>
      </w:tr>
      <w:tr w:rsidR="00DF3C38" w:rsidRPr="00751648" w14:paraId="2833B44C" w14:textId="77777777" w:rsidTr="00BE19C0">
        <w:trPr>
          <w:cantSplit/>
          <w:trHeight w:val="586"/>
        </w:trPr>
        <w:tc>
          <w:tcPr>
            <w:tcW w:w="5350" w:type="dxa"/>
            <w:gridSpan w:val="5"/>
            <w:vMerge w:val="restart"/>
            <w:tcBorders>
              <w:top w:val="single" w:sz="4" w:space="0" w:color="auto"/>
              <w:left w:val="single" w:sz="4" w:space="0" w:color="auto"/>
              <w:right w:val="single" w:sz="4" w:space="0" w:color="auto"/>
            </w:tcBorders>
          </w:tcPr>
          <w:p w14:paraId="09992BC4" w14:textId="77777777" w:rsidR="00DF3C38" w:rsidRPr="00751648" w:rsidRDefault="00DF3C38" w:rsidP="00B36699">
            <w:pPr>
              <w:pStyle w:val="BodyText"/>
              <w:tabs>
                <w:tab w:val="left" w:pos="-540"/>
                <w:tab w:val="left" w:pos="4860"/>
                <w:tab w:val="left" w:pos="6660"/>
                <w:tab w:val="left" w:pos="7740"/>
                <w:tab w:val="right" w:pos="8820"/>
              </w:tabs>
              <w:spacing w:before="120"/>
              <w:ind w:right="-516" w:firstLine="74"/>
              <w:rPr>
                <w:rFonts w:ascii="Arial" w:hAnsi="Arial" w:cs="Arial"/>
                <w:bCs/>
                <w:i/>
              </w:rPr>
            </w:pPr>
            <w:r w:rsidRPr="00751648">
              <w:rPr>
                <w:rFonts w:ascii="Arial" w:hAnsi="Arial" w:cs="Arial"/>
                <w:bCs/>
                <w:i/>
              </w:rPr>
              <w:t>Fix address label here (ensure NHS no</w:t>
            </w:r>
            <w:r w:rsidR="00B36699" w:rsidRPr="00751648">
              <w:rPr>
                <w:rFonts w:ascii="Arial" w:hAnsi="Arial" w:cs="Arial"/>
                <w:bCs/>
                <w:i/>
              </w:rPr>
              <w:t xml:space="preserve">. is </w:t>
            </w:r>
            <w:r w:rsidRPr="00751648">
              <w:rPr>
                <w:rFonts w:ascii="Arial" w:hAnsi="Arial" w:cs="Arial"/>
                <w:bCs/>
                <w:i/>
              </w:rPr>
              <w:t>on</w:t>
            </w:r>
            <w:r w:rsidR="00B36699" w:rsidRPr="00751648">
              <w:rPr>
                <w:rFonts w:ascii="Arial" w:hAnsi="Arial" w:cs="Arial"/>
                <w:bCs/>
                <w:i/>
              </w:rPr>
              <w:t xml:space="preserve"> label</w:t>
            </w:r>
            <w:r w:rsidRPr="00751648">
              <w:rPr>
                <w:rFonts w:ascii="Arial" w:hAnsi="Arial" w:cs="Arial"/>
                <w:bCs/>
                <w:i/>
              </w:rPr>
              <w:t>)</w:t>
            </w:r>
          </w:p>
        </w:tc>
        <w:tc>
          <w:tcPr>
            <w:tcW w:w="236" w:type="dxa"/>
            <w:gridSpan w:val="2"/>
            <w:tcBorders>
              <w:top w:val="nil"/>
              <w:left w:val="single" w:sz="4" w:space="0" w:color="auto"/>
              <w:bottom w:val="nil"/>
              <w:right w:val="nil"/>
            </w:tcBorders>
          </w:tcPr>
          <w:p w14:paraId="5430B7AC" w14:textId="77777777" w:rsidR="00DF3C38" w:rsidRPr="0075164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7" w:type="dxa"/>
            <w:gridSpan w:val="4"/>
            <w:vMerge w:val="restart"/>
            <w:tcBorders>
              <w:top w:val="single" w:sz="4" w:space="0" w:color="auto"/>
              <w:left w:val="single" w:sz="4" w:space="0" w:color="auto"/>
              <w:right w:val="single" w:sz="4" w:space="0" w:color="auto"/>
            </w:tcBorders>
          </w:tcPr>
          <w:p w14:paraId="6C032789" w14:textId="77777777" w:rsidR="00DF3C38" w:rsidRPr="00751648" w:rsidRDefault="00DF3C38" w:rsidP="008424FD">
            <w:pPr>
              <w:pStyle w:val="BodyText"/>
              <w:tabs>
                <w:tab w:val="left" w:pos="-540"/>
                <w:tab w:val="left" w:pos="4860"/>
                <w:tab w:val="left" w:pos="6660"/>
                <w:tab w:val="left" w:pos="7740"/>
                <w:tab w:val="right" w:pos="8820"/>
              </w:tabs>
              <w:spacing w:before="120"/>
              <w:ind w:right="-516" w:firstLine="51"/>
              <w:rPr>
                <w:rFonts w:ascii="Arial" w:hAnsi="Arial" w:cs="Arial"/>
                <w:bCs/>
                <w:i/>
              </w:rPr>
            </w:pPr>
            <w:r w:rsidRPr="00751648">
              <w:rPr>
                <w:rFonts w:ascii="Arial" w:hAnsi="Arial" w:cs="Arial"/>
                <w:bCs/>
                <w:iCs/>
              </w:rPr>
              <w:t xml:space="preserve">Clinic stamp </w:t>
            </w:r>
            <w:r w:rsidRPr="00751648">
              <w:rPr>
                <w:rFonts w:ascii="Arial" w:hAnsi="Arial" w:cs="Arial"/>
                <w:bCs/>
                <w:i/>
              </w:rPr>
              <w:t>or give details below</w:t>
            </w:r>
          </w:p>
          <w:p w14:paraId="50109BBE" w14:textId="77777777" w:rsidR="00DF3C38" w:rsidRPr="00751648" w:rsidRDefault="00DF3C38" w:rsidP="008424FD">
            <w:pPr>
              <w:pStyle w:val="BodyText"/>
              <w:tabs>
                <w:tab w:val="left" w:pos="-540"/>
                <w:tab w:val="left" w:pos="4860"/>
                <w:tab w:val="left" w:pos="6660"/>
                <w:tab w:val="left" w:pos="7740"/>
                <w:tab w:val="right" w:pos="8820"/>
              </w:tabs>
              <w:spacing w:before="120"/>
              <w:ind w:right="-516" w:firstLine="51"/>
              <w:rPr>
                <w:rFonts w:ascii="Arial" w:hAnsi="Arial" w:cs="Arial"/>
                <w:b/>
                <w:bCs/>
                <w:iCs/>
              </w:rPr>
            </w:pPr>
          </w:p>
        </w:tc>
      </w:tr>
      <w:tr w:rsidR="00DF3C38" w:rsidRPr="00751648" w14:paraId="794A53E5" w14:textId="77777777" w:rsidTr="00BE19C0">
        <w:trPr>
          <w:cantSplit/>
          <w:trHeight w:val="145"/>
        </w:trPr>
        <w:tc>
          <w:tcPr>
            <w:tcW w:w="5350" w:type="dxa"/>
            <w:gridSpan w:val="5"/>
            <w:vMerge/>
            <w:tcBorders>
              <w:left w:val="single" w:sz="4" w:space="0" w:color="auto"/>
              <w:right w:val="single" w:sz="4" w:space="0" w:color="auto"/>
            </w:tcBorders>
          </w:tcPr>
          <w:p w14:paraId="62988D24" w14:textId="77777777" w:rsidR="00DF3C38" w:rsidRPr="0075164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236" w:type="dxa"/>
            <w:gridSpan w:val="2"/>
            <w:tcBorders>
              <w:top w:val="nil"/>
              <w:left w:val="single" w:sz="4" w:space="0" w:color="auto"/>
              <w:bottom w:val="nil"/>
              <w:right w:val="nil"/>
            </w:tcBorders>
          </w:tcPr>
          <w:p w14:paraId="116B8D80" w14:textId="77777777" w:rsidR="00DF3C38" w:rsidRPr="0075164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7" w:type="dxa"/>
            <w:gridSpan w:val="4"/>
            <w:vMerge/>
            <w:tcBorders>
              <w:left w:val="single" w:sz="4" w:space="0" w:color="auto"/>
              <w:right w:val="single" w:sz="4" w:space="0" w:color="auto"/>
            </w:tcBorders>
          </w:tcPr>
          <w:p w14:paraId="66201ECC" w14:textId="77777777" w:rsidR="00DF3C38" w:rsidRPr="0075164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r>
      <w:tr w:rsidR="00DF3C38" w:rsidRPr="00751648" w14:paraId="392FDAAE" w14:textId="77777777" w:rsidTr="00BE19C0">
        <w:trPr>
          <w:cantSplit/>
          <w:trHeight w:val="113"/>
        </w:trPr>
        <w:tc>
          <w:tcPr>
            <w:tcW w:w="5350" w:type="dxa"/>
            <w:gridSpan w:val="5"/>
            <w:vMerge/>
            <w:tcBorders>
              <w:left w:val="single" w:sz="4" w:space="0" w:color="auto"/>
              <w:bottom w:val="single" w:sz="4" w:space="0" w:color="auto"/>
              <w:right w:val="single" w:sz="4" w:space="0" w:color="auto"/>
            </w:tcBorders>
          </w:tcPr>
          <w:p w14:paraId="33816596" w14:textId="77777777" w:rsidR="00DF3C38" w:rsidRPr="0075164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236" w:type="dxa"/>
            <w:gridSpan w:val="2"/>
            <w:tcBorders>
              <w:top w:val="nil"/>
              <w:left w:val="single" w:sz="4" w:space="0" w:color="auto"/>
              <w:bottom w:val="nil"/>
              <w:right w:val="nil"/>
            </w:tcBorders>
          </w:tcPr>
          <w:p w14:paraId="06230CD4" w14:textId="77777777" w:rsidR="00DF3C38" w:rsidRPr="0075164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7" w:type="dxa"/>
            <w:gridSpan w:val="4"/>
            <w:vMerge/>
            <w:tcBorders>
              <w:left w:val="single" w:sz="4" w:space="0" w:color="auto"/>
              <w:bottom w:val="single" w:sz="4" w:space="0" w:color="auto"/>
              <w:right w:val="single" w:sz="4" w:space="0" w:color="auto"/>
            </w:tcBorders>
          </w:tcPr>
          <w:p w14:paraId="09AFD29F" w14:textId="77777777" w:rsidR="00DF3C38" w:rsidRPr="0075164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r>
      <w:tr w:rsidR="00DF3C38" w:rsidRPr="00751648" w14:paraId="1E04FCFF" w14:textId="77777777" w:rsidTr="008424FD">
        <w:trPr>
          <w:cantSplit/>
          <w:trHeight w:val="90"/>
        </w:trPr>
        <w:tc>
          <w:tcPr>
            <w:tcW w:w="10363" w:type="dxa"/>
            <w:gridSpan w:val="11"/>
            <w:tcBorders>
              <w:top w:val="nil"/>
              <w:left w:val="nil"/>
              <w:bottom w:val="nil"/>
              <w:right w:val="nil"/>
            </w:tcBorders>
          </w:tcPr>
          <w:p w14:paraId="7BE51289" w14:textId="77777777" w:rsidR="00DF3C38" w:rsidRPr="00751648" w:rsidRDefault="00DF3C38" w:rsidP="008424FD">
            <w:pPr>
              <w:pStyle w:val="BodyText"/>
              <w:tabs>
                <w:tab w:val="left" w:pos="-540"/>
                <w:tab w:val="left" w:pos="4860"/>
                <w:tab w:val="left" w:pos="6660"/>
                <w:tab w:val="left" w:pos="7740"/>
                <w:tab w:val="right" w:pos="8820"/>
              </w:tabs>
              <w:ind w:right="-516" w:firstLine="51"/>
              <w:rPr>
                <w:rFonts w:ascii="Arial" w:hAnsi="Arial" w:cs="Arial"/>
                <w:bCs/>
                <w:iCs/>
                <w:sz w:val="16"/>
              </w:rPr>
            </w:pPr>
          </w:p>
        </w:tc>
      </w:tr>
      <w:tr w:rsidR="00DF3C38" w:rsidRPr="00751648" w14:paraId="28461E17" w14:textId="77777777" w:rsidTr="00BE19C0">
        <w:trPr>
          <w:cantSplit/>
          <w:trHeight w:val="468"/>
        </w:trPr>
        <w:tc>
          <w:tcPr>
            <w:tcW w:w="2474" w:type="dxa"/>
            <w:tcBorders>
              <w:top w:val="nil"/>
              <w:left w:val="nil"/>
              <w:bottom w:val="nil"/>
              <w:right w:val="single" w:sz="4" w:space="0" w:color="auto"/>
            </w:tcBorders>
            <w:vAlign w:val="center"/>
          </w:tcPr>
          <w:p w14:paraId="406A736A" w14:textId="77777777" w:rsidR="00DF3C38" w:rsidRPr="0075164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sidRPr="00751648">
              <w:rPr>
                <w:rFonts w:ascii="Arial" w:hAnsi="Arial" w:cs="Arial"/>
                <w:bCs/>
                <w:iCs/>
              </w:rPr>
              <w:t xml:space="preserve"> Department</w:t>
            </w:r>
          </w:p>
        </w:tc>
        <w:tc>
          <w:tcPr>
            <w:tcW w:w="2876" w:type="dxa"/>
            <w:gridSpan w:val="4"/>
            <w:tcBorders>
              <w:top w:val="single" w:sz="4" w:space="0" w:color="auto"/>
              <w:left w:val="single" w:sz="4" w:space="0" w:color="auto"/>
              <w:bottom w:val="single" w:sz="4" w:space="0" w:color="auto"/>
              <w:right w:val="nil"/>
            </w:tcBorders>
            <w:vAlign w:val="center"/>
          </w:tcPr>
          <w:p w14:paraId="4EDA8CDD"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c>
          <w:tcPr>
            <w:tcW w:w="236" w:type="dxa"/>
            <w:gridSpan w:val="2"/>
            <w:tcBorders>
              <w:top w:val="nil"/>
              <w:left w:val="single" w:sz="4" w:space="0" w:color="auto"/>
              <w:bottom w:val="nil"/>
              <w:right w:val="nil"/>
            </w:tcBorders>
            <w:vAlign w:val="center"/>
          </w:tcPr>
          <w:p w14:paraId="315ACE95"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777" w:type="dxa"/>
            <w:gridSpan w:val="4"/>
            <w:tcBorders>
              <w:top w:val="nil"/>
              <w:left w:val="nil"/>
              <w:bottom w:val="nil"/>
              <w:right w:val="nil"/>
            </w:tcBorders>
            <w:vAlign w:val="center"/>
          </w:tcPr>
          <w:p w14:paraId="03B3EADF"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rsidRPr="00751648" w14:paraId="226A7F8E" w14:textId="77777777" w:rsidTr="00BE19C0">
        <w:trPr>
          <w:cantSplit/>
          <w:trHeight w:val="300"/>
        </w:trPr>
        <w:tc>
          <w:tcPr>
            <w:tcW w:w="5571" w:type="dxa"/>
            <w:gridSpan w:val="6"/>
            <w:tcBorders>
              <w:top w:val="nil"/>
              <w:left w:val="nil"/>
              <w:bottom w:val="nil"/>
              <w:right w:val="nil"/>
            </w:tcBorders>
          </w:tcPr>
          <w:p w14:paraId="24FD3139" w14:textId="77777777" w:rsidR="00DF3C38" w:rsidRPr="0075164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c>
          <w:tcPr>
            <w:tcW w:w="4792" w:type="dxa"/>
            <w:gridSpan w:val="5"/>
            <w:tcBorders>
              <w:top w:val="nil"/>
              <w:left w:val="nil"/>
              <w:bottom w:val="nil"/>
              <w:right w:val="nil"/>
            </w:tcBorders>
          </w:tcPr>
          <w:p w14:paraId="20561B85" w14:textId="77777777" w:rsidR="00DF3C38" w:rsidRPr="0075164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rsidRPr="00751648" w14:paraId="2F6ABF83" w14:textId="77777777" w:rsidTr="00BE19C0">
        <w:trPr>
          <w:cantSplit/>
          <w:trHeight w:val="300"/>
        </w:trPr>
        <w:tc>
          <w:tcPr>
            <w:tcW w:w="5571" w:type="dxa"/>
            <w:gridSpan w:val="6"/>
            <w:tcBorders>
              <w:top w:val="nil"/>
              <w:left w:val="nil"/>
              <w:bottom w:val="nil"/>
              <w:right w:val="nil"/>
            </w:tcBorders>
          </w:tcPr>
          <w:p w14:paraId="6AAC33F0" w14:textId="77777777" w:rsidR="00DF3C38" w:rsidRPr="0075164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c>
          <w:tcPr>
            <w:tcW w:w="4792" w:type="dxa"/>
            <w:gridSpan w:val="5"/>
            <w:tcBorders>
              <w:top w:val="nil"/>
              <w:left w:val="nil"/>
              <w:bottom w:val="nil"/>
              <w:right w:val="nil"/>
            </w:tcBorders>
          </w:tcPr>
          <w:p w14:paraId="6B5177B8" w14:textId="77777777" w:rsidR="00DF3C38" w:rsidRPr="00751648" w:rsidRDefault="00DF3C38" w:rsidP="008424FD">
            <w:pPr>
              <w:pStyle w:val="BodyText"/>
              <w:tabs>
                <w:tab w:val="left" w:pos="-540"/>
                <w:tab w:val="left" w:pos="4860"/>
                <w:tab w:val="left" w:pos="6660"/>
                <w:tab w:val="left" w:pos="7740"/>
                <w:tab w:val="right" w:pos="8820"/>
              </w:tabs>
              <w:ind w:right="-516" w:hanging="128"/>
              <w:rPr>
                <w:rFonts w:ascii="Arial" w:hAnsi="Arial" w:cs="Arial"/>
                <w:bCs/>
                <w:iCs/>
                <w:sz w:val="16"/>
              </w:rPr>
            </w:pPr>
          </w:p>
        </w:tc>
      </w:tr>
      <w:tr w:rsidR="00DF3C38" w:rsidRPr="00751648" w14:paraId="33938C5C" w14:textId="77777777" w:rsidTr="00BE19C0">
        <w:trPr>
          <w:cantSplit/>
          <w:trHeight w:val="468"/>
        </w:trPr>
        <w:tc>
          <w:tcPr>
            <w:tcW w:w="2474" w:type="dxa"/>
            <w:tcBorders>
              <w:top w:val="nil"/>
              <w:left w:val="nil"/>
              <w:bottom w:val="nil"/>
              <w:right w:val="single" w:sz="4" w:space="0" w:color="auto"/>
            </w:tcBorders>
            <w:vAlign w:val="center"/>
          </w:tcPr>
          <w:p w14:paraId="2D41CD32" w14:textId="77777777" w:rsidR="00DF3C38" w:rsidRPr="0075164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751648">
              <w:rPr>
                <w:rFonts w:ascii="Arial" w:hAnsi="Arial" w:cs="Arial"/>
                <w:bCs/>
                <w:iCs/>
              </w:rPr>
              <w:t>Consultant</w:t>
            </w:r>
          </w:p>
        </w:tc>
        <w:tc>
          <w:tcPr>
            <w:tcW w:w="2876" w:type="dxa"/>
            <w:gridSpan w:val="4"/>
            <w:tcBorders>
              <w:top w:val="single" w:sz="4" w:space="0" w:color="auto"/>
              <w:left w:val="single" w:sz="4" w:space="0" w:color="auto"/>
              <w:bottom w:val="single" w:sz="4" w:space="0" w:color="auto"/>
              <w:right w:val="nil"/>
            </w:tcBorders>
            <w:vAlign w:val="center"/>
          </w:tcPr>
          <w:p w14:paraId="5069D161"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36" w:type="dxa"/>
            <w:gridSpan w:val="2"/>
            <w:tcBorders>
              <w:top w:val="nil"/>
              <w:left w:val="single" w:sz="4" w:space="0" w:color="auto"/>
              <w:bottom w:val="nil"/>
              <w:right w:val="nil"/>
            </w:tcBorders>
            <w:vAlign w:val="center"/>
          </w:tcPr>
          <w:p w14:paraId="06924464" w14:textId="77777777" w:rsidR="00DF3C38" w:rsidRPr="0075164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751648">
              <w:rPr>
                <w:rFonts w:ascii="Arial" w:hAnsi="Arial" w:cs="Arial"/>
                <w:bCs/>
                <w:iCs/>
              </w:rPr>
              <w:t xml:space="preserve">  </w:t>
            </w:r>
          </w:p>
        </w:tc>
        <w:tc>
          <w:tcPr>
            <w:tcW w:w="1536" w:type="dxa"/>
            <w:tcBorders>
              <w:top w:val="nil"/>
              <w:left w:val="nil"/>
              <w:bottom w:val="nil"/>
              <w:right w:val="nil"/>
            </w:tcBorders>
            <w:vAlign w:val="center"/>
          </w:tcPr>
          <w:p w14:paraId="734E93D1" w14:textId="77777777" w:rsidR="00DF3C38" w:rsidRPr="00BE19C0" w:rsidRDefault="00DF3C38" w:rsidP="008424FD">
            <w:pPr>
              <w:pStyle w:val="BodyText"/>
              <w:tabs>
                <w:tab w:val="left" w:pos="-540"/>
                <w:tab w:val="left" w:pos="4860"/>
                <w:tab w:val="left" w:pos="6660"/>
                <w:tab w:val="left" w:pos="7740"/>
                <w:tab w:val="right" w:pos="8820"/>
              </w:tabs>
              <w:spacing w:before="120"/>
              <w:ind w:right="-516" w:hanging="128"/>
              <w:rPr>
                <w:rFonts w:ascii="Arial" w:hAnsi="Arial" w:cs="Arial"/>
                <w:bCs/>
                <w:iCs/>
              </w:rPr>
            </w:pPr>
            <w:r w:rsidRPr="00BE19C0">
              <w:rPr>
                <w:rFonts w:ascii="Arial" w:hAnsi="Arial" w:cs="Arial"/>
                <w:bCs/>
                <w:iCs/>
                <w:sz w:val="18"/>
                <w:szCs w:val="18"/>
              </w:rPr>
              <w:t xml:space="preserve"> </w:t>
            </w:r>
            <w:r w:rsidRPr="00BE19C0">
              <w:rPr>
                <w:rFonts w:ascii="Arial" w:hAnsi="Arial" w:cs="Arial"/>
                <w:bCs/>
                <w:iCs/>
              </w:rPr>
              <w:t xml:space="preserve"> Email</w:t>
            </w:r>
            <w:r w:rsidR="00BE19C0" w:rsidRPr="00BE19C0">
              <w:rPr>
                <w:rFonts w:ascii="Arial" w:hAnsi="Arial" w:cs="Arial"/>
                <w:bCs/>
                <w:iCs/>
              </w:rPr>
              <w:t xml:space="preserve"> </w:t>
            </w:r>
          </w:p>
          <w:p w14:paraId="3456751D" w14:textId="3605E448" w:rsidR="00BE19C0" w:rsidRPr="00BE19C0" w:rsidRDefault="00BE19C0" w:rsidP="008424FD">
            <w:pPr>
              <w:pStyle w:val="BodyText"/>
              <w:tabs>
                <w:tab w:val="left" w:pos="-540"/>
                <w:tab w:val="left" w:pos="4860"/>
                <w:tab w:val="left" w:pos="6660"/>
                <w:tab w:val="left" w:pos="7740"/>
                <w:tab w:val="right" w:pos="8820"/>
              </w:tabs>
              <w:spacing w:before="120"/>
              <w:ind w:right="-516" w:hanging="128"/>
              <w:rPr>
                <w:rFonts w:ascii="Arial" w:hAnsi="Arial" w:cs="Arial"/>
                <w:bCs/>
                <w:iCs/>
                <w:sz w:val="18"/>
                <w:szCs w:val="18"/>
              </w:rPr>
            </w:pPr>
            <w:r w:rsidRPr="00BE19C0">
              <w:rPr>
                <w:rFonts w:ascii="Arial" w:hAnsi="Arial" w:cs="Arial"/>
                <w:bCs/>
                <w:iCs/>
                <w:sz w:val="18"/>
                <w:szCs w:val="18"/>
              </w:rPr>
              <w:t>(</w:t>
            </w:r>
            <w:r w:rsidR="002069C2" w:rsidRPr="00BE19C0">
              <w:rPr>
                <w:rFonts w:ascii="Arial" w:hAnsi="Arial" w:cs="Arial"/>
                <w:bCs/>
                <w:iCs/>
                <w:sz w:val="18"/>
                <w:szCs w:val="18"/>
              </w:rPr>
              <w:t>Must</w:t>
            </w:r>
            <w:r w:rsidRPr="00BE19C0">
              <w:rPr>
                <w:rFonts w:ascii="Arial" w:hAnsi="Arial" w:cs="Arial"/>
                <w:bCs/>
                <w:iCs/>
                <w:sz w:val="18"/>
                <w:szCs w:val="18"/>
              </w:rPr>
              <w:t xml:space="preserve"> be given)</w:t>
            </w:r>
          </w:p>
        </w:tc>
        <w:tc>
          <w:tcPr>
            <w:tcW w:w="3241" w:type="dxa"/>
            <w:gridSpan w:val="3"/>
            <w:tcBorders>
              <w:top w:val="single" w:sz="4" w:space="0" w:color="auto"/>
              <w:left w:val="single" w:sz="4" w:space="0" w:color="auto"/>
              <w:bottom w:val="single" w:sz="4" w:space="0" w:color="auto"/>
              <w:right w:val="single" w:sz="4" w:space="0" w:color="auto"/>
            </w:tcBorders>
            <w:vAlign w:val="center"/>
          </w:tcPr>
          <w:p w14:paraId="73D7A9A1"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r>
      <w:tr w:rsidR="00DF3C38" w:rsidRPr="00751648" w14:paraId="48E6021E" w14:textId="77777777" w:rsidTr="008424FD">
        <w:trPr>
          <w:cantSplit/>
          <w:trHeight w:val="287"/>
        </w:trPr>
        <w:tc>
          <w:tcPr>
            <w:tcW w:w="10363" w:type="dxa"/>
            <w:gridSpan w:val="11"/>
            <w:tcBorders>
              <w:top w:val="nil"/>
              <w:left w:val="nil"/>
              <w:bottom w:val="nil"/>
              <w:right w:val="nil"/>
            </w:tcBorders>
          </w:tcPr>
          <w:p w14:paraId="3E7C7D77" w14:textId="77777777" w:rsidR="00DF3C38" w:rsidRPr="0075164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rsidRPr="00751648" w14:paraId="6DF7F88A" w14:textId="77777777" w:rsidTr="008424FD">
        <w:trPr>
          <w:cantSplit/>
          <w:trHeight w:val="403"/>
        </w:trPr>
        <w:tc>
          <w:tcPr>
            <w:tcW w:w="2474" w:type="dxa"/>
            <w:tcBorders>
              <w:top w:val="nil"/>
              <w:left w:val="nil"/>
              <w:bottom w:val="nil"/>
              <w:right w:val="single" w:sz="4" w:space="0" w:color="auto"/>
            </w:tcBorders>
            <w:vAlign w:val="center"/>
          </w:tcPr>
          <w:p w14:paraId="3AEC021B" w14:textId="77777777" w:rsidR="00DF3C38" w:rsidRPr="0075164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sidRPr="00751648">
              <w:rPr>
                <w:rFonts w:ascii="Arial" w:hAnsi="Arial" w:cs="Arial"/>
                <w:bCs/>
                <w:iCs/>
              </w:rPr>
              <w:t>Indication for prescription</w:t>
            </w:r>
          </w:p>
        </w:tc>
        <w:tc>
          <w:tcPr>
            <w:tcW w:w="7889" w:type="dxa"/>
            <w:gridSpan w:val="10"/>
            <w:tcBorders>
              <w:top w:val="single" w:sz="4" w:space="0" w:color="auto"/>
              <w:left w:val="nil"/>
              <w:bottom w:val="single" w:sz="4" w:space="0" w:color="auto"/>
              <w:right w:val="single" w:sz="4" w:space="0" w:color="auto"/>
            </w:tcBorders>
            <w:vAlign w:val="center"/>
          </w:tcPr>
          <w:p w14:paraId="0B198B0C"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rsidRPr="00751648" w14:paraId="653EE23B" w14:textId="77777777" w:rsidTr="008424FD">
        <w:trPr>
          <w:cantSplit/>
          <w:trHeight w:val="300"/>
        </w:trPr>
        <w:tc>
          <w:tcPr>
            <w:tcW w:w="10363" w:type="dxa"/>
            <w:gridSpan w:val="11"/>
            <w:tcBorders>
              <w:top w:val="nil"/>
              <w:left w:val="nil"/>
              <w:bottom w:val="nil"/>
              <w:right w:val="nil"/>
            </w:tcBorders>
          </w:tcPr>
          <w:p w14:paraId="5D06B447"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rsidRPr="00751648" w14:paraId="1B96B564" w14:textId="77777777" w:rsidTr="008424FD">
        <w:trPr>
          <w:cantSplit/>
          <w:trHeight w:val="403"/>
        </w:trPr>
        <w:tc>
          <w:tcPr>
            <w:tcW w:w="2474" w:type="dxa"/>
            <w:tcBorders>
              <w:top w:val="nil"/>
              <w:left w:val="nil"/>
              <w:bottom w:val="nil"/>
              <w:right w:val="single" w:sz="4" w:space="0" w:color="auto"/>
            </w:tcBorders>
            <w:vAlign w:val="center"/>
          </w:tcPr>
          <w:p w14:paraId="3879D47D" w14:textId="77777777" w:rsidR="00DF3C38" w:rsidRPr="0075164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sidRPr="00751648">
              <w:rPr>
                <w:rFonts w:ascii="Arial" w:hAnsi="Arial" w:cs="Arial"/>
                <w:bCs/>
                <w:iCs/>
              </w:rPr>
              <w:t>Drug prescribed</w:t>
            </w:r>
          </w:p>
        </w:tc>
        <w:tc>
          <w:tcPr>
            <w:tcW w:w="7889" w:type="dxa"/>
            <w:gridSpan w:val="10"/>
            <w:tcBorders>
              <w:top w:val="single" w:sz="4" w:space="0" w:color="auto"/>
              <w:left w:val="nil"/>
              <w:bottom w:val="single" w:sz="4" w:space="0" w:color="auto"/>
              <w:right w:val="single" w:sz="4" w:space="0" w:color="auto"/>
            </w:tcBorders>
            <w:vAlign w:val="center"/>
          </w:tcPr>
          <w:p w14:paraId="34D99E32"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rsidRPr="00751648" w14:paraId="0793E73D" w14:textId="77777777" w:rsidTr="008424FD">
        <w:trPr>
          <w:cantSplit/>
          <w:trHeight w:val="300"/>
        </w:trPr>
        <w:tc>
          <w:tcPr>
            <w:tcW w:w="10363" w:type="dxa"/>
            <w:gridSpan w:val="11"/>
            <w:tcBorders>
              <w:top w:val="nil"/>
              <w:left w:val="nil"/>
              <w:bottom w:val="nil"/>
              <w:right w:val="nil"/>
            </w:tcBorders>
          </w:tcPr>
          <w:p w14:paraId="7FB96CE7"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rsidRPr="00751648" w14:paraId="4493661E" w14:textId="77777777" w:rsidTr="008424FD">
        <w:trPr>
          <w:cantSplit/>
          <w:trHeight w:val="462"/>
        </w:trPr>
        <w:tc>
          <w:tcPr>
            <w:tcW w:w="4074" w:type="dxa"/>
            <w:gridSpan w:val="2"/>
            <w:tcBorders>
              <w:top w:val="nil"/>
              <w:left w:val="nil"/>
              <w:bottom w:val="nil"/>
              <w:right w:val="single" w:sz="4" w:space="0" w:color="auto"/>
            </w:tcBorders>
          </w:tcPr>
          <w:p w14:paraId="501AB273" w14:textId="77777777" w:rsidR="00DF3C38" w:rsidRPr="00751648" w:rsidRDefault="00DF3C38" w:rsidP="00D831A5">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751648">
              <w:rPr>
                <w:rFonts w:ascii="Arial" w:hAnsi="Arial" w:cs="Arial"/>
                <w:bCs/>
                <w:iCs/>
              </w:rPr>
              <w:t>Date                                     Drug started</w:t>
            </w:r>
          </w:p>
        </w:tc>
        <w:tc>
          <w:tcPr>
            <w:tcW w:w="1019" w:type="dxa"/>
            <w:gridSpan w:val="2"/>
            <w:tcBorders>
              <w:top w:val="single" w:sz="4" w:space="0" w:color="auto"/>
              <w:left w:val="nil"/>
              <w:bottom w:val="single" w:sz="4" w:space="0" w:color="auto"/>
              <w:right w:val="single" w:sz="4" w:space="0" w:color="auto"/>
            </w:tcBorders>
          </w:tcPr>
          <w:p w14:paraId="2B3CD4D3"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75" w:type="dxa"/>
            <w:gridSpan w:val="5"/>
            <w:tcBorders>
              <w:top w:val="nil"/>
              <w:left w:val="nil"/>
              <w:bottom w:val="nil"/>
              <w:right w:val="single" w:sz="4" w:space="0" w:color="auto"/>
            </w:tcBorders>
          </w:tcPr>
          <w:p w14:paraId="57BD5D78" w14:textId="77777777" w:rsidR="00DF3C38" w:rsidRPr="00751648" w:rsidRDefault="00DF3C38" w:rsidP="00D831A5">
            <w:pPr>
              <w:pStyle w:val="BodyText"/>
              <w:tabs>
                <w:tab w:val="left" w:pos="-540"/>
                <w:tab w:val="left" w:pos="4860"/>
                <w:tab w:val="left" w:pos="6660"/>
                <w:tab w:val="left" w:pos="7740"/>
                <w:tab w:val="right" w:pos="8820"/>
              </w:tabs>
              <w:spacing w:before="120"/>
              <w:ind w:right="-516"/>
              <w:rPr>
                <w:rFonts w:ascii="Arial" w:hAnsi="Arial" w:cs="Arial"/>
                <w:bCs/>
                <w:iCs/>
              </w:rPr>
            </w:pPr>
            <w:r w:rsidRPr="00751648">
              <w:rPr>
                <w:rFonts w:ascii="Arial" w:hAnsi="Arial" w:cs="Arial"/>
                <w:bCs/>
                <w:iCs/>
              </w:rPr>
              <w:t xml:space="preserve">              Current dose</w:t>
            </w:r>
          </w:p>
        </w:tc>
        <w:tc>
          <w:tcPr>
            <w:tcW w:w="875" w:type="dxa"/>
            <w:tcBorders>
              <w:top w:val="single" w:sz="4" w:space="0" w:color="auto"/>
              <w:left w:val="single" w:sz="4" w:space="0" w:color="auto"/>
              <w:bottom w:val="single" w:sz="4" w:space="0" w:color="auto"/>
              <w:right w:val="single" w:sz="4" w:space="0" w:color="auto"/>
            </w:tcBorders>
          </w:tcPr>
          <w:p w14:paraId="16B7B4FD"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1920" w:type="dxa"/>
            <w:tcBorders>
              <w:top w:val="nil"/>
              <w:left w:val="single" w:sz="4" w:space="0" w:color="auto"/>
              <w:bottom w:val="nil"/>
              <w:right w:val="nil"/>
            </w:tcBorders>
          </w:tcPr>
          <w:p w14:paraId="20A71312"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rsidRPr="00751648" w14:paraId="45788A63" w14:textId="77777777" w:rsidTr="008424FD">
        <w:trPr>
          <w:cantSplit/>
          <w:trHeight w:val="300"/>
        </w:trPr>
        <w:tc>
          <w:tcPr>
            <w:tcW w:w="10363" w:type="dxa"/>
            <w:gridSpan w:val="11"/>
            <w:tcBorders>
              <w:top w:val="nil"/>
              <w:left w:val="nil"/>
              <w:bottom w:val="nil"/>
              <w:right w:val="nil"/>
            </w:tcBorders>
          </w:tcPr>
          <w:p w14:paraId="65C158CC" w14:textId="77777777" w:rsidR="00DF3C38" w:rsidRPr="0075164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rsidRPr="00751648" w14:paraId="20D2BF5E" w14:textId="77777777" w:rsidTr="008424FD">
        <w:trPr>
          <w:cantSplit/>
          <w:trHeight w:val="468"/>
        </w:trPr>
        <w:tc>
          <w:tcPr>
            <w:tcW w:w="2474" w:type="dxa"/>
            <w:tcBorders>
              <w:top w:val="nil"/>
              <w:left w:val="nil"/>
              <w:bottom w:val="nil"/>
              <w:right w:val="single" w:sz="4" w:space="0" w:color="auto"/>
            </w:tcBorders>
          </w:tcPr>
          <w:p w14:paraId="3C61D09B" w14:textId="77777777" w:rsidR="00DF3C38" w:rsidRPr="0075164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751648">
              <w:rPr>
                <w:rFonts w:ascii="Arial" w:hAnsi="Arial" w:cs="Arial"/>
                <w:bCs/>
                <w:iCs/>
              </w:rPr>
              <w:t xml:space="preserve">Relevant conditions </w:t>
            </w:r>
          </w:p>
        </w:tc>
        <w:tc>
          <w:tcPr>
            <w:tcW w:w="7889" w:type="dxa"/>
            <w:gridSpan w:val="10"/>
            <w:tcBorders>
              <w:top w:val="single" w:sz="4" w:space="0" w:color="auto"/>
              <w:left w:val="single" w:sz="4" w:space="0" w:color="auto"/>
              <w:bottom w:val="single" w:sz="4" w:space="0" w:color="auto"/>
              <w:right w:val="single" w:sz="4" w:space="0" w:color="auto"/>
            </w:tcBorders>
          </w:tcPr>
          <w:p w14:paraId="0F8C9F95"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rsidRPr="00751648" w14:paraId="4E4D03F9" w14:textId="77777777" w:rsidTr="008424FD">
        <w:trPr>
          <w:cantSplit/>
          <w:trHeight w:val="300"/>
        </w:trPr>
        <w:tc>
          <w:tcPr>
            <w:tcW w:w="10363" w:type="dxa"/>
            <w:gridSpan w:val="11"/>
            <w:tcBorders>
              <w:top w:val="nil"/>
              <w:left w:val="nil"/>
              <w:bottom w:val="nil"/>
              <w:right w:val="nil"/>
            </w:tcBorders>
          </w:tcPr>
          <w:p w14:paraId="50044161"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rsidRPr="00751648" w14:paraId="31BA269C" w14:textId="77777777" w:rsidTr="008424FD">
        <w:trPr>
          <w:cantSplit/>
          <w:trHeight w:val="468"/>
        </w:trPr>
        <w:tc>
          <w:tcPr>
            <w:tcW w:w="2474" w:type="dxa"/>
            <w:tcBorders>
              <w:top w:val="nil"/>
              <w:left w:val="nil"/>
              <w:bottom w:val="nil"/>
              <w:right w:val="single" w:sz="4" w:space="0" w:color="auto"/>
            </w:tcBorders>
          </w:tcPr>
          <w:p w14:paraId="7B9E4A36" w14:textId="0E47A09B" w:rsidR="00967EB5" w:rsidRPr="0075164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751648">
              <w:rPr>
                <w:rFonts w:ascii="Arial" w:hAnsi="Arial" w:cs="Arial"/>
                <w:bCs/>
                <w:iCs/>
              </w:rPr>
              <w:t>Monitoring variations</w:t>
            </w:r>
          </w:p>
        </w:tc>
        <w:tc>
          <w:tcPr>
            <w:tcW w:w="7889" w:type="dxa"/>
            <w:gridSpan w:val="10"/>
            <w:tcBorders>
              <w:top w:val="single" w:sz="4" w:space="0" w:color="auto"/>
              <w:left w:val="single" w:sz="4" w:space="0" w:color="auto"/>
              <w:bottom w:val="single" w:sz="4" w:space="0" w:color="auto"/>
              <w:right w:val="single" w:sz="4" w:space="0" w:color="auto"/>
            </w:tcBorders>
          </w:tcPr>
          <w:p w14:paraId="0291E2E5"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rsidRPr="00751648" w14:paraId="2B57CF8D" w14:textId="77777777" w:rsidTr="008424FD">
        <w:trPr>
          <w:cantSplit/>
          <w:trHeight w:val="300"/>
        </w:trPr>
        <w:tc>
          <w:tcPr>
            <w:tcW w:w="10363" w:type="dxa"/>
            <w:gridSpan w:val="11"/>
            <w:tcBorders>
              <w:top w:val="nil"/>
              <w:left w:val="nil"/>
              <w:bottom w:val="nil"/>
              <w:right w:val="nil"/>
            </w:tcBorders>
          </w:tcPr>
          <w:p w14:paraId="4D680A16" w14:textId="77777777" w:rsidR="00DF3C38" w:rsidRPr="00751648" w:rsidRDefault="00DF3C38" w:rsidP="008424FD">
            <w:pPr>
              <w:pStyle w:val="BodyText"/>
              <w:tabs>
                <w:tab w:val="left" w:pos="-540"/>
                <w:tab w:val="left" w:pos="5112"/>
                <w:tab w:val="left" w:pos="6660"/>
                <w:tab w:val="left" w:pos="7740"/>
                <w:tab w:val="right" w:pos="8820"/>
              </w:tabs>
              <w:ind w:right="-516" w:hanging="108"/>
              <w:rPr>
                <w:rFonts w:ascii="Arial" w:hAnsi="Arial" w:cs="Arial"/>
                <w:bCs/>
                <w:iCs/>
                <w:sz w:val="16"/>
              </w:rPr>
            </w:pPr>
          </w:p>
        </w:tc>
      </w:tr>
      <w:tr w:rsidR="00DF3C38" w:rsidRPr="00751648" w14:paraId="4CC4EBF4" w14:textId="77777777" w:rsidTr="008424FD">
        <w:trPr>
          <w:cantSplit/>
          <w:trHeight w:val="468"/>
        </w:trPr>
        <w:tc>
          <w:tcPr>
            <w:tcW w:w="2474" w:type="dxa"/>
            <w:tcBorders>
              <w:top w:val="nil"/>
              <w:left w:val="nil"/>
              <w:bottom w:val="nil"/>
              <w:right w:val="single" w:sz="4" w:space="0" w:color="auto"/>
            </w:tcBorders>
          </w:tcPr>
          <w:p w14:paraId="62C21ABA" w14:textId="6E9EF7B5" w:rsidR="00DF3C38" w:rsidRPr="00751648" w:rsidRDefault="00DF3C38" w:rsidP="008424FD">
            <w:pPr>
              <w:pStyle w:val="BodyText"/>
              <w:tabs>
                <w:tab w:val="left" w:pos="-540"/>
                <w:tab w:val="left" w:pos="5112"/>
                <w:tab w:val="left" w:pos="6660"/>
                <w:tab w:val="left" w:pos="7740"/>
                <w:tab w:val="right" w:pos="8820"/>
              </w:tabs>
              <w:spacing w:before="120"/>
              <w:ind w:right="-516" w:hanging="108"/>
              <w:rPr>
                <w:rFonts w:ascii="Arial" w:hAnsi="Arial" w:cs="Arial"/>
                <w:bCs/>
                <w:iCs/>
              </w:rPr>
            </w:pPr>
            <w:r w:rsidRPr="00751648">
              <w:rPr>
                <w:rFonts w:ascii="Arial" w:hAnsi="Arial" w:cs="Arial"/>
                <w:bCs/>
                <w:iCs/>
              </w:rPr>
              <w:t xml:space="preserve">Date next blood test </w:t>
            </w:r>
          </w:p>
        </w:tc>
        <w:tc>
          <w:tcPr>
            <w:tcW w:w="1980" w:type="dxa"/>
            <w:gridSpan w:val="2"/>
            <w:tcBorders>
              <w:top w:val="single" w:sz="4" w:space="0" w:color="auto"/>
              <w:left w:val="single" w:sz="4" w:space="0" w:color="auto"/>
              <w:bottom w:val="single" w:sz="4" w:space="0" w:color="auto"/>
              <w:right w:val="nil"/>
            </w:tcBorders>
          </w:tcPr>
          <w:p w14:paraId="4B884EDA" w14:textId="77777777" w:rsidR="00DF3C38" w:rsidRPr="0075164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p>
        </w:tc>
        <w:tc>
          <w:tcPr>
            <w:tcW w:w="3114" w:type="dxa"/>
            <w:gridSpan w:val="6"/>
            <w:tcBorders>
              <w:top w:val="nil"/>
              <w:left w:val="single" w:sz="4" w:space="0" w:color="auto"/>
              <w:bottom w:val="nil"/>
              <w:right w:val="single" w:sz="4" w:space="0" w:color="auto"/>
            </w:tcBorders>
          </w:tcPr>
          <w:p w14:paraId="4745CFA5" w14:textId="77777777" w:rsidR="00DF3C38" w:rsidRPr="00751648" w:rsidRDefault="00DF3C38" w:rsidP="008424FD">
            <w:pPr>
              <w:pStyle w:val="BodyText"/>
              <w:tabs>
                <w:tab w:val="left" w:pos="-540"/>
                <w:tab w:val="left" w:pos="5112"/>
                <w:tab w:val="left" w:pos="6660"/>
                <w:tab w:val="left" w:pos="7740"/>
                <w:tab w:val="right" w:pos="8820"/>
              </w:tabs>
              <w:spacing w:before="120"/>
              <w:ind w:right="-516" w:hanging="149"/>
              <w:rPr>
                <w:rFonts w:ascii="Arial" w:hAnsi="Arial" w:cs="Arial"/>
                <w:bCs/>
                <w:iCs/>
              </w:rPr>
            </w:pPr>
            <w:r w:rsidRPr="00751648">
              <w:rPr>
                <w:rFonts w:ascii="Arial" w:hAnsi="Arial" w:cs="Arial"/>
                <w:bCs/>
                <w:iCs/>
              </w:rPr>
              <w:t xml:space="preserve">      Next disease review due in </w:t>
            </w:r>
          </w:p>
        </w:tc>
        <w:tc>
          <w:tcPr>
            <w:tcW w:w="875" w:type="dxa"/>
            <w:tcBorders>
              <w:top w:val="single" w:sz="4" w:space="0" w:color="auto"/>
              <w:left w:val="single" w:sz="4" w:space="0" w:color="auto"/>
              <w:bottom w:val="single" w:sz="4" w:space="0" w:color="auto"/>
              <w:right w:val="single" w:sz="4" w:space="0" w:color="auto"/>
            </w:tcBorders>
          </w:tcPr>
          <w:p w14:paraId="5C3BCD99" w14:textId="77777777" w:rsidR="00DF3C38" w:rsidRPr="0075164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p>
        </w:tc>
        <w:tc>
          <w:tcPr>
            <w:tcW w:w="1920" w:type="dxa"/>
            <w:tcBorders>
              <w:top w:val="nil"/>
              <w:left w:val="single" w:sz="4" w:space="0" w:color="auto"/>
              <w:bottom w:val="nil"/>
              <w:right w:val="nil"/>
            </w:tcBorders>
          </w:tcPr>
          <w:p w14:paraId="7D4B4C8E" w14:textId="77777777" w:rsidR="00DF3C38" w:rsidRPr="0075164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r w:rsidRPr="00751648">
              <w:rPr>
                <w:rFonts w:ascii="Arial" w:hAnsi="Arial" w:cs="Arial"/>
                <w:bCs/>
                <w:iCs/>
              </w:rPr>
              <w:t>months’ time.</w:t>
            </w:r>
          </w:p>
        </w:tc>
      </w:tr>
      <w:tr w:rsidR="00DF3C38" w:rsidRPr="00751648" w14:paraId="52489E8F" w14:textId="77777777" w:rsidTr="008424FD">
        <w:trPr>
          <w:cantSplit/>
          <w:trHeight w:val="300"/>
        </w:trPr>
        <w:tc>
          <w:tcPr>
            <w:tcW w:w="10363" w:type="dxa"/>
            <w:gridSpan w:val="11"/>
            <w:tcBorders>
              <w:top w:val="nil"/>
              <w:left w:val="nil"/>
              <w:bottom w:val="nil"/>
              <w:right w:val="nil"/>
            </w:tcBorders>
          </w:tcPr>
          <w:p w14:paraId="399CDFF5" w14:textId="77777777" w:rsidR="00DF3C38" w:rsidRPr="00751648" w:rsidRDefault="00DF3C38" w:rsidP="008424FD">
            <w:pPr>
              <w:pStyle w:val="BodyText"/>
              <w:tabs>
                <w:tab w:val="left" w:pos="-540"/>
                <w:tab w:val="left" w:pos="5112"/>
                <w:tab w:val="left" w:pos="6660"/>
                <w:tab w:val="left" w:pos="7740"/>
                <w:tab w:val="right" w:pos="8820"/>
              </w:tabs>
              <w:ind w:right="-516"/>
              <w:rPr>
                <w:rFonts w:ascii="Arial" w:hAnsi="Arial" w:cs="Arial"/>
                <w:bCs/>
                <w:iCs/>
                <w:sz w:val="16"/>
              </w:rPr>
            </w:pPr>
          </w:p>
        </w:tc>
      </w:tr>
    </w:tbl>
    <w:p w14:paraId="46F7A4A6" w14:textId="77777777" w:rsidR="00DF3C38" w:rsidRPr="00751648" w:rsidRDefault="00DF3C38" w:rsidP="00801EDB">
      <w:pPr>
        <w:spacing w:after="200" w:line="276" w:lineRule="auto"/>
        <w:rPr>
          <w:rFonts w:eastAsiaTheme="minorHAnsi" w:cs="Calibri"/>
          <w:sz w:val="22"/>
          <w:szCs w:val="22"/>
        </w:rPr>
      </w:pPr>
    </w:p>
    <w:p w14:paraId="25743FD6" w14:textId="77777777" w:rsidR="00DF3C38" w:rsidRPr="00751648" w:rsidRDefault="00DF3C38">
      <w:pPr>
        <w:spacing w:after="200" w:line="276" w:lineRule="auto"/>
        <w:rPr>
          <w:rFonts w:eastAsiaTheme="minorHAnsi" w:cs="Calibri"/>
          <w:sz w:val="22"/>
          <w:szCs w:val="22"/>
        </w:rPr>
      </w:pPr>
      <w:r w:rsidRPr="00751648">
        <w:rPr>
          <w:rFonts w:eastAsiaTheme="minorHAnsi" w:cs="Calibri"/>
          <w:sz w:val="22"/>
          <w:szCs w:val="22"/>
        </w:rPr>
        <w:br w:type="page"/>
      </w:r>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422"/>
        <w:gridCol w:w="2546"/>
        <w:gridCol w:w="242"/>
        <w:gridCol w:w="4373"/>
      </w:tblGrid>
      <w:tr w:rsidR="00DF3C38" w:rsidRPr="00751648" w14:paraId="1D0ED3BF" w14:textId="77777777" w:rsidTr="008424FD">
        <w:trPr>
          <w:cantSplit/>
          <w:trHeight w:val="789"/>
        </w:trPr>
        <w:tc>
          <w:tcPr>
            <w:tcW w:w="10363" w:type="dxa"/>
            <w:gridSpan w:val="5"/>
            <w:tcBorders>
              <w:top w:val="nil"/>
              <w:left w:val="nil"/>
              <w:bottom w:val="nil"/>
              <w:right w:val="nil"/>
            </w:tcBorders>
          </w:tcPr>
          <w:p w14:paraId="77C1ABD0" w14:textId="77777777" w:rsidR="00DF3C38" w:rsidRPr="00751648" w:rsidRDefault="00DF3C38" w:rsidP="008424FD">
            <w:pPr>
              <w:pStyle w:val="BodyText"/>
              <w:tabs>
                <w:tab w:val="left" w:pos="-540"/>
                <w:tab w:val="left" w:pos="4860"/>
                <w:tab w:val="left" w:pos="6660"/>
                <w:tab w:val="left" w:pos="7740"/>
                <w:tab w:val="right" w:pos="8820"/>
              </w:tabs>
              <w:spacing w:before="240"/>
              <w:ind w:left="-108" w:right="-516"/>
              <w:rPr>
                <w:rFonts w:ascii="Arial" w:hAnsi="Arial" w:cs="Arial"/>
                <w:bCs/>
                <w:iCs/>
              </w:rPr>
            </w:pPr>
            <w:r w:rsidRPr="00751648">
              <w:rPr>
                <w:rFonts w:ascii="Arial" w:hAnsi="Arial" w:cs="Arial"/>
                <w:b/>
                <w:iCs/>
              </w:rPr>
              <w:lastRenderedPageBreak/>
              <w:t xml:space="preserve">Section B: [Accept Shared Care] to be completed by practice </w:t>
            </w:r>
            <w:r w:rsidRPr="00751648">
              <w:rPr>
                <w:rFonts w:ascii="Arial" w:hAnsi="Arial" w:cs="Arial"/>
                <w:bCs/>
                <w:i/>
              </w:rPr>
              <w:t xml:space="preserve">Send back </w:t>
            </w:r>
            <w:r w:rsidRPr="00751648">
              <w:rPr>
                <w:rFonts w:ascii="Arial" w:hAnsi="Arial" w:cs="Arial"/>
                <w:b/>
                <w:i/>
              </w:rPr>
              <w:t xml:space="preserve">FAO referring </w:t>
            </w:r>
            <w:r w:rsidR="007163E0" w:rsidRPr="00751648">
              <w:rPr>
                <w:rFonts w:ascii="Arial" w:hAnsi="Arial" w:cs="Arial"/>
                <w:b/>
                <w:i/>
              </w:rPr>
              <w:t>C</w:t>
            </w:r>
            <w:r w:rsidRPr="00751648">
              <w:rPr>
                <w:rFonts w:ascii="Arial" w:hAnsi="Arial" w:cs="Arial"/>
                <w:b/>
                <w:i/>
              </w:rPr>
              <w:t>onsultant</w:t>
            </w:r>
            <w:r w:rsidRPr="00751648">
              <w:rPr>
                <w:rFonts w:ascii="Arial" w:hAnsi="Arial" w:cs="Arial"/>
                <w:bCs/>
                <w:i/>
              </w:rPr>
              <w:t xml:space="preserve"> above</w:t>
            </w:r>
          </w:p>
          <w:p w14:paraId="5BE937CE" w14:textId="77777777" w:rsidR="00DF3C38" w:rsidRPr="00751648"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sidRPr="00751648">
              <w:rPr>
                <w:rFonts w:ascii="Arial" w:hAnsi="Arial" w:cs="Arial"/>
                <w:bCs/>
                <w:iCs/>
              </w:rPr>
              <w:t>The above patient has been accepted into our monitoring service.</w:t>
            </w:r>
          </w:p>
        </w:tc>
      </w:tr>
      <w:tr w:rsidR="00DF3C38" w:rsidRPr="00751648" w14:paraId="27793420" w14:textId="77777777" w:rsidTr="008424FD">
        <w:trPr>
          <w:cantSplit/>
          <w:trHeight w:val="468"/>
        </w:trPr>
        <w:tc>
          <w:tcPr>
            <w:tcW w:w="3202" w:type="dxa"/>
            <w:gridSpan w:val="2"/>
            <w:tcBorders>
              <w:top w:val="nil"/>
              <w:left w:val="nil"/>
              <w:bottom w:val="nil"/>
              <w:right w:val="single" w:sz="4" w:space="0" w:color="auto"/>
            </w:tcBorders>
          </w:tcPr>
          <w:p w14:paraId="5CDE0E2B" w14:textId="77777777" w:rsidR="00DF3C38" w:rsidRPr="0075164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751648">
              <w:rPr>
                <w:rFonts w:ascii="Arial" w:hAnsi="Arial" w:cs="Arial"/>
                <w:bCs/>
                <w:iCs/>
              </w:rPr>
              <w:t>Practice date for next blood test</w:t>
            </w:r>
          </w:p>
        </w:tc>
        <w:tc>
          <w:tcPr>
            <w:tcW w:w="2546" w:type="dxa"/>
            <w:tcBorders>
              <w:top w:val="single" w:sz="4" w:space="0" w:color="auto"/>
              <w:left w:val="single" w:sz="4" w:space="0" w:color="auto"/>
              <w:bottom w:val="single" w:sz="4" w:space="0" w:color="auto"/>
              <w:right w:val="single" w:sz="4" w:space="0" w:color="auto"/>
            </w:tcBorders>
          </w:tcPr>
          <w:p w14:paraId="4DD261E9"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1B02FCC4"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val="restart"/>
            <w:tcBorders>
              <w:top w:val="single" w:sz="4" w:space="0" w:color="auto"/>
              <w:left w:val="single" w:sz="4" w:space="0" w:color="auto"/>
              <w:bottom w:val="single" w:sz="4" w:space="0" w:color="auto"/>
              <w:right w:val="single" w:sz="4" w:space="0" w:color="auto"/>
            </w:tcBorders>
          </w:tcPr>
          <w:p w14:paraId="5CA7ABDD" w14:textId="77777777" w:rsidR="00DF3C38" w:rsidRPr="00751648" w:rsidRDefault="00F74664" w:rsidP="008424FD">
            <w:pPr>
              <w:pStyle w:val="BodyText"/>
              <w:tabs>
                <w:tab w:val="left" w:pos="-540"/>
                <w:tab w:val="left" w:pos="4860"/>
                <w:tab w:val="left" w:pos="6660"/>
                <w:tab w:val="left" w:pos="7740"/>
                <w:tab w:val="right" w:pos="8820"/>
              </w:tabs>
              <w:spacing w:before="120"/>
              <w:ind w:right="-516"/>
              <w:rPr>
                <w:rFonts w:ascii="Arial" w:hAnsi="Arial" w:cs="Arial"/>
                <w:bCs/>
                <w:iCs/>
              </w:rPr>
            </w:pPr>
            <w:r w:rsidRPr="00751648">
              <w:rPr>
                <w:rFonts w:ascii="Arial" w:hAnsi="Arial" w:cs="Arial"/>
                <w:bCs/>
                <w:iCs/>
              </w:rPr>
              <w:t>Practice stamp or add details below</w:t>
            </w:r>
          </w:p>
        </w:tc>
      </w:tr>
      <w:tr w:rsidR="00DF3C38" w:rsidRPr="00751648" w14:paraId="0BA3A3A1" w14:textId="77777777" w:rsidTr="008424FD">
        <w:trPr>
          <w:cantSplit/>
          <w:trHeight w:val="300"/>
        </w:trPr>
        <w:tc>
          <w:tcPr>
            <w:tcW w:w="5748" w:type="dxa"/>
            <w:gridSpan w:val="3"/>
            <w:tcBorders>
              <w:top w:val="nil"/>
              <w:left w:val="nil"/>
              <w:bottom w:val="nil"/>
              <w:right w:val="nil"/>
            </w:tcBorders>
          </w:tcPr>
          <w:p w14:paraId="6FD1663F"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42" w:type="dxa"/>
            <w:tcBorders>
              <w:top w:val="nil"/>
              <w:left w:val="nil"/>
              <w:bottom w:val="nil"/>
              <w:right w:val="nil"/>
            </w:tcBorders>
          </w:tcPr>
          <w:p w14:paraId="4F4C68AF"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Borders>
              <w:left w:val="single" w:sz="4" w:space="0" w:color="auto"/>
              <w:bottom w:val="single" w:sz="4" w:space="0" w:color="auto"/>
              <w:right w:val="single" w:sz="4" w:space="0" w:color="auto"/>
            </w:tcBorders>
          </w:tcPr>
          <w:p w14:paraId="4158EDB2"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rsidRPr="00751648" w14:paraId="4A271E3B" w14:textId="77777777" w:rsidTr="008424FD">
        <w:trPr>
          <w:cantSplit/>
          <w:trHeight w:val="468"/>
        </w:trPr>
        <w:tc>
          <w:tcPr>
            <w:tcW w:w="1780" w:type="dxa"/>
            <w:tcBorders>
              <w:top w:val="nil"/>
              <w:left w:val="nil"/>
              <w:bottom w:val="nil"/>
              <w:right w:val="single" w:sz="4" w:space="0" w:color="auto"/>
            </w:tcBorders>
          </w:tcPr>
          <w:p w14:paraId="1FC9026D" w14:textId="77777777" w:rsidR="00DF3C38" w:rsidRPr="0075164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sidRPr="00751648">
              <w:rPr>
                <w:rFonts w:ascii="Arial" w:hAnsi="Arial" w:cs="Arial"/>
                <w:bCs/>
                <w:iCs/>
              </w:rPr>
              <w:t>Signed /</w:t>
            </w:r>
          </w:p>
          <w:p w14:paraId="7D6EC624" w14:textId="77777777" w:rsidR="00DF3C38" w:rsidRPr="0075164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751648">
              <w:rPr>
                <w:rFonts w:ascii="Arial" w:hAnsi="Arial" w:cs="Arial"/>
                <w:bCs/>
                <w:iCs/>
              </w:rPr>
              <w:t>Designation</w:t>
            </w:r>
          </w:p>
        </w:tc>
        <w:tc>
          <w:tcPr>
            <w:tcW w:w="3968" w:type="dxa"/>
            <w:gridSpan w:val="2"/>
            <w:tcBorders>
              <w:top w:val="single" w:sz="4" w:space="0" w:color="auto"/>
              <w:left w:val="single" w:sz="4" w:space="0" w:color="auto"/>
              <w:bottom w:val="single" w:sz="4" w:space="0" w:color="auto"/>
              <w:right w:val="single" w:sz="4" w:space="0" w:color="auto"/>
            </w:tcBorders>
          </w:tcPr>
          <w:p w14:paraId="1DB45C46"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2B44B363"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tcBorders>
              <w:left w:val="single" w:sz="4" w:space="0" w:color="auto"/>
              <w:bottom w:val="single" w:sz="4" w:space="0" w:color="auto"/>
              <w:right w:val="single" w:sz="4" w:space="0" w:color="auto"/>
            </w:tcBorders>
          </w:tcPr>
          <w:p w14:paraId="05A29B29"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rsidRPr="00751648" w14:paraId="3A1A7DAE" w14:textId="77777777" w:rsidTr="008424FD">
        <w:trPr>
          <w:cantSplit/>
          <w:trHeight w:val="71"/>
        </w:trPr>
        <w:tc>
          <w:tcPr>
            <w:tcW w:w="5748" w:type="dxa"/>
            <w:gridSpan w:val="3"/>
            <w:tcBorders>
              <w:top w:val="nil"/>
              <w:left w:val="nil"/>
              <w:bottom w:val="nil"/>
              <w:right w:val="nil"/>
            </w:tcBorders>
          </w:tcPr>
          <w:p w14:paraId="59BF88F6"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rPr>
            </w:pPr>
            <w:r w:rsidRPr="00751648">
              <w:rPr>
                <w:rFonts w:ascii="Arial" w:hAnsi="Arial" w:cs="Arial"/>
                <w:bCs/>
                <w:iCs/>
                <w:noProof/>
                <w:lang w:eastAsia="en-GB"/>
              </w:rPr>
              <mc:AlternateContent>
                <mc:Choice Requires="wps">
                  <w:drawing>
                    <wp:anchor distT="0" distB="0" distL="114300" distR="114300" simplePos="0" relativeHeight="251658240" behindDoc="0" locked="0" layoutInCell="1" allowOverlap="1" wp14:anchorId="2263CD04" wp14:editId="69BCE22D">
                      <wp:simplePos x="0" y="0"/>
                      <wp:positionH relativeFrom="column">
                        <wp:posOffset>1068705</wp:posOffset>
                      </wp:positionH>
                      <wp:positionV relativeFrom="paragraph">
                        <wp:posOffset>146846</wp:posOffset>
                      </wp:positionV>
                      <wp:extent cx="2504364" cy="259308"/>
                      <wp:effectExtent l="0" t="0" r="10795" b="26670"/>
                      <wp:wrapNone/>
                      <wp:docPr id="3" name="Rectangle 3"/>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B0920" id="Rectangle 3" o:spid="_x0000_s1026" style="position:absolute;margin-left:84.15pt;margin-top:11.55pt;width:197.2pt;height:20.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" filled="f" strokecolor="black [3213]" strokeweight=".25pt"/>
                  </w:pict>
                </mc:Fallback>
              </mc:AlternateContent>
            </w:r>
          </w:p>
          <w:p w14:paraId="23F622CE" w14:textId="77777777" w:rsidR="00DF3C38" w:rsidRPr="0075164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751648">
              <w:rPr>
                <w:rFonts w:ascii="Arial" w:hAnsi="Arial" w:cs="Arial"/>
                <w:bCs/>
                <w:iCs/>
              </w:rPr>
              <w:t xml:space="preserve">Date </w:t>
            </w:r>
          </w:p>
          <w:p w14:paraId="34A1FFB8"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42" w:type="dxa"/>
            <w:tcBorders>
              <w:top w:val="nil"/>
              <w:left w:val="nil"/>
              <w:bottom w:val="nil"/>
              <w:right w:val="nil"/>
            </w:tcBorders>
          </w:tcPr>
          <w:p w14:paraId="45DC093D"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Borders>
              <w:left w:val="single" w:sz="4" w:space="0" w:color="auto"/>
              <w:bottom w:val="single" w:sz="4" w:space="0" w:color="auto"/>
              <w:right w:val="single" w:sz="4" w:space="0" w:color="auto"/>
            </w:tcBorders>
          </w:tcPr>
          <w:p w14:paraId="255B495F"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25545095" w14:textId="77777777" w:rsidR="00801EDB" w:rsidRPr="00751648" w:rsidRDefault="00801EDB" w:rsidP="00801EDB">
      <w:pPr>
        <w:spacing w:after="200" w:line="276" w:lineRule="auto"/>
        <w:rPr>
          <w:rFonts w:eastAsiaTheme="minorHAnsi" w:cs="Calibri"/>
          <w:sz w:val="22"/>
          <w:szCs w:val="22"/>
        </w:rPr>
      </w:pPr>
    </w:p>
    <w:p w14:paraId="2EA42BD6" w14:textId="77777777" w:rsidR="00DF3C38" w:rsidRPr="00751648" w:rsidRDefault="00DF3C38" w:rsidP="00801EDB">
      <w:pPr>
        <w:spacing w:after="200" w:line="276" w:lineRule="auto"/>
        <w:rPr>
          <w:rFonts w:eastAsiaTheme="minorHAnsi" w:cs="Calibri"/>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64"/>
        <w:gridCol w:w="3827"/>
        <w:gridCol w:w="284"/>
        <w:gridCol w:w="4394"/>
      </w:tblGrid>
      <w:tr w:rsidR="00DF3C38" w:rsidRPr="00751648" w14:paraId="25106074" w14:textId="77777777" w:rsidTr="008424FD">
        <w:trPr>
          <w:cantSplit/>
          <w:trHeight w:val="789"/>
        </w:trPr>
        <w:tc>
          <w:tcPr>
            <w:tcW w:w="10349" w:type="dxa"/>
            <w:gridSpan w:val="5"/>
            <w:tcBorders>
              <w:top w:val="nil"/>
              <w:left w:val="nil"/>
              <w:bottom w:val="nil"/>
              <w:right w:val="nil"/>
            </w:tcBorders>
          </w:tcPr>
          <w:p w14:paraId="6B32840F" w14:textId="77777777" w:rsidR="00DF3C38" w:rsidRPr="00751648" w:rsidRDefault="00DF3C38" w:rsidP="008424FD">
            <w:pPr>
              <w:pStyle w:val="BodyText"/>
              <w:tabs>
                <w:tab w:val="left" w:pos="-540"/>
                <w:tab w:val="left" w:pos="4860"/>
                <w:tab w:val="left" w:pos="6660"/>
                <w:tab w:val="left" w:pos="7740"/>
                <w:tab w:val="right" w:pos="8820"/>
              </w:tabs>
              <w:spacing w:before="240"/>
              <w:ind w:left="-108" w:right="-516"/>
              <w:rPr>
                <w:rFonts w:ascii="Arial" w:hAnsi="Arial" w:cs="Arial"/>
                <w:bCs/>
                <w:iCs/>
              </w:rPr>
            </w:pPr>
            <w:r w:rsidRPr="00751648">
              <w:rPr>
                <w:rFonts w:ascii="Arial" w:hAnsi="Arial" w:cs="Arial"/>
                <w:b/>
                <w:iCs/>
              </w:rPr>
              <w:t xml:space="preserve">Section B: [Reject Shared Care] to be completed by practice </w:t>
            </w:r>
            <w:r w:rsidRPr="00751648">
              <w:rPr>
                <w:rFonts w:ascii="Arial" w:hAnsi="Arial" w:cs="Arial"/>
                <w:bCs/>
                <w:i/>
              </w:rPr>
              <w:t xml:space="preserve">Send back </w:t>
            </w:r>
            <w:r w:rsidRPr="00751648">
              <w:rPr>
                <w:rFonts w:ascii="Arial" w:hAnsi="Arial" w:cs="Arial"/>
                <w:b/>
                <w:i/>
              </w:rPr>
              <w:t xml:space="preserve">FAO referring </w:t>
            </w:r>
            <w:r w:rsidR="007163E0" w:rsidRPr="00751648">
              <w:rPr>
                <w:rFonts w:ascii="Arial" w:hAnsi="Arial" w:cs="Arial"/>
                <w:b/>
                <w:i/>
              </w:rPr>
              <w:t>C</w:t>
            </w:r>
            <w:r w:rsidRPr="00751648">
              <w:rPr>
                <w:rFonts w:ascii="Arial" w:hAnsi="Arial" w:cs="Arial"/>
                <w:b/>
                <w:i/>
              </w:rPr>
              <w:t>onsultant</w:t>
            </w:r>
            <w:r w:rsidRPr="00751648">
              <w:rPr>
                <w:rFonts w:ascii="Arial" w:hAnsi="Arial" w:cs="Arial"/>
                <w:bCs/>
                <w:i/>
              </w:rPr>
              <w:t xml:space="preserve"> </w:t>
            </w:r>
            <w:r w:rsidR="00D831A5" w:rsidRPr="00751648">
              <w:rPr>
                <w:rFonts w:ascii="Arial" w:hAnsi="Arial" w:cs="Arial"/>
                <w:bCs/>
                <w:i/>
              </w:rPr>
              <w:t xml:space="preserve">     </w:t>
            </w:r>
            <w:r w:rsidRPr="00751648">
              <w:rPr>
                <w:rFonts w:ascii="Arial" w:hAnsi="Arial" w:cs="Arial"/>
                <w:bCs/>
                <w:i/>
              </w:rPr>
              <w:t>above</w:t>
            </w:r>
          </w:p>
          <w:p w14:paraId="0C01330E" w14:textId="77777777" w:rsidR="00DF3C38" w:rsidRPr="00751648"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sidRPr="00751648">
              <w:rPr>
                <w:rFonts w:ascii="Arial" w:hAnsi="Arial" w:cs="Arial"/>
                <w:bCs/>
                <w:iCs/>
              </w:rPr>
              <w:t>The above patient has not been accepted into our monitoring service.</w:t>
            </w:r>
          </w:p>
        </w:tc>
      </w:tr>
      <w:tr w:rsidR="00DF3C38" w:rsidRPr="00751648" w14:paraId="304431CC" w14:textId="77777777" w:rsidTr="008424FD">
        <w:trPr>
          <w:cantSplit/>
          <w:trHeight w:val="468"/>
        </w:trPr>
        <w:tc>
          <w:tcPr>
            <w:tcW w:w="1844" w:type="dxa"/>
            <w:gridSpan w:val="2"/>
            <w:tcBorders>
              <w:top w:val="nil"/>
              <w:left w:val="nil"/>
              <w:bottom w:val="nil"/>
              <w:right w:val="single" w:sz="4" w:space="0" w:color="auto"/>
            </w:tcBorders>
          </w:tcPr>
          <w:p w14:paraId="0050F6BF" w14:textId="77777777" w:rsidR="00DF3C38" w:rsidRPr="0075164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751648">
              <w:rPr>
                <w:rFonts w:ascii="Arial" w:hAnsi="Arial" w:cs="Arial"/>
                <w:bCs/>
                <w:iCs/>
              </w:rPr>
              <w:t>Reason</w:t>
            </w:r>
          </w:p>
        </w:tc>
        <w:tc>
          <w:tcPr>
            <w:tcW w:w="3827" w:type="dxa"/>
            <w:tcBorders>
              <w:top w:val="single" w:sz="4" w:space="0" w:color="auto"/>
              <w:left w:val="single" w:sz="4" w:space="0" w:color="auto"/>
              <w:bottom w:val="single" w:sz="4" w:space="0" w:color="auto"/>
              <w:right w:val="single" w:sz="4" w:space="0" w:color="auto"/>
            </w:tcBorders>
          </w:tcPr>
          <w:p w14:paraId="3D169E22"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7BD404B"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258391E"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D93EC65"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1EE0B6E2"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2DD4CDED"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val="restart"/>
            <w:tcBorders>
              <w:top w:val="single" w:sz="4" w:space="0" w:color="auto"/>
              <w:left w:val="single" w:sz="4" w:space="0" w:color="auto"/>
              <w:bottom w:val="single" w:sz="4" w:space="0" w:color="auto"/>
              <w:right w:val="single" w:sz="4" w:space="0" w:color="auto"/>
            </w:tcBorders>
          </w:tcPr>
          <w:p w14:paraId="57ECBE0F" w14:textId="77777777" w:rsidR="00DF3C38" w:rsidRPr="00751648" w:rsidRDefault="00F74664" w:rsidP="008424FD">
            <w:pPr>
              <w:pStyle w:val="BodyText"/>
              <w:tabs>
                <w:tab w:val="left" w:pos="-540"/>
                <w:tab w:val="left" w:pos="4860"/>
                <w:tab w:val="left" w:pos="6660"/>
                <w:tab w:val="left" w:pos="7740"/>
                <w:tab w:val="right" w:pos="8820"/>
              </w:tabs>
              <w:spacing w:before="120"/>
              <w:ind w:right="-516"/>
              <w:rPr>
                <w:rFonts w:ascii="Arial" w:hAnsi="Arial" w:cs="Arial"/>
                <w:bCs/>
                <w:iCs/>
              </w:rPr>
            </w:pPr>
            <w:r w:rsidRPr="00751648">
              <w:rPr>
                <w:rFonts w:ascii="Arial" w:hAnsi="Arial" w:cs="Arial"/>
                <w:bCs/>
                <w:iCs/>
              </w:rPr>
              <w:t>Practice stamp or add details below</w:t>
            </w:r>
          </w:p>
        </w:tc>
      </w:tr>
      <w:tr w:rsidR="00DF3C38" w:rsidRPr="00751648" w14:paraId="53F86C41" w14:textId="77777777" w:rsidTr="008424FD">
        <w:trPr>
          <w:cantSplit/>
          <w:trHeight w:val="300"/>
        </w:trPr>
        <w:tc>
          <w:tcPr>
            <w:tcW w:w="5671" w:type="dxa"/>
            <w:gridSpan w:val="3"/>
            <w:tcBorders>
              <w:top w:val="nil"/>
              <w:left w:val="nil"/>
              <w:bottom w:val="nil"/>
              <w:right w:val="nil"/>
            </w:tcBorders>
          </w:tcPr>
          <w:p w14:paraId="43372B9C"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84" w:type="dxa"/>
            <w:tcBorders>
              <w:top w:val="nil"/>
              <w:left w:val="nil"/>
              <w:bottom w:val="nil"/>
              <w:right w:val="nil"/>
            </w:tcBorders>
          </w:tcPr>
          <w:p w14:paraId="3690EAF8"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Borders>
              <w:left w:val="single" w:sz="4" w:space="0" w:color="auto"/>
              <w:bottom w:val="single" w:sz="4" w:space="0" w:color="auto"/>
              <w:right w:val="single" w:sz="4" w:space="0" w:color="auto"/>
            </w:tcBorders>
          </w:tcPr>
          <w:p w14:paraId="70930A20"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rsidRPr="00751648" w14:paraId="362764ED" w14:textId="77777777" w:rsidTr="008424FD">
        <w:trPr>
          <w:cantSplit/>
          <w:trHeight w:val="468"/>
        </w:trPr>
        <w:tc>
          <w:tcPr>
            <w:tcW w:w="1780" w:type="dxa"/>
            <w:tcBorders>
              <w:top w:val="nil"/>
              <w:left w:val="nil"/>
              <w:bottom w:val="nil"/>
              <w:right w:val="single" w:sz="4" w:space="0" w:color="auto"/>
            </w:tcBorders>
          </w:tcPr>
          <w:p w14:paraId="7C5DD28D" w14:textId="77777777" w:rsidR="00DF3C38" w:rsidRPr="0075164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sidRPr="00751648">
              <w:rPr>
                <w:rFonts w:ascii="Arial" w:hAnsi="Arial" w:cs="Arial"/>
                <w:bCs/>
                <w:iCs/>
              </w:rPr>
              <w:t>Signed /</w:t>
            </w:r>
          </w:p>
          <w:p w14:paraId="36635C5E" w14:textId="77777777" w:rsidR="00DF3C38" w:rsidRPr="0075164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751648">
              <w:rPr>
                <w:rFonts w:ascii="Arial" w:hAnsi="Arial" w:cs="Arial"/>
                <w:bCs/>
                <w:iCs/>
              </w:rPr>
              <w:t>Designation</w:t>
            </w:r>
          </w:p>
        </w:tc>
        <w:tc>
          <w:tcPr>
            <w:tcW w:w="3891" w:type="dxa"/>
            <w:gridSpan w:val="2"/>
            <w:tcBorders>
              <w:top w:val="single" w:sz="4" w:space="0" w:color="auto"/>
              <w:left w:val="single" w:sz="4" w:space="0" w:color="auto"/>
              <w:bottom w:val="single" w:sz="4" w:space="0" w:color="auto"/>
              <w:right w:val="single" w:sz="4" w:space="0" w:color="auto"/>
            </w:tcBorders>
          </w:tcPr>
          <w:p w14:paraId="1CDB406B"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2242FA2D"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tcBorders>
              <w:left w:val="single" w:sz="4" w:space="0" w:color="auto"/>
              <w:bottom w:val="single" w:sz="4" w:space="0" w:color="auto"/>
              <w:right w:val="single" w:sz="4" w:space="0" w:color="auto"/>
            </w:tcBorders>
          </w:tcPr>
          <w:p w14:paraId="7E8457C0" w14:textId="77777777" w:rsidR="00DF3C38" w:rsidRPr="0075164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rsidRPr="00751648" w14:paraId="3E818843" w14:textId="77777777" w:rsidTr="008424FD">
        <w:trPr>
          <w:cantSplit/>
          <w:trHeight w:val="71"/>
        </w:trPr>
        <w:tc>
          <w:tcPr>
            <w:tcW w:w="5671" w:type="dxa"/>
            <w:gridSpan w:val="3"/>
            <w:tcBorders>
              <w:top w:val="nil"/>
              <w:left w:val="nil"/>
              <w:bottom w:val="nil"/>
              <w:right w:val="nil"/>
            </w:tcBorders>
          </w:tcPr>
          <w:p w14:paraId="20579B76"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rPr>
            </w:pPr>
            <w:r w:rsidRPr="00751648">
              <w:rPr>
                <w:rFonts w:ascii="Arial" w:hAnsi="Arial" w:cs="Arial"/>
                <w:bCs/>
                <w:iCs/>
                <w:noProof/>
                <w:lang w:eastAsia="en-GB"/>
              </w:rPr>
              <mc:AlternateContent>
                <mc:Choice Requires="wps">
                  <w:drawing>
                    <wp:anchor distT="0" distB="0" distL="114300" distR="114300" simplePos="0" relativeHeight="251658241" behindDoc="0" locked="0" layoutInCell="1" allowOverlap="1" wp14:anchorId="0E3DBC61" wp14:editId="71709B85">
                      <wp:simplePos x="0" y="0"/>
                      <wp:positionH relativeFrom="column">
                        <wp:posOffset>1068705</wp:posOffset>
                      </wp:positionH>
                      <wp:positionV relativeFrom="paragraph">
                        <wp:posOffset>146846</wp:posOffset>
                      </wp:positionV>
                      <wp:extent cx="2504364" cy="259308"/>
                      <wp:effectExtent l="0" t="0" r="10795" b="26670"/>
                      <wp:wrapNone/>
                      <wp:docPr id="4" name="Rectangle 4"/>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975CE" id="Rectangle 4" o:spid="_x0000_s1026" style="position:absolute;margin-left:84.15pt;margin-top:11.55pt;width:197.2pt;height:20.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" filled="f" strokecolor="black [3213]" strokeweight=".25pt"/>
                  </w:pict>
                </mc:Fallback>
              </mc:AlternateContent>
            </w:r>
          </w:p>
          <w:p w14:paraId="5BF3BCA8" w14:textId="77777777" w:rsidR="00DF3C38" w:rsidRPr="0075164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sidRPr="00751648">
              <w:rPr>
                <w:rFonts w:ascii="Arial" w:hAnsi="Arial" w:cs="Arial"/>
                <w:bCs/>
                <w:iCs/>
              </w:rPr>
              <w:t xml:space="preserve">Date </w:t>
            </w:r>
          </w:p>
          <w:p w14:paraId="30995B1D"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84" w:type="dxa"/>
            <w:tcBorders>
              <w:top w:val="nil"/>
              <w:left w:val="nil"/>
              <w:bottom w:val="nil"/>
              <w:right w:val="nil"/>
            </w:tcBorders>
          </w:tcPr>
          <w:p w14:paraId="06493876"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Borders>
              <w:left w:val="single" w:sz="4" w:space="0" w:color="auto"/>
              <w:bottom w:val="single" w:sz="4" w:space="0" w:color="auto"/>
              <w:right w:val="single" w:sz="4" w:space="0" w:color="auto"/>
            </w:tcBorders>
          </w:tcPr>
          <w:p w14:paraId="4207C0F0" w14:textId="77777777" w:rsidR="00DF3C38" w:rsidRPr="0075164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0A553A59" w14:textId="77777777" w:rsidR="00DF3C38" w:rsidRPr="00751648" w:rsidRDefault="00DF3C38" w:rsidP="00801EDB">
      <w:pPr>
        <w:spacing w:after="200" w:line="276" w:lineRule="auto"/>
        <w:rPr>
          <w:rFonts w:eastAsiaTheme="minorHAnsi" w:cs="Calibri"/>
          <w:sz w:val="22"/>
          <w:szCs w:val="22"/>
        </w:rPr>
      </w:pPr>
    </w:p>
    <w:p w14:paraId="02AC312B" w14:textId="77777777" w:rsidR="00DF3C38" w:rsidRPr="00751648" w:rsidRDefault="00DF3C38" w:rsidP="00801EDB">
      <w:pPr>
        <w:spacing w:after="200" w:line="276" w:lineRule="auto"/>
        <w:rPr>
          <w:rFonts w:eastAsiaTheme="minorHAnsi" w:cs="Calibri"/>
          <w:sz w:val="22"/>
          <w:szCs w:val="22"/>
        </w:rPr>
      </w:pPr>
    </w:p>
    <w:p w14:paraId="22E6E104" w14:textId="77777777" w:rsidR="00DF3C38" w:rsidRPr="00751648" w:rsidRDefault="00DF3C38" w:rsidP="00801EDB">
      <w:pPr>
        <w:spacing w:after="200" w:line="276" w:lineRule="auto"/>
        <w:rPr>
          <w:rFonts w:eastAsiaTheme="minorHAnsi" w:cs="Calibri"/>
          <w:sz w:val="22"/>
          <w:szCs w:val="22"/>
        </w:rPr>
      </w:pPr>
    </w:p>
    <w:p w14:paraId="0E53183F" w14:textId="77777777" w:rsidR="00DF3C38" w:rsidRPr="00751648" w:rsidRDefault="00DF3C38" w:rsidP="00801EDB">
      <w:pPr>
        <w:spacing w:after="200" w:line="276" w:lineRule="auto"/>
        <w:rPr>
          <w:rFonts w:eastAsiaTheme="minorHAnsi" w:cs="Calibri"/>
          <w:sz w:val="22"/>
          <w:szCs w:val="22"/>
        </w:rPr>
      </w:pPr>
    </w:p>
    <w:p w14:paraId="24D5DF70" w14:textId="77777777" w:rsidR="00DF3C38" w:rsidRPr="00751648" w:rsidRDefault="00DF3C38" w:rsidP="00801EDB">
      <w:pPr>
        <w:spacing w:after="200" w:line="276" w:lineRule="auto"/>
        <w:rPr>
          <w:rFonts w:eastAsiaTheme="minorHAnsi" w:cs="Calibri"/>
          <w:sz w:val="22"/>
          <w:szCs w:val="22"/>
        </w:rPr>
      </w:pPr>
    </w:p>
    <w:sectPr w:rsidR="00DF3C38" w:rsidRPr="00751648" w:rsidSect="00F95B8E">
      <w:footerReference w:type="default" r:id="rId37"/>
      <w:footerReference w:type="first" r:id="rId38"/>
      <w:footnotePr>
        <w:numFmt w:val="lowerLetter"/>
      </w:footnotePr>
      <w:pgSz w:w="11906" w:h="16838"/>
      <w:pgMar w:top="1134" w:right="1440" w:bottom="1440" w:left="1134" w:header="709"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15BE9" w14:textId="77777777" w:rsidR="006C6B2F" w:rsidRDefault="006C6B2F" w:rsidP="00224B44">
      <w:r>
        <w:separator/>
      </w:r>
    </w:p>
  </w:endnote>
  <w:endnote w:type="continuationSeparator" w:id="0">
    <w:p w14:paraId="205D81B6" w14:textId="77777777" w:rsidR="006C6B2F" w:rsidRDefault="006C6B2F" w:rsidP="00224B44">
      <w:r>
        <w:continuationSeparator/>
      </w:r>
    </w:p>
  </w:endnote>
  <w:endnote w:type="continuationNotice" w:id="1">
    <w:p w14:paraId="19434B83" w14:textId="77777777" w:rsidR="006C6B2F" w:rsidRDefault="006C6B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C99E" w14:textId="77777777" w:rsidR="002A0954" w:rsidRDefault="002A0954" w:rsidP="00367357">
    <w:pPr>
      <w:pStyle w:val="Footer"/>
      <w:jc w:val="left"/>
    </w:pPr>
    <w:r>
      <w:t>North Central London Joint Formulary Committee</w:t>
    </w:r>
    <w:r>
      <w:tab/>
    </w:r>
    <w:r>
      <w:tab/>
    </w:r>
    <w:r>
      <w:fldChar w:fldCharType="begin"/>
    </w:r>
    <w:r>
      <w:instrText xml:space="preserve"> PAGE  \* Arabic  \* MERGEFORMAT </w:instrText>
    </w:r>
    <w:r>
      <w:fldChar w:fldCharType="separate"/>
    </w:r>
    <w:r>
      <w:rPr>
        <w:noProof/>
      </w:rPr>
      <w:t>2</w:t>
    </w:r>
    <w:r>
      <w:fldChar w:fldCharType="end"/>
    </w:r>
    <w:r>
      <w:t xml:space="preserve"> of </w:t>
    </w:r>
    <w:fldSimple w:instr=" NUMPAGES  \* Arabic  \* MERGEFORMAT ">
      <w:r>
        <w:rPr>
          <w:noProof/>
        </w:rPr>
        <w:t>17</w:t>
      </w:r>
    </w:fldSimple>
  </w:p>
  <w:p w14:paraId="442468CC" w14:textId="77777777" w:rsidR="002A0954" w:rsidRDefault="002A0954" w:rsidP="00367357">
    <w:pPr>
      <w:pStyle w:val="Footer"/>
      <w:jc w:val="left"/>
    </w:pPr>
  </w:p>
  <w:p w14:paraId="43D52F01" w14:textId="3B241FF8" w:rsidR="002A0954" w:rsidRDefault="002A0954" w:rsidP="00367357">
    <w:pPr>
      <w:pStyle w:val="Footer"/>
      <w:jc w:val="left"/>
    </w:pPr>
    <w:r>
      <w:t>Children and Adolescent ADHD Shared Care</w:t>
    </w:r>
    <w:r>
      <w:tab/>
    </w:r>
    <w:r>
      <w:tab/>
      <w:t>Approval date:</w:t>
    </w:r>
    <w:r w:rsidR="00BE4828">
      <w:t xml:space="preserve"> </w:t>
    </w:r>
  </w:p>
  <w:p w14:paraId="64790B7C" w14:textId="73EB47D4" w:rsidR="002A0954" w:rsidRDefault="002A0954" w:rsidP="00367357">
    <w:pPr>
      <w:pStyle w:val="Footer"/>
      <w:jc w:val="left"/>
    </w:pPr>
    <w:r>
      <w:t xml:space="preserve">Version </w:t>
    </w:r>
    <w:r w:rsidR="00F052C6">
      <w:t>2</w:t>
    </w:r>
    <w:r>
      <w:t>.0</w:t>
    </w:r>
    <w:r>
      <w:tab/>
    </w:r>
    <w:r>
      <w:tab/>
      <w:t xml:space="preserve">Review date: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F6BB" w14:textId="41AF3FFD" w:rsidR="002A0954" w:rsidRDefault="002A0954" w:rsidP="00367357">
    <w:pPr>
      <w:pStyle w:val="Footer"/>
      <w:jc w:val="left"/>
    </w:pPr>
    <w:r>
      <w:t>North Central London Joint Formulary Committee</w:t>
    </w:r>
    <w:r>
      <w:tab/>
    </w:r>
    <w:r>
      <w:ptab w:relativeTo="margin" w:alignment="center" w:leader="none"/>
    </w:r>
    <w:r>
      <w:tab/>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16</w:t>
      </w:r>
    </w:fldSimple>
  </w:p>
  <w:p w14:paraId="778E506F" w14:textId="77777777" w:rsidR="00FF72BC" w:rsidRPr="00FF72BC" w:rsidRDefault="002A0954" w:rsidP="00FF72BC">
    <w:pPr>
      <w:rPr>
        <w:rFonts w:eastAsiaTheme="minorHAnsi" w:cstheme="minorHAnsi"/>
        <w:color w:val="A6A6A6" w:themeColor="background1" w:themeShade="A6"/>
      </w:rPr>
    </w:pPr>
    <w:r w:rsidRPr="00FF72BC">
      <w:rPr>
        <w:color w:val="A6A6A6" w:themeColor="background1" w:themeShade="A6"/>
      </w:rPr>
      <w:t>Document title</w:t>
    </w:r>
    <w:r w:rsidR="00FF72BC" w:rsidRPr="00FF72BC">
      <w:rPr>
        <w:color w:val="A6A6A6" w:themeColor="background1" w:themeShade="A6"/>
      </w:rPr>
      <w:t xml:space="preserve">: </w:t>
    </w:r>
    <w:r w:rsidR="00FF72BC" w:rsidRPr="00FF72BC">
      <w:rPr>
        <w:rFonts w:eastAsiaTheme="minorHAnsi" w:cstheme="minorHAnsi"/>
        <w:color w:val="A6A6A6" w:themeColor="background1" w:themeShade="A6"/>
      </w:rPr>
      <w:t>Shared Care Guidelines: Attention Deficit Hyperactivity Disorder (Children and Adolescents)</w:t>
    </w:r>
  </w:p>
  <w:p w14:paraId="2A20BD2B" w14:textId="77777777" w:rsidR="00B4720D" w:rsidRPr="00B4720D" w:rsidRDefault="002A0954" w:rsidP="00B4720D">
    <w:pPr>
      <w:pStyle w:val="Default"/>
      <w:rPr>
        <w:rFonts w:asciiTheme="minorHAnsi" w:hAnsiTheme="minorHAnsi" w:cstheme="minorHAnsi"/>
        <w:sz w:val="20"/>
        <w:szCs w:val="20"/>
      </w:rPr>
    </w:pPr>
    <w:r w:rsidRPr="00B4720D">
      <w:rPr>
        <w:rFonts w:asciiTheme="minorHAnsi" w:hAnsiTheme="minorHAnsi" w:cstheme="minorHAnsi"/>
        <w:color w:val="A6A6A6" w:themeColor="background1" w:themeShade="A6"/>
        <w:sz w:val="20"/>
        <w:szCs w:val="20"/>
      </w:rPr>
      <w:t xml:space="preserve">Version </w:t>
    </w:r>
    <w:r w:rsidR="00762B87" w:rsidRPr="00B4720D">
      <w:rPr>
        <w:rFonts w:asciiTheme="minorHAnsi" w:hAnsiTheme="minorHAnsi" w:cstheme="minorHAnsi"/>
        <w:color w:val="A6A6A6" w:themeColor="background1" w:themeShade="A6"/>
        <w:sz w:val="20"/>
        <w:szCs w:val="20"/>
      </w:rPr>
      <w:t>2.0</w:t>
    </w:r>
    <w:r w:rsidR="00B4720D" w:rsidRPr="00B4720D">
      <w:rPr>
        <w:rFonts w:asciiTheme="minorHAnsi" w:hAnsiTheme="minorHAnsi" w:cstheme="minorHAnsi"/>
        <w:color w:val="A6A6A6" w:themeColor="background1" w:themeShade="A6"/>
        <w:sz w:val="20"/>
        <w:szCs w:val="20"/>
      </w:rPr>
      <w:tab/>
    </w:r>
  </w:p>
  <w:p w14:paraId="1D279AA7" w14:textId="77777777" w:rsidR="00B4720D" w:rsidRDefault="00B4720D" w:rsidP="00B4720D">
    <w:pPr>
      <w:tabs>
        <w:tab w:val="left" w:pos="8357"/>
      </w:tabs>
      <w:jc w:val="right"/>
      <w:rPr>
        <w:rFonts w:eastAsiaTheme="minorHAnsi" w:cs="Calibri"/>
        <w:color w:val="454545"/>
      </w:rPr>
    </w:pPr>
    <w:r w:rsidRPr="00B4720D">
      <w:rPr>
        <w:rFonts w:eastAsiaTheme="minorHAnsi" w:cs="Calibri"/>
        <w:color w:val="000000"/>
        <w:sz w:val="24"/>
        <w:szCs w:val="24"/>
      </w:rPr>
      <w:t xml:space="preserve"> </w:t>
    </w:r>
    <w:r w:rsidRPr="00B4720D">
      <w:rPr>
        <w:rFonts w:eastAsiaTheme="minorHAnsi" w:cs="Calibri"/>
        <w:color w:val="454545"/>
      </w:rPr>
      <w:t xml:space="preserve">Approval date: 14/05/2024 </w:t>
    </w:r>
  </w:p>
  <w:p w14:paraId="6BC000C8" w14:textId="46C20ADD" w:rsidR="002A0954" w:rsidRPr="00FF72BC" w:rsidRDefault="00B4720D" w:rsidP="00B4720D">
    <w:pPr>
      <w:tabs>
        <w:tab w:val="left" w:pos="8357"/>
      </w:tabs>
      <w:jc w:val="right"/>
      <w:rPr>
        <w:color w:val="A6A6A6" w:themeColor="background1" w:themeShade="A6"/>
      </w:rPr>
    </w:pPr>
    <w:r w:rsidRPr="00B4720D">
      <w:rPr>
        <w:rFonts w:eastAsiaTheme="minorHAnsi" w:cs="Calibri"/>
        <w:color w:val="454545"/>
      </w:rPr>
      <w:t>Review Date: 14/05/2027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DD9D" w14:textId="77777777" w:rsidR="006C6B2F" w:rsidRDefault="006C6B2F" w:rsidP="00224B44">
      <w:r>
        <w:separator/>
      </w:r>
    </w:p>
  </w:footnote>
  <w:footnote w:type="continuationSeparator" w:id="0">
    <w:p w14:paraId="4491B56D" w14:textId="77777777" w:rsidR="006C6B2F" w:rsidRDefault="006C6B2F" w:rsidP="00224B44">
      <w:r>
        <w:continuationSeparator/>
      </w:r>
    </w:p>
  </w:footnote>
  <w:footnote w:type="continuationNotice" w:id="1">
    <w:p w14:paraId="3AF6AA2D" w14:textId="77777777" w:rsidR="006C6B2F" w:rsidRDefault="006C6B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370"/>
    <w:multiLevelType w:val="hybridMultilevel"/>
    <w:tmpl w:val="7C344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C2096D"/>
    <w:multiLevelType w:val="hybridMultilevel"/>
    <w:tmpl w:val="78F6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907A7"/>
    <w:multiLevelType w:val="multilevel"/>
    <w:tmpl w:val="8BB2BF54"/>
    <w:lvl w:ilvl="0">
      <w:start w:val="1"/>
      <w:numFmt w:val="bullet"/>
      <w:lvlText w:val="o"/>
      <w:lvlJc w:val="left"/>
      <w:pPr>
        <w:ind w:left="567" w:hanging="283"/>
      </w:pPr>
      <w:rPr>
        <w:rFonts w:ascii="Courier New" w:hAnsi="Courier New" w:cs="Courier New" w:hint="default"/>
      </w:rPr>
    </w:lvl>
    <w:lvl w:ilvl="1">
      <w:start w:val="1"/>
      <w:numFmt w:val="lowerLetter"/>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3" w15:restartNumberingAfterBreak="0">
    <w:nsid w:val="10012B41"/>
    <w:multiLevelType w:val="multilevel"/>
    <w:tmpl w:val="411E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7388D"/>
    <w:multiLevelType w:val="hybridMultilevel"/>
    <w:tmpl w:val="84B8F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B6959"/>
    <w:multiLevelType w:val="hybridMultilevel"/>
    <w:tmpl w:val="9848A494"/>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6" w15:restartNumberingAfterBreak="0">
    <w:nsid w:val="1B512046"/>
    <w:multiLevelType w:val="multilevel"/>
    <w:tmpl w:val="CDA015B0"/>
    <w:lvl w:ilvl="0">
      <w:start w:val="1"/>
      <w:numFmt w:val="bullet"/>
      <w:lvlText w:val=""/>
      <w:lvlJc w:val="left"/>
      <w:pPr>
        <w:ind w:left="567" w:hanging="283"/>
      </w:pPr>
      <w:rPr>
        <w:rFonts w:ascii="Symbol" w:hAnsi="Symbol" w:hint="default"/>
      </w:rPr>
    </w:lvl>
    <w:lvl w:ilvl="1">
      <w:start w:val="1"/>
      <w:numFmt w:val="lowerLetter"/>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7" w15:restartNumberingAfterBreak="0">
    <w:nsid w:val="1B7D35BA"/>
    <w:multiLevelType w:val="multilevel"/>
    <w:tmpl w:val="9C202792"/>
    <w:styleLink w:val="ReportHeadings"/>
    <w:lvl w:ilvl="0">
      <w:start w:val="1"/>
      <w:numFmt w:val="decimal"/>
      <w:pStyle w:val="NCLHeading1"/>
      <w:lvlText w:val="%1."/>
      <w:lvlJc w:val="left"/>
      <w:pPr>
        <w:ind w:left="851" w:hanging="851"/>
      </w:pPr>
      <w:rPr>
        <w:rFonts w:hint="default"/>
      </w:rPr>
    </w:lvl>
    <w:lvl w:ilvl="1">
      <w:start w:val="1"/>
      <w:numFmt w:val="decimal"/>
      <w:pStyle w:val="NCLHeading2"/>
      <w:lvlText w:val="%1.%2."/>
      <w:lvlJc w:val="left"/>
      <w:pPr>
        <w:ind w:left="851" w:hanging="851"/>
      </w:pPr>
      <w:rPr>
        <w:rFonts w:hint="default"/>
      </w:rPr>
    </w:lvl>
    <w:lvl w:ilvl="2">
      <w:start w:val="1"/>
      <w:numFmt w:val="decimal"/>
      <w:pStyle w:val="NCLHeading3"/>
      <w:lvlText w:val="%1.%2.%3."/>
      <w:lvlJc w:val="left"/>
      <w:pPr>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pStyle w:val="NCLTableheading"/>
      <w:suff w:val="nothing"/>
      <w:lvlText w:val=""/>
      <w:lvlJc w:val="left"/>
      <w:pPr>
        <w:ind w:left="0" w:firstLine="0"/>
      </w:pPr>
      <w:rPr>
        <w:rFonts w:hint="default"/>
      </w:rPr>
    </w:lvl>
    <w:lvl w:ilvl="5">
      <w:start w:val="1"/>
      <w:numFmt w:val="none"/>
      <w:pStyle w:val="ReportHeading6"/>
      <w:suff w:val="nothing"/>
      <w:lvlText w:val=""/>
      <w:lvlJc w:val="left"/>
      <w:pPr>
        <w:ind w:left="0" w:firstLine="0"/>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8" w15:restartNumberingAfterBreak="0">
    <w:nsid w:val="1C192BD7"/>
    <w:multiLevelType w:val="singleLevel"/>
    <w:tmpl w:val="1180BBB0"/>
    <w:lvl w:ilvl="0">
      <w:start w:val="1"/>
      <w:numFmt w:val="decimal"/>
      <w:lvlText w:val="%1."/>
      <w:lvlJc w:val="left"/>
      <w:pPr>
        <w:tabs>
          <w:tab w:val="num" w:pos="360"/>
        </w:tabs>
        <w:ind w:left="360" w:hanging="360"/>
      </w:pPr>
      <w:rPr>
        <w:sz w:val="22"/>
        <w:szCs w:val="22"/>
      </w:rPr>
    </w:lvl>
  </w:abstractNum>
  <w:abstractNum w:abstractNumId="9" w15:restartNumberingAfterBreak="0">
    <w:nsid w:val="1C691D58"/>
    <w:multiLevelType w:val="hybridMultilevel"/>
    <w:tmpl w:val="E3B2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31D86"/>
    <w:multiLevelType w:val="multilevel"/>
    <w:tmpl w:val="CDA015B0"/>
    <w:numStyleLink w:val="ListNumbers"/>
  </w:abstractNum>
  <w:abstractNum w:abstractNumId="11" w15:restartNumberingAfterBreak="0">
    <w:nsid w:val="2661086D"/>
    <w:multiLevelType w:val="hybridMultilevel"/>
    <w:tmpl w:val="F22C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21D3F"/>
    <w:multiLevelType w:val="hybridMultilevel"/>
    <w:tmpl w:val="656A2212"/>
    <w:lvl w:ilvl="0" w:tplc="B7F6E5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D5336"/>
    <w:multiLevelType w:val="hybridMultilevel"/>
    <w:tmpl w:val="E8D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C02C9"/>
    <w:multiLevelType w:val="multilevel"/>
    <w:tmpl w:val="CDA015B0"/>
    <w:numStyleLink w:val="ListNumbers"/>
  </w:abstractNum>
  <w:abstractNum w:abstractNumId="15" w15:restartNumberingAfterBreak="0">
    <w:nsid w:val="34CA7464"/>
    <w:multiLevelType w:val="hybridMultilevel"/>
    <w:tmpl w:val="C2360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B1730"/>
    <w:multiLevelType w:val="multilevel"/>
    <w:tmpl w:val="CDA015B0"/>
    <w:numStyleLink w:val="ListNumbers"/>
  </w:abstractNum>
  <w:abstractNum w:abstractNumId="17" w15:restartNumberingAfterBreak="0">
    <w:nsid w:val="359F40B3"/>
    <w:multiLevelType w:val="multilevel"/>
    <w:tmpl w:val="CDA015B0"/>
    <w:styleLink w:val="ListNumbers"/>
    <w:lvl w:ilvl="0">
      <w:start w:val="1"/>
      <w:numFmt w:val="bullet"/>
      <w:lvlText w:val=""/>
      <w:lvlJc w:val="left"/>
      <w:pPr>
        <w:ind w:left="567" w:hanging="283"/>
      </w:pPr>
      <w:rPr>
        <w:rFonts w:ascii="Symbol" w:hAnsi="Symbol" w:hint="default"/>
      </w:rPr>
    </w:lvl>
    <w:lvl w:ilvl="1">
      <w:start w:val="1"/>
      <w:numFmt w:val="lowerLetter"/>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18" w15:restartNumberingAfterBreak="0">
    <w:nsid w:val="38100865"/>
    <w:multiLevelType w:val="hybridMultilevel"/>
    <w:tmpl w:val="80F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82CC3"/>
    <w:multiLevelType w:val="multilevel"/>
    <w:tmpl w:val="CDA015B0"/>
    <w:lvl w:ilvl="0">
      <w:start w:val="1"/>
      <w:numFmt w:val="bullet"/>
      <w:lvlText w:val=""/>
      <w:lvlJc w:val="left"/>
      <w:pPr>
        <w:ind w:left="567" w:hanging="283"/>
      </w:pPr>
      <w:rPr>
        <w:rFonts w:ascii="Symbol" w:hAnsi="Symbol" w:hint="default"/>
      </w:rPr>
    </w:lvl>
    <w:lvl w:ilvl="1">
      <w:start w:val="1"/>
      <w:numFmt w:val="lowerLetter"/>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20" w15:restartNumberingAfterBreak="0">
    <w:nsid w:val="3F236FD9"/>
    <w:multiLevelType w:val="multilevel"/>
    <w:tmpl w:val="1E6A1538"/>
    <w:lvl w:ilvl="0">
      <w:start w:val="1"/>
      <w:numFmt w:val="decimal"/>
      <w:pStyle w:val="Heading1"/>
      <w:lvlText w:val="%1"/>
      <w:lvlJc w:val="left"/>
      <w:pPr>
        <w:ind w:left="432" w:hanging="432"/>
      </w:pPr>
    </w:lvl>
    <w:lvl w:ilvl="1">
      <w:start w:val="1"/>
      <w:numFmt w:val="upperLetter"/>
      <w:pStyle w:val="Heading2"/>
      <w:lvlText w:val="%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61458D"/>
    <w:multiLevelType w:val="multilevel"/>
    <w:tmpl w:val="CDA015B0"/>
    <w:numStyleLink w:val="ListNumbers"/>
  </w:abstractNum>
  <w:abstractNum w:abstractNumId="22" w15:restartNumberingAfterBreak="0">
    <w:nsid w:val="4708372B"/>
    <w:multiLevelType w:val="multilevel"/>
    <w:tmpl w:val="092054EE"/>
    <w:styleLink w:val="ListBullets"/>
    <w:lvl w:ilvl="0">
      <w:start w:val="1"/>
      <w:numFmt w:val="bullet"/>
      <w:pStyle w:val="ListBullet"/>
      <w:lvlText w:val=""/>
      <w:lvlJc w:val="left"/>
      <w:pPr>
        <w:ind w:left="567" w:hanging="283"/>
      </w:pPr>
      <w:rPr>
        <w:rFonts w:ascii="Symbol" w:hAnsi="Symbol" w:hint="default"/>
      </w:rPr>
    </w:lvl>
    <w:lvl w:ilvl="1">
      <w:start w:val="1"/>
      <w:numFmt w:val="bullet"/>
      <w:pStyle w:val="ListBullet2"/>
      <w:lvlText w:val="o"/>
      <w:lvlJc w:val="left"/>
      <w:pPr>
        <w:ind w:left="851" w:hanging="283"/>
      </w:pPr>
      <w:rPr>
        <w:rFonts w:ascii="Courier New" w:hAnsi="Courier New" w:hint="default"/>
      </w:rPr>
    </w:lvl>
    <w:lvl w:ilvl="2">
      <w:start w:val="1"/>
      <w:numFmt w:val="bullet"/>
      <w:pStyle w:val="ListBullet3"/>
      <w:lvlText w:val=""/>
      <w:lvlJc w:val="left"/>
      <w:pPr>
        <w:ind w:left="1135" w:hanging="283"/>
      </w:pPr>
      <w:rPr>
        <w:rFonts w:ascii="Wingdings" w:hAnsi="Wingdings" w:hint="default"/>
      </w:rPr>
    </w:lvl>
    <w:lvl w:ilvl="3">
      <w:start w:val="1"/>
      <w:numFmt w:val="bullet"/>
      <w:pStyle w:val="ListBullet4"/>
      <w:lvlText w:val=""/>
      <w:lvlJc w:val="left"/>
      <w:pPr>
        <w:ind w:left="1419" w:hanging="283"/>
      </w:pPr>
      <w:rPr>
        <w:rFonts w:ascii="Symbol" w:hAnsi="Symbol" w:hint="default"/>
      </w:rPr>
    </w:lvl>
    <w:lvl w:ilvl="4">
      <w:start w:val="1"/>
      <w:numFmt w:val="bullet"/>
      <w:pStyle w:val="ListBullet5"/>
      <w:lvlText w:val="o"/>
      <w:lvlJc w:val="left"/>
      <w:pPr>
        <w:ind w:left="1703" w:hanging="283"/>
      </w:pPr>
      <w:rPr>
        <w:rFonts w:ascii="Courier New" w:hAnsi="Courier New" w:hint="default"/>
      </w:rPr>
    </w:lvl>
    <w:lvl w:ilvl="5">
      <w:start w:val="1"/>
      <w:numFmt w:val="none"/>
      <w:lvlText w:val=""/>
      <w:lvlJc w:val="left"/>
      <w:pPr>
        <w:ind w:left="1987" w:hanging="286"/>
      </w:pPr>
      <w:rPr>
        <w:rFonts w:hint="default"/>
      </w:rPr>
    </w:lvl>
    <w:lvl w:ilvl="6">
      <w:start w:val="1"/>
      <w:numFmt w:val="none"/>
      <w:lvlText w:val="%7"/>
      <w:lvlJc w:val="left"/>
      <w:pPr>
        <w:ind w:left="2271" w:hanging="283"/>
      </w:pPr>
      <w:rPr>
        <w:rFonts w:hint="default"/>
      </w:rPr>
    </w:lvl>
    <w:lvl w:ilvl="7">
      <w:start w:val="1"/>
      <w:numFmt w:val="none"/>
      <w:lvlText w:val="%8"/>
      <w:lvlJc w:val="left"/>
      <w:pPr>
        <w:ind w:left="2555" w:hanging="283"/>
      </w:pPr>
      <w:rPr>
        <w:rFonts w:hint="default"/>
      </w:rPr>
    </w:lvl>
    <w:lvl w:ilvl="8">
      <w:start w:val="1"/>
      <w:numFmt w:val="none"/>
      <w:lvlText w:val="%9"/>
      <w:lvlJc w:val="left"/>
      <w:pPr>
        <w:ind w:left="2839" w:hanging="283"/>
      </w:pPr>
      <w:rPr>
        <w:rFonts w:hint="default"/>
      </w:rPr>
    </w:lvl>
  </w:abstractNum>
  <w:abstractNum w:abstractNumId="23" w15:restartNumberingAfterBreak="0">
    <w:nsid w:val="4D270A73"/>
    <w:multiLevelType w:val="hybridMultilevel"/>
    <w:tmpl w:val="51163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F3C6DC3"/>
    <w:multiLevelType w:val="hybridMultilevel"/>
    <w:tmpl w:val="62A48C5E"/>
    <w:lvl w:ilvl="0" w:tplc="831EA7E4">
      <w:start w:val="1"/>
      <w:numFmt w:val="decimal"/>
      <w:lvlText w:val="%1."/>
      <w:lvlJc w:val="left"/>
      <w:pPr>
        <w:tabs>
          <w:tab w:val="num" w:pos="534"/>
        </w:tabs>
        <w:ind w:left="534" w:hanging="390"/>
      </w:pPr>
      <w:rPr>
        <w:rFonts w:hint="default"/>
      </w:rPr>
    </w:lvl>
    <w:lvl w:ilvl="1" w:tplc="6C462270">
      <w:start w:val="1"/>
      <w:numFmt w:val="lowerLetter"/>
      <w:lvlText w:val="%2."/>
      <w:lvlJc w:val="left"/>
      <w:pPr>
        <w:tabs>
          <w:tab w:val="num" w:pos="1224"/>
        </w:tabs>
        <w:ind w:left="1224" w:hanging="360"/>
      </w:pPr>
    </w:lvl>
    <w:lvl w:ilvl="2" w:tplc="A4FE48B2">
      <w:start w:val="1"/>
      <w:numFmt w:val="lowerRoman"/>
      <w:lvlText w:val="%3."/>
      <w:lvlJc w:val="right"/>
      <w:pPr>
        <w:tabs>
          <w:tab w:val="num" w:pos="1944"/>
        </w:tabs>
        <w:ind w:left="1944" w:hanging="180"/>
      </w:pPr>
    </w:lvl>
    <w:lvl w:ilvl="3" w:tplc="593A8482">
      <w:start w:val="1"/>
      <w:numFmt w:val="decimal"/>
      <w:lvlText w:val="%4."/>
      <w:lvlJc w:val="left"/>
      <w:pPr>
        <w:tabs>
          <w:tab w:val="num" w:pos="2664"/>
        </w:tabs>
        <w:ind w:left="2664" w:hanging="360"/>
      </w:pPr>
    </w:lvl>
    <w:lvl w:ilvl="4" w:tplc="E3D065F0">
      <w:start w:val="1"/>
      <w:numFmt w:val="lowerLetter"/>
      <w:lvlText w:val="%5."/>
      <w:lvlJc w:val="left"/>
      <w:pPr>
        <w:tabs>
          <w:tab w:val="num" w:pos="3384"/>
        </w:tabs>
        <w:ind w:left="3384" w:hanging="360"/>
      </w:pPr>
    </w:lvl>
    <w:lvl w:ilvl="5" w:tplc="12048B7C">
      <w:start w:val="1"/>
      <w:numFmt w:val="lowerRoman"/>
      <w:lvlText w:val="%6."/>
      <w:lvlJc w:val="right"/>
      <w:pPr>
        <w:tabs>
          <w:tab w:val="num" w:pos="4104"/>
        </w:tabs>
        <w:ind w:left="4104" w:hanging="180"/>
      </w:pPr>
    </w:lvl>
    <w:lvl w:ilvl="6" w:tplc="A442F12C">
      <w:start w:val="1"/>
      <w:numFmt w:val="decimal"/>
      <w:lvlText w:val="%7."/>
      <w:lvlJc w:val="left"/>
      <w:pPr>
        <w:tabs>
          <w:tab w:val="num" w:pos="4824"/>
        </w:tabs>
        <w:ind w:left="4824" w:hanging="360"/>
      </w:pPr>
    </w:lvl>
    <w:lvl w:ilvl="7" w:tplc="DF4C1C82">
      <w:start w:val="1"/>
      <w:numFmt w:val="lowerLetter"/>
      <w:lvlText w:val="%8."/>
      <w:lvlJc w:val="left"/>
      <w:pPr>
        <w:tabs>
          <w:tab w:val="num" w:pos="5544"/>
        </w:tabs>
        <w:ind w:left="5544" w:hanging="360"/>
      </w:pPr>
    </w:lvl>
    <w:lvl w:ilvl="8" w:tplc="1486DE90">
      <w:start w:val="1"/>
      <w:numFmt w:val="lowerRoman"/>
      <w:lvlText w:val="%9."/>
      <w:lvlJc w:val="right"/>
      <w:pPr>
        <w:tabs>
          <w:tab w:val="num" w:pos="6264"/>
        </w:tabs>
        <w:ind w:left="6264" w:hanging="180"/>
      </w:pPr>
    </w:lvl>
  </w:abstractNum>
  <w:abstractNum w:abstractNumId="25" w15:restartNumberingAfterBreak="0">
    <w:nsid w:val="51EC0181"/>
    <w:multiLevelType w:val="hybridMultilevel"/>
    <w:tmpl w:val="CA000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07789"/>
    <w:multiLevelType w:val="singleLevel"/>
    <w:tmpl w:val="9488CE46"/>
    <w:lvl w:ilvl="0">
      <w:start w:val="1"/>
      <w:numFmt w:val="decimal"/>
      <w:lvlText w:val="%1."/>
      <w:lvlJc w:val="left"/>
      <w:pPr>
        <w:tabs>
          <w:tab w:val="num" w:pos="360"/>
        </w:tabs>
        <w:ind w:left="360" w:hanging="360"/>
      </w:pPr>
      <w:rPr>
        <w:b w:val="0"/>
        <w:sz w:val="22"/>
        <w:szCs w:val="22"/>
      </w:rPr>
    </w:lvl>
  </w:abstractNum>
  <w:abstractNum w:abstractNumId="27" w15:restartNumberingAfterBreak="0">
    <w:nsid w:val="571C1E69"/>
    <w:multiLevelType w:val="hybridMultilevel"/>
    <w:tmpl w:val="C486F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9F38B0"/>
    <w:multiLevelType w:val="hybridMultilevel"/>
    <w:tmpl w:val="CB96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87E5C"/>
    <w:multiLevelType w:val="hybridMultilevel"/>
    <w:tmpl w:val="91D87E90"/>
    <w:lvl w:ilvl="0" w:tplc="EB408248">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610E84"/>
    <w:multiLevelType w:val="hybridMultilevel"/>
    <w:tmpl w:val="5AC83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716B19"/>
    <w:multiLevelType w:val="hybridMultilevel"/>
    <w:tmpl w:val="BD2E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631A2B"/>
    <w:multiLevelType w:val="multilevel"/>
    <w:tmpl w:val="CDA015B0"/>
    <w:numStyleLink w:val="ListNumbers"/>
  </w:abstractNum>
  <w:abstractNum w:abstractNumId="33" w15:restartNumberingAfterBreak="0">
    <w:nsid w:val="6D757768"/>
    <w:multiLevelType w:val="hybridMultilevel"/>
    <w:tmpl w:val="4FB8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E15ED1"/>
    <w:multiLevelType w:val="hybridMultilevel"/>
    <w:tmpl w:val="EC60BCB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9004F2C"/>
    <w:multiLevelType w:val="hybridMultilevel"/>
    <w:tmpl w:val="389876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AF13940"/>
    <w:multiLevelType w:val="multilevel"/>
    <w:tmpl w:val="11203AA4"/>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E67778C"/>
    <w:multiLevelType w:val="hybridMultilevel"/>
    <w:tmpl w:val="1850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682C0E"/>
    <w:multiLevelType w:val="hybridMultilevel"/>
    <w:tmpl w:val="A060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AE1ACD"/>
    <w:multiLevelType w:val="hybridMultilevel"/>
    <w:tmpl w:val="CB1E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68546">
    <w:abstractNumId w:val="20"/>
  </w:num>
  <w:num w:numId="2" w16cid:durableId="520626412">
    <w:abstractNumId w:val="22"/>
  </w:num>
  <w:num w:numId="3" w16cid:durableId="1636174648">
    <w:abstractNumId w:val="17"/>
  </w:num>
  <w:num w:numId="4" w16cid:durableId="1451901851">
    <w:abstractNumId w:val="7"/>
  </w:num>
  <w:num w:numId="5" w16cid:durableId="1572156023">
    <w:abstractNumId w:val="13"/>
  </w:num>
  <w:num w:numId="6" w16cid:durableId="1842355046">
    <w:abstractNumId w:val="12"/>
  </w:num>
  <w:num w:numId="7" w16cid:durableId="1197960936">
    <w:abstractNumId w:val="1"/>
  </w:num>
  <w:num w:numId="8" w16cid:durableId="1660579692">
    <w:abstractNumId w:val="5"/>
  </w:num>
  <w:num w:numId="9" w16cid:durableId="1611159522">
    <w:abstractNumId w:val="26"/>
  </w:num>
  <w:num w:numId="10" w16cid:durableId="2066486789">
    <w:abstractNumId w:val="8"/>
  </w:num>
  <w:num w:numId="11" w16cid:durableId="1276402256">
    <w:abstractNumId w:val="24"/>
  </w:num>
  <w:num w:numId="12" w16cid:durableId="2071421315">
    <w:abstractNumId w:val="0"/>
  </w:num>
  <w:num w:numId="13" w16cid:durableId="96758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834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71343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091118">
    <w:abstractNumId w:val="37"/>
  </w:num>
  <w:num w:numId="17" w16cid:durableId="1498154126">
    <w:abstractNumId w:val="28"/>
  </w:num>
  <w:num w:numId="18" w16cid:durableId="1481654275">
    <w:abstractNumId w:val="33"/>
  </w:num>
  <w:num w:numId="19" w16cid:durableId="212422876">
    <w:abstractNumId w:val="9"/>
  </w:num>
  <w:num w:numId="20" w16cid:durableId="2027518854">
    <w:abstractNumId w:val="35"/>
  </w:num>
  <w:num w:numId="21" w16cid:durableId="570969185">
    <w:abstractNumId w:val="34"/>
  </w:num>
  <w:num w:numId="22" w16cid:durableId="134295149">
    <w:abstractNumId w:val="2"/>
  </w:num>
  <w:num w:numId="23" w16cid:durableId="1287811031">
    <w:abstractNumId w:val="6"/>
  </w:num>
  <w:num w:numId="24" w16cid:durableId="1697925404">
    <w:abstractNumId w:val="14"/>
  </w:num>
  <w:num w:numId="25" w16cid:durableId="1485587396">
    <w:abstractNumId w:val="16"/>
  </w:num>
  <w:num w:numId="26" w16cid:durableId="15737450">
    <w:abstractNumId w:val="19"/>
  </w:num>
  <w:num w:numId="27" w16cid:durableId="1342780135">
    <w:abstractNumId w:val="32"/>
  </w:num>
  <w:num w:numId="28" w16cid:durableId="220480653">
    <w:abstractNumId w:val="10"/>
  </w:num>
  <w:num w:numId="29" w16cid:durableId="2082869974">
    <w:abstractNumId w:val="21"/>
  </w:num>
  <w:num w:numId="30" w16cid:durableId="671568646">
    <w:abstractNumId w:val="7"/>
    <w:lvlOverride w:ilvl="0">
      <w:startOverride w:val="7"/>
    </w:lvlOverride>
  </w:num>
  <w:num w:numId="31" w16cid:durableId="1091201501">
    <w:abstractNumId w:val="18"/>
  </w:num>
  <w:num w:numId="32" w16cid:durableId="1542980861">
    <w:abstractNumId w:val="39"/>
  </w:num>
  <w:num w:numId="33" w16cid:durableId="1893417263">
    <w:abstractNumId w:val="25"/>
  </w:num>
  <w:num w:numId="34" w16cid:durableId="1944721340">
    <w:abstractNumId w:val="30"/>
  </w:num>
  <w:num w:numId="35" w16cid:durableId="320162238">
    <w:abstractNumId w:val="15"/>
  </w:num>
  <w:num w:numId="36" w16cid:durableId="696467946">
    <w:abstractNumId w:val="4"/>
  </w:num>
  <w:num w:numId="37" w16cid:durableId="1807043201">
    <w:abstractNumId w:val="36"/>
  </w:num>
  <w:num w:numId="38" w16cid:durableId="604848968">
    <w:abstractNumId w:val="31"/>
  </w:num>
  <w:num w:numId="39" w16cid:durableId="1176535008">
    <w:abstractNumId w:val="29"/>
  </w:num>
  <w:num w:numId="40" w16cid:durableId="1940984495">
    <w:abstractNumId w:val="23"/>
  </w:num>
  <w:num w:numId="41" w16cid:durableId="1938899345">
    <w:abstractNumId w:val="7"/>
  </w:num>
  <w:num w:numId="42" w16cid:durableId="2021349598">
    <w:abstractNumId w:val="3"/>
  </w:num>
  <w:num w:numId="43" w16cid:durableId="1768113171">
    <w:abstractNumId w:val="11"/>
  </w:num>
  <w:num w:numId="44" w16cid:durableId="86317355">
    <w:abstractNumId w:val="38"/>
  </w:num>
  <w:num w:numId="45" w16cid:durableId="198793210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81"/>
  <w:drawingGridVerticalSpacing w:val="181"/>
  <w:characterSpacingControl w:val="doNotCompress"/>
  <w:hdrShapeDefaults>
    <o:shapedefaults v:ext="edit" spidmax="2050"/>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FD"/>
    <w:rsid w:val="00000FC7"/>
    <w:rsid w:val="0000572E"/>
    <w:rsid w:val="00010BB2"/>
    <w:rsid w:val="00010F89"/>
    <w:rsid w:val="00013FC5"/>
    <w:rsid w:val="0001605A"/>
    <w:rsid w:val="0001631C"/>
    <w:rsid w:val="00026098"/>
    <w:rsid w:val="000277DE"/>
    <w:rsid w:val="000277F8"/>
    <w:rsid w:val="0003059B"/>
    <w:rsid w:val="00030747"/>
    <w:rsid w:val="0003093A"/>
    <w:rsid w:val="0003213F"/>
    <w:rsid w:val="0003217D"/>
    <w:rsid w:val="00032C7B"/>
    <w:rsid w:val="00035876"/>
    <w:rsid w:val="0004075A"/>
    <w:rsid w:val="00040B14"/>
    <w:rsid w:val="00041CE1"/>
    <w:rsid w:val="00051962"/>
    <w:rsid w:val="00052146"/>
    <w:rsid w:val="0005242F"/>
    <w:rsid w:val="0005440F"/>
    <w:rsid w:val="000561A8"/>
    <w:rsid w:val="00057488"/>
    <w:rsid w:val="00057AE7"/>
    <w:rsid w:val="000604F1"/>
    <w:rsid w:val="00064B11"/>
    <w:rsid w:val="00064BC6"/>
    <w:rsid w:val="00064E4D"/>
    <w:rsid w:val="000718FD"/>
    <w:rsid w:val="00072624"/>
    <w:rsid w:val="00073487"/>
    <w:rsid w:val="0007473F"/>
    <w:rsid w:val="0007648A"/>
    <w:rsid w:val="000776EC"/>
    <w:rsid w:val="000819FD"/>
    <w:rsid w:val="0008231C"/>
    <w:rsid w:val="00082711"/>
    <w:rsid w:val="0008569B"/>
    <w:rsid w:val="00085AE7"/>
    <w:rsid w:val="00086B95"/>
    <w:rsid w:val="00086E92"/>
    <w:rsid w:val="00087DD7"/>
    <w:rsid w:val="00093849"/>
    <w:rsid w:val="00095964"/>
    <w:rsid w:val="000A2A77"/>
    <w:rsid w:val="000A4081"/>
    <w:rsid w:val="000A67E5"/>
    <w:rsid w:val="000A6B54"/>
    <w:rsid w:val="000A7242"/>
    <w:rsid w:val="000B0DB0"/>
    <w:rsid w:val="000B322C"/>
    <w:rsid w:val="000B3802"/>
    <w:rsid w:val="000B3979"/>
    <w:rsid w:val="000B5E05"/>
    <w:rsid w:val="000B7D6F"/>
    <w:rsid w:val="000C4037"/>
    <w:rsid w:val="000C69A6"/>
    <w:rsid w:val="000C7631"/>
    <w:rsid w:val="000D0B8A"/>
    <w:rsid w:val="000D1324"/>
    <w:rsid w:val="000D4C54"/>
    <w:rsid w:val="000E03C0"/>
    <w:rsid w:val="000E2ECC"/>
    <w:rsid w:val="000F2983"/>
    <w:rsid w:val="000F63FB"/>
    <w:rsid w:val="00101928"/>
    <w:rsid w:val="001045A4"/>
    <w:rsid w:val="0010557A"/>
    <w:rsid w:val="00106B63"/>
    <w:rsid w:val="0011412C"/>
    <w:rsid w:val="00115D46"/>
    <w:rsid w:val="00120EBA"/>
    <w:rsid w:val="00121931"/>
    <w:rsid w:val="001223AA"/>
    <w:rsid w:val="00122516"/>
    <w:rsid w:val="00123AFD"/>
    <w:rsid w:val="00125BB6"/>
    <w:rsid w:val="00126AB8"/>
    <w:rsid w:val="00127046"/>
    <w:rsid w:val="00127CD9"/>
    <w:rsid w:val="00127F0E"/>
    <w:rsid w:val="0013244C"/>
    <w:rsid w:val="00133BB4"/>
    <w:rsid w:val="00134803"/>
    <w:rsid w:val="00134B1C"/>
    <w:rsid w:val="00136686"/>
    <w:rsid w:val="00136811"/>
    <w:rsid w:val="00136B25"/>
    <w:rsid w:val="00137260"/>
    <w:rsid w:val="00137306"/>
    <w:rsid w:val="00146470"/>
    <w:rsid w:val="001502EA"/>
    <w:rsid w:val="00155D2D"/>
    <w:rsid w:val="001613AD"/>
    <w:rsid w:val="001618B1"/>
    <w:rsid w:val="00162C6F"/>
    <w:rsid w:val="001650F5"/>
    <w:rsid w:val="00172E6F"/>
    <w:rsid w:val="00173126"/>
    <w:rsid w:val="00173609"/>
    <w:rsid w:val="001738CB"/>
    <w:rsid w:val="00174110"/>
    <w:rsid w:val="00177775"/>
    <w:rsid w:val="00177A47"/>
    <w:rsid w:val="0018476C"/>
    <w:rsid w:val="001861AB"/>
    <w:rsid w:val="00195AD8"/>
    <w:rsid w:val="00195C73"/>
    <w:rsid w:val="00196841"/>
    <w:rsid w:val="00197216"/>
    <w:rsid w:val="001A0E9D"/>
    <w:rsid w:val="001A160D"/>
    <w:rsid w:val="001A4E56"/>
    <w:rsid w:val="001B2A6E"/>
    <w:rsid w:val="001B4095"/>
    <w:rsid w:val="001C0713"/>
    <w:rsid w:val="001C138A"/>
    <w:rsid w:val="001C287C"/>
    <w:rsid w:val="001C3184"/>
    <w:rsid w:val="001D077C"/>
    <w:rsid w:val="001D1016"/>
    <w:rsid w:val="001D2777"/>
    <w:rsid w:val="001D3047"/>
    <w:rsid w:val="001E072D"/>
    <w:rsid w:val="001E1C45"/>
    <w:rsid w:val="001E30D7"/>
    <w:rsid w:val="001E6402"/>
    <w:rsid w:val="001E698E"/>
    <w:rsid w:val="00200942"/>
    <w:rsid w:val="00200D91"/>
    <w:rsid w:val="00203497"/>
    <w:rsid w:val="002069C2"/>
    <w:rsid w:val="0021029F"/>
    <w:rsid w:val="0021191D"/>
    <w:rsid w:val="00211A55"/>
    <w:rsid w:val="00211CC0"/>
    <w:rsid w:val="00211FE6"/>
    <w:rsid w:val="00215CC9"/>
    <w:rsid w:val="002167D3"/>
    <w:rsid w:val="0022165B"/>
    <w:rsid w:val="00222206"/>
    <w:rsid w:val="002246C8"/>
    <w:rsid w:val="00224710"/>
    <w:rsid w:val="00224B44"/>
    <w:rsid w:val="00227927"/>
    <w:rsid w:val="00227DD9"/>
    <w:rsid w:val="00230CD4"/>
    <w:rsid w:val="00231324"/>
    <w:rsid w:val="0023231A"/>
    <w:rsid w:val="00233643"/>
    <w:rsid w:val="00235B49"/>
    <w:rsid w:val="00236FB7"/>
    <w:rsid w:val="00237E1A"/>
    <w:rsid w:val="00240FE6"/>
    <w:rsid w:val="0024156E"/>
    <w:rsid w:val="002420A3"/>
    <w:rsid w:val="002421AD"/>
    <w:rsid w:val="002437D0"/>
    <w:rsid w:val="00243C7B"/>
    <w:rsid w:val="0024608A"/>
    <w:rsid w:val="00246112"/>
    <w:rsid w:val="0025139A"/>
    <w:rsid w:val="00253966"/>
    <w:rsid w:val="00255815"/>
    <w:rsid w:val="00262855"/>
    <w:rsid w:val="00264235"/>
    <w:rsid w:val="0028120B"/>
    <w:rsid w:val="002827C0"/>
    <w:rsid w:val="0028331F"/>
    <w:rsid w:val="002879A7"/>
    <w:rsid w:val="002935C3"/>
    <w:rsid w:val="00295077"/>
    <w:rsid w:val="002952BB"/>
    <w:rsid w:val="00296E61"/>
    <w:rsid w:val="002A04EF"/>
    <w:rsid w:val="002A0954"/>
    <w:rsid w:val="002A19DD"/>
    <w:rsid w:val="002A43D0"/>
    <w:rsid w:val="002A4C5B"/>
    <w:rsid w:val="002A69B2"/>
    <w:rsid w:val="002B2925"/>
    <w:rsid w:val="002B4CCA"/>
    <w:rsid w:val="002B6644"/>
    <w:rsid w:val="002C1FFA"/>
    <w:rsid w:val="002C27D0"/>
    <w:rsid w:val="002C41CF"/>
    <w:rsid w:val="002C5769"/>
    <w:rsid w:val="002C7951"/>
    <w:rsid w:val="002D154C"/>
    <w:rsid w:val="002D24B9"/>
    <w:rsid w:val="002D2698"/>
    <w:rsid w:val="002D518E"/>
    <w:rsid w:val="002D55AC"/>
    <w:rsid w:val="002D5B0A"/>
    <w:rsid w:val="002D7E08"/>
    <w:rsid w:val="002E1E1A"/>
    <w:rsid w:val="002E2340"/>
    <w:rsid w:val="002E2BB0"/>
    <w:rsid w:val="002E4375"/>
    <w:rsid w:val="002E6EAA"/>
    <w:rsid w:val="002F04DD"/>
    <w:rsid w:val="002F48F2"/>
    <w:rsid w:val="00304EC2"/>
    <w:rsid w:val="00306369"/>
    <w:rsid w:val="00310689"/>
    <w:rsid w:val="003129B3"/>
    <w:rsid w:val="00313F95"/>
    <w:rsid w:val="00314BED"/>
    <w:rsid w:val="00320A0B"/>
    <w:rsid w:val="00320A40"/>
    <w:rsid w:val="0032389F"/>
    <w:rsid w:val="003250D0"/>
    <w:rsid w:val="00325A5B"/>
    <w:rsid w:val="00326ADA"/>
    <w:rsid w:val="00326C9F"/>
    <w:rsid w:val="0033147D"/>
    <w:rsid w:val="0033548B"/>
    <w:rsid w:val="0033552D"/>
    <w:rsid w:val="00335603"/>
    <w:rsid w:val="00336430"/>
    <w:rsid w:val="00336C03"/>
    <w:rsid w:val="00347FD0"/>
    <w:rsid w:val="00352213"/>
    <w:rsid w:val="003526A2"/>
    <w:rsid w:val="003566C9"/>
    <w:rsid w:val="00357226"/>
    <w:rsid w:val="00363727"/>
    <w:rsid w:val="00364333"/>
    <w:rsid w:val="003650C3"/>
    <w:rsid w:val="00365159"/>
    <w:rsid w:val="00365827"/>
    <w:rsid w:val="00367357"/>
    <w:rsid w:val="00370777"/>
    <w:rsid w:val="003719EA"/>
    <w:rsid w:val="00371ED4"/>
    <w:rsid w:val="0037439A"/>
    <w:rsid w:val="00376EFB"/>
    <w:rsid w:val="00380365"/>
    <w:rsid w:val="0038143E"/>
    <w:rsid w:val="0038661E"/>
    <w:rsid w:val="00387099"/>
    <w:rsid w:val="003940DE"/>
    <w:rsid w:val="003948CA"/>
    <w:rsid w:val="00396DC8"/>
    <w:rsid w:val="0039732F"/>
    <w:rsid w:val="00397B4C"/>
    <w:rsid w:val="003A1343"/>
    <w:rsid w:val="003A7484"/>
    <w:rsid w:val="003B4677"/>
    <w:rsid w:val="003B75A2"/>
    <w:rsid w:val="003C224E"/>
    <w:rsid w:val="003C4C0D"/>
    <w:rsid w:val="003C73C5"/>
    <w:rsid w:val="003D3E72"/>
    <w:rsid w:val="003D727D"/>
    <w:rsid w:val="003E0769"/>
    <w:rsid w:val="003E556C"/>
    <w:rsid w:val="003E5D62"/>
    <w:rsid w:val="003F02A7"/>
    <w:rsid w:val="003F1A54"/>
    <w:rsid w:val="003F42EA"/>
    <w:rsid w:val="003F54DD"/>
    <w:rsid w:val="003F57B6"/>
    <w:rsid w:val="003F57EE"/>
    <w:rsid w:val="003F7AC9"/>
    <w:rsid w:val="004000B2"/>
    <w:rsid w:val="00400AFC"/>
    <w:rsid w:val="00400EFF"/>
    <w:rsid w:val="0040183B"/>
    <w:rsid w:val="004064B3"/>
    <w:rsid w:val="0041091F"/>
    <w:rsid w:val="004123E8"/>
    <w:rsid w:val="00412B82"/>
    <w:rsid w:val="00413636"/>
    <w:rsid w:val="0042324C"/>
    <w:rsid w:val="00423288"/>
    <w:rsid w:val="0042399E"/>
    <w:rsid w:val="0042546D"/>
    <w:rsid w:val="00427C6B"/>
    <w:rsid w:val="00431162"/>
    <w:rsid w:val="004315E5"/>
    <w:rsid w:val="004361B7"/>
    <w:rsid w:val="004370FF"/>
    <w:rsid w:val="00437C1A"/>
    <w:rsid w:val="0044091E"/>
    <w:rsid w:val="004429E4"/>
    <w:rsid w:val="0044347E"/>
    <w:rsid w:val="004461BF"/>
    <w:rsid w:val="0045043D"/>
    <w:rsid w:val="00450A6B"/>
    <w:rsid w:val="004532E1"/>
    <w:rsid w:val="004550D4"/>
    <w:rsid w:val="00455C5A"/>
    <w:rsid w:val="00456AAA"/>
    <w:rsid w:val="00462472"/>
    <w:rsid w:val="00465AA6"/>
    <w:rsid w:val="004673C8"/>
    <w:rsid w:val="004722D7"/>
    <w:rsid w:val="00472C02"/>
    <w:rsid w:val="00474781"/>
    <w:rsid w:val="00476318"/>
    <w:rsid w:val="00481244"/>
    <w:rsid w:val="004814E3"/>
    <w:rsid w:val="00483BAC"/>
    <w:rsid w:val="0048613F"/>
    <w:rsid w:val="00491DF5"/>
    <w:rsid w:val="004A1C91"/>
    <w:rsid w:val="004A626F"/>
    <w:rsid w:val="004A6A7B"/>
    <w:rsid w:val="004A6B60"/>
    <w:rsid w:val="004B0656"/>
    <w:rsid w:val="004B5258"/>
    <w:rsid w:val="004B7222"/>
    <w:rsid w:val="004B7D1B"/>
    <w:rsid w:val="004B7FF7"/>
    <w:rsid w:val="004C0006"/>
    <w:rsid w:val="004C0221"/>
    <w:rsid w:val="004C49E0"/>
    <w:rsid w:val="004C5133"/>
    <w:rsid w:val="004C79B4"/>
    <w:rsid w:val="004C7F72"/>
    <w:rsid w:val="004D1D3C"/>
    <w:rsid w:val="004D2E10"/>
    <w:rsid w:val="004D4663"/>
    <w:rsid w:val="004E026A"/>
    <w:rsid w:val="004F3111"/>
    <w:rsid w:val="004F4342"/>
    <w:rsid w:val="004F444E"/>
    <w:rsid w:val="004F5FD1"/>
    <w:rsid w:val="00500358"/>
    <w:rsid w:val="005036F0"/>
    <w:rsid w:val="0050375B"/>
    <w:rsid w:val="005044F4"/>
    <w:rsid w:val="0051225B"/>
    <w:rsid w:val="00514525"/>
    <w:rsid w:val="005160D9"/>
    <w:rsid w:val="00523C52"/>
    <w:rsid w:val="00525ECB"/>
    <w:rsid w:val="00527AC1"/>
    <w:rsid w:val="00532005"/>
    <w:rsid w:val="00533D38"/>
    <w:rsid w:val="005344DB"/>
    <w:rsid w:val="005364E4"/>
    <w:rsid w:val="00540816"/>
    <w:rsid w:val="00540E75"/>
    <w:rsid w:val="00542641"/>
    <w:rsid w:val="00542857"/>
    <w:rsid w:val="00542A5A"/>
    <w:rsid w:val="005434BE"/>
    <w:rsid w:val="00544450"/>
    <w:rsid w:val="00545697"/>
    <w:rsid w:val="0054702D"/>
    <w:rsid w:val="005565FC"/>
    <w:rsid w:val="00556B19"/>
    <w:rsid w:val="00567938"/>
    <w:rsid w:val="00567A71"/>
    <w:rsid w:val="00570CA3"/>
    <w:rsid w:val="00571086"/>
    <w:rsid w:val="00571C34"/>
    <w:rsid w:val="00573862"/>
    <w:rsid w:val="005779B7"/>
    <w:rsid w:val="00582A7C"/>
    <w:rsid w:val="00591105"/>
    <w:rsid w:val="00591EE0"/>
    <w:rsid w:val="00592DE9"/>
    <w:rsid w:val="0059478A"/>
    <w:rsid w:val="005A0ED7"/>
    <w:rsid w:val="005A468C"/>
    <w:rsid w:val="005B09FB"/>
    <w:rsid w:val="005B2F03"/>
    <w:rsid w:val="005B3879"/>
    <w:rsid w:val="005C123C"/>
    <w:rsid w:val="005C2BAE"/>
    <w:rsid w:val="005C4CDC"/>
    <w:rsid w:val="005C6340"/>
    <w:rsid w:val="005D172E"/>
    <w:rsid w:val="005D26A4"/>
    <w:rsid w:val="005D340B"/>
    <w:rsid w:val="005D346F"/>
    <w:rsid w:val="005D577A"/>
    <w:rsid w:val="005E0A35"/>
    <w:rsid w:val="005E0DA7"/>
    <w:rsid w:val="005E25C4"/>
    <w:rsid w:val="005E2FA3"/>
    <w:rsid w:val="005F0373"/>
    <w:rsid w:val="005F2312"/>
    <w:rsid w:val="005F2FD7"/>
    <w:rsid w:val="005F55F5"/>
    <w:rsid w:val="00602244"/>
    <w:rsid w:val="00602D17"/>
    <w:rsid w:val="00602EB4"/>
    <w:rsid w:val="00602EF4"/>
    <w:rsid w:val="0060638B"/>
    <w:rsid w:val="00607E79"/>
    <w:rsid w:val="00612071"/>
    <w:rsid w:val="006144D6"/>
    <w:rsid w:val="00615A0C"/>
    <w:rsid w:val="00620DAA"/>
    <w:rsid w:val="00623748"/>
    <w:rsid w:val="006239A2"/>
    <w:rsid w:val="00624F7D"/>
    <w:rsid w:val="00625CF2"/>
    <w:rsid w:val="00626853"/>
    <w:rsid w:val="006274B8"/>
    <w:rsid w:val="00631799"/>
    <w:rsid w:val="006347FD"/>
    <w:rsid w:val="0063648B"/>
    <w:rsid w:val="006404AF"/>
    <w:rsid w:val="0064185A"/>
    <w:rsid w:val="0064453D"/>
    <w:rsid w:val="00654147"/>
    <w:rsid w:val="00655533"/>
    <w:rsid w:val="006557F0"/>
    <w:rsid w:val="00664225"/>
    <w:rsid w:val="00666EA1"/>
    <w:rsid w:val="006710B8"/>
    <w:rsid w:val="006806BF"/>
    <w:rsid w:val="00680819"/>
    <w:rsid w:val="006811B0"/>
    <w:rsid w:val="0068173E"/>
    <w:rsid w:val="0068298D"/>
    <w:rsid w:val="00686276"/>
    <w:rsid w:val="00686DBA"/>
    <w:rsid w:val="00686FB6"/>
    <w:rsid w:val="00695A11"/>
    <w:rsid w:val="00695F99"/>
    <w:rsid w:val="006A0661"/>
    <w:rsid w:val="006A1C9B"/>
    <w:rsid w:val="006A24A5"/>
    <w:rsid w:val="006A3291"/>
    <w:rsid w:val="006A3DBE"/>
    <w:rsid w:val="006A4233"/>
    <w:rsid w:val="006B15DA"/>
    <w:rsid w:val="006B2C72"/>
    <w:rsid w:val="006B587E"/>
    <w:rsid w:val="006B7EE1"/>
    <w:rsid w:val="006C3284"/>
    <w:rsid w:val="006C58E4"/>
    <w:rsid w:val="006C68B7"/>
    <w:rsid w:val="006C6B2F"/>
    <w:rsid w:val="006E1C89"/>
    <w:rsid w:val="006E4754"/>
    <w:rsid w:val="006F0B9E"/>
    <w:rsid w:val="006F0DDF"/>
    <w:rsid w:val="006F11A6"/>
    <w:rsid w:val="006F39CE"/>
    <w:rsid w:val="006F550A"/>
    <w:rsid w:val="006F7049"/>
    <w:rsid w:val="007040CA"/>
    <w:rsid w:val="00711334"/>
    <w:rsid w:val="007132A4"/>
    <w:rsid w:val="00713F14"/>
    <w:rsid w:val="007145D1"/>
    <w:rsid w:val="00715DA0"/>
    <w:rsid w:val="007163E0"/>
    <w:rsid w:val="00716700"/>
    <w:rsid w:val="00722463"/>
    <w:rsid w:val="00723292"/>
    <w:rsid w:val="00730C5F"/>
    <w:rsid w:val="00733AED"/>
    <w:rsid w:val="00737FA9"/>
    <w:rsid w:val="007424B2"/>
    <w:rsid w:val="0074256D"/>
    <w:rsid w:val="0074323C"/>
    <w:rsid w:val="00745719"/>
    <w:rsid w:val="00751648"/>
    <w:rsid w:val="00753DC3"/>
    <w:rsid w:val="007542FA"/>
    <w:rsid w:val="00754F0F"/>
    <w:rsid w:val="00755971"/>
    <w:rsid w:val="00755DFE"/>
    <w:rsid w:val="00757E04"/>
    <w:rsid w:val="00762873"/>
    <w:rsid w:val="007629D8"/>
    <w:rsid w:val="00762B87"/>
    <w:rsid w:val="0076360A"/>
    <w:rsid w:val="00764368"/>
    <w:rsid w:val="00770FEE"/>
    <w:rsid w:val="00772051"/>
    <w:rsid w:val="00772C9A"/>
    <w:rsid w:val="00772D7F"/>
    <w:rsid w:val="00777B57"/>
    <w:rsid w:val="00781DC9"/>
    <w:rsid w:val="00784AFA"/>
    <w:rsid w:val="00786037"/>
    <w:rsid w:val="00793B7F"/>
    <w:rsid w:val="00793C90"/>
    <w:rsid w:val="007974A8"/>
    <w:rsid w:val="007A194F"/>
    <w:rsid w:val="007A23E8"/>
    <w:rsid w:val="007A2BF6"/>
    <w:rsid w:val="007A2E6C"/>
    <w:rsid w:val="007A3625"/>
    <w:rsid w:val="007A3CFA"/>
    <w:rsid w:val="007A435C"/>
    <w:rsid w:val="007A6BDC"/>
    <w:rsid w:val="007A6BF1"/>
    <w:rsid w:val="007B0F9C"/>
    <w:rsid w:val="007B4D49"/>
    <w:rsid w:val="007C1221"/>
    <w:rsid w:val="007C4B50"/>
    <w:rsid w:val="007C4D7D"/>
    <w:rsid w:val="007C5064"/>
    <w:rsid w:val="007D0AE5"/>
    <w:rsid w:val="007D2BF5"/>
    <w:rsid w:val="007D3011"/>
    <w:rsid w:val="007D4581"/>
    <w:rsid w:val="007D4FA5"/>
    <w:rsid w:val="007D5197"/>
    <w:rsid w:val="007D7D4B"/>
    <w:rsid w:val="007E0B6A"/>
    <w:rsid w:val="007E0BB0"/>
    <w:rsid w:val="007E1E14"/>
    <w:rsid w:val="007E4B93"/>
    <w:rsid w:val="007F0CEC"/>
    <w:rsid w:val="007F637A"/>
    <w:rsid w:val="007F63FC"/>
    <w:rsid w:val="00801EDB"/>
    <w:rsid w:val="00804052"/>
    <w:rsid w:val="008065C2"/>
    <w:rsid w:val="00806633"/>
    <w:rsid w:val="008131F3"/>
    <w:rsid w:val="008142B2"/>
    <w:rsid w:val="00814AAF"/>
    <w:rsid w:val="008153BD"/>
    <w:rsid w:val="00815FA8"/>
    <w:rsid w:val="00816691"/>
    <w:rsid w:val="00817B6C"/>
    <w:rsid w:val="00822551"/>
    <w:rsid w:val="00823480"/>
    <w:rsid w:val="008306B9"/>
    <w:rsid w:val="00830959"/>
    <w:rsid w:val="0083250E"/>
    <w:rsid w:val="0083278E"/>
    <w:rsid w:val="008335B2"/>
    <w:rsid w:val="008365E2"/>
    <w:rsid w:val="00837BE9"/>
    <w:rsid w:val="008424FD"/>
    <w:rsid w:val="008432A4"/>
    <w:rsid w:val="0084531A"/>
    <w:rsid w:val="00852833"/>
    <w:rsid w:val="008667BC"/>
    <w:rsid w:val="00870F79"/>
    <w:rsid w:val="00871302"/>
    <w:rsid w:val="00872CF6"/>
    <w:rsid w:val="008745F5"/>
    <w:rsid w:val="008757E1"/>
    <w:rsid w:val="00877DA0"/>
    <w:rsid w:val="0088083B"/>
    <w:rsid w:val="0088156E"/>
    <w:rsid w:val="00883B0F"/>
    <w:rsid w:val="008850AA"/>
    <w:rsid w:val="00887474"/>
    <w:rsid w:val="0089337F"/>
    <w:rsid w:val="00893577"/>
    <w:rsid w:val="008962F6"/>
    <w:rsid w:val="008A1EF0"/>
    <w:rsid w:val="008A3B23"/>
    <w:rsid w:val="008A5E15"/>
    <w:rsid w:val="008B06C2"/>
    <w:rsid w:val="008B40CB"/>
    <w:rsid w:val="008B5910"/>
    <w:rsid w:val="008B5D0A"/>
    <w:rsid w:val="008B6D60"/>
    <w:rsid w:val="008C1F8A"/>
    <w:rsid w:val="008C51D9"/>
    <w:rsid w:val="008C7299"/>
    <w:rsid w:val="008D2732"/>
    <w:rsid w:val="008D2A45"/>
    <w:rsid w:val="008D71D9"/>
    <w:rsid w:val="008D7C26"/>
    <w:rsid w:val="008E6613"/>
    <w:rsid w:val="008E716A"/>
    <w:rsid w:val="008F0D5F"/>
    <w:rsid w:val="008F1339"/>
    <w:rsid w:val="008F6140"/>
    <w:rsid w:val="0090148E"/>
    <w:rsid w:val="00902608"/>
    <w:rsid w:val="00903CBF"/>
    <w:rsid w:val="00904231"/>
    <w:rsid w:val="00907CB4"/>
    <w:rsid w:val="009119DA"/>
    <w:rsid w:val="00911DD8"/>
    <w:rsid w:val="00912A05"/>
    <w:rsid w:val="00915D8E"/>
    <w:rsid w:val="00915FAF"/>
    <w:rsid w:val="00916F49"/>
    <w:rsid w:val="00921F9B"/>
    <w:rsid w:val="00922068"/>
    <w:rsid w:val="00922E0C"/>
    <w:rsid w:val="00924318"/>
    <w:rsid w:val="0092660C"/>
    <w:rsid w:val="00930DB9"/>
    <w:rsid w:val="00931168"/>
    <w:rsid w:val="00934A83"/>
    <w:rsid w:val="00937177"/>
    <w:rsid w:val="009412CE"/>
    <w:rsid w:val="00945FA1"/>
    <w:rsid w:val="0094797D"/>
    <w:rsid w:val="0095057B"/>
    <w:rsid w:val="009546AB"/>
    <w:rsid w:val="009569D9"/>
    <w:rsid w:val="009639CC"/>
    <w:rsid w:val="00963D6E"/>
    <w:rsid w:val="009642BD"/>
    <w:rsid w:val="00965652"/>
    <w:rsid w:val="00966229"/>
    <w:rsid w:val="009666EA"/>
    <w:rsid w:val="00967082"/>
    <w:rsid w:val="00967EB5"/>
    <w:rsid w:val="009766C2"/>
    <w:rsid w:val="009803F5"/>
    <w:rsid w:val="009829F9"/>
    <w:rsid w:val="009846E3"/>
    <w:rsid w:val="009861B6"/>
    <w:rsid w:val="00986E32"/>
    <w:rsid w:val="00990869"/>
    <w:rsid w:val="0099510D"/>
    <w:rsid w:val="009A10B9"/>
    <w:rsid w:val="009A682E"/>
    <w:rsid w:val="009B1174"/>
    <w:rsid w:val="009B7A82"/>
    <w:rsid w:val="009C131D"/>
    <w:rsid w:val="009C5D40"/>
    <w:rsid w:val="009C66CE"/>
    <w:rsid w:val="009D1C76"/>
    <w:rsid w:val="009D2F4A"/>
    <w:rsid w:val="009E0D0D"/>
    <w:rsid w:val="009E2030"/>
    <w:rsid w:val="009E3942"/>
    <w:rsid w:val="009E4F06"/>
    <w:rsid w:val="009F595B"/>
    <w:rsid w:val="009F7D5E"/>
    <w:rsid w:val="009F7E20"/>
    <w:rsid w:val="00A000DD"/>
    <w:rsid w:val="00A0078A"/>
    <w:rsid w:val="00A01449"/>
    <w:rsid w:val="00A01A64"/>
    <w:rsid w:val="00A030A6"/>
    <w:rsid w:val="00A06838"/>
    <w:rsid w:val="00A13A09"/>
    <w:rsid w:val="00A15C20"/>
    <w:rsid w:val="00A20540"/>
    <w:rsid w:val="00A237DB"/>
    <w:rsid w:val="00A25444"/>
    <w:rsid w:val="00A256A0"/>
    <w:rsid w:val="00A26246"/>
    <w:rsid w:val="00A339EE"/>
    <w:rsid w:val="00A3435B"/>
    <w:rsid w:val="00A34A0D"/>
    <w:rsid w:val="00A36816"/>
    <w:rsid w:val="00A36C9E"/>
    <w:rsid w:val="00A36D21"/>
    <w:rsid w:val="00A37F86"/>
    <w:rsid w:val="00A40B26"/>
    <w:rsid w:val="00A44148"/>
    <w:rsid w:val="00A45152"/>
    <w:rsid w:val="00A458F5"/>
    <w:rsid w:val="00A5103D"/>
    <w:rsid w:val="00A53AA1"/>
    <w:rsid w:val="00A547AC"/>
    <w:rsid w:val="00A630AA"/>
    <w:rsid w:val="00A63718"/>
    <w:rsid w:val="00A65697"/>
    <w:rsid w:val="00A66A49"/>
    <w:rsid w:val="00A66BEB"/>
    <w:rsid w:val="00A72448"/>
    <w:rsid w:val="00A77008"/>
    <w:rsid w:val="00A77F58"/>
    <w:rsid w:val="00A80187"/>
    <w:rsid w:val="00A82791"/>
    <w:rsid w:val="00A82D37"/>
    <w:rsid w:val="00A84224"/>
    <w:rsid w:val="00A85025"/>
    <w:rsid w:val="00A8618D"/>
    <w:rsid w:val="00A86F8F"/>
    <w:rsid w:val="00A940B2"/>
    <w:rsid w:val="00AA163B"/>
    <w:rsid w:val="00AA1DF4"/>
    <w:rsid w:val="00AA45F1"/>
    <w:rsid w:val="00AA6188"/>
    <w:rsid w:val="00AB0087"/>
    <w:rsid w:val="00AC02B8"/>
    <w:rsid w:val="00AC034C"/>
    <w:rsid w:val="00AC1DA7"/>
    <w:rsid w:val="00AC34DD"/>
    <w:rsid w:val="00AC66EC"/>
    <w:rsid w:val="00AC69FE"/>
    <w:rsid w:val="00AD0F45"/>
    <w:rsid w:val="00AD1391"/>
    <w:rsid w:val="00AD15BA"/>
    <w:rsid w:val="00AD78BC"/>
    <w:rsid w:val="00AE59D2"/>
    <w:rsid w:val="00AE758F"/>
    <w:rsid w:val="00AF0522"/>
    <w:rsid w:val="00AF444E"/>
    <w:rsid w:val="00AF5202"/>
    <w:rsid w:val="00B00D5B"/>
    <w:rsid w:val="00B0242B"/>
    <w:rsid w:val="00B02FD4"/>
    <w:rsid w:val="00B0784C"/>
    <w:rsid w:val="00B111D6"/>
    <w:rsid w:val="00B11C35"/>
    <w:rsid w:val="00B1226B"/>
    <w:rsid w:val="00B12F10"/>
    <w:rsid w:val="00B16F36"/>
    <w:rsid w:val="00B20D28"/>
    <w:rsid w:val="00B221B5"/>
    <w:rsid w:val="00B23093"/>
    <w:rsid w:val="00B24D82"/>
    <w:rsid w:val="00B24E99"/>
    <w:rsid w:val="00B306E3"/>
    <w:rsid w:val="00B30C90"/>
    <w:rsid w:val="00B31C2B"/>
    <w:rsid w:val="00B32D70"/>
    <w:rsid w:val="00B33060"/>
    <w:rsid w:val="00B33F10"/>
    <w:rsid w:val="00B36699"/>
    <w:rsid w:val="00B3781A"/>
    <w:rsid w:val="00B43162"/>
    <w:rsid w:val="00B437C6"/>
    <w:rsid w:val="00B4720D"/>
    <w:rsid w:val="00B50413"/>
    <w:rsid w:val="00B51889"/>
    <w:rsid w:val="00B53362"/>
    <w:rsid w:val="00B57FC6"/>
    <w:rsid w:val="00B618E7"/>
    <w:rsid w:val="00B62837"/>
    <w:rsid w:val="00B630E2"/>
    <w:rsid w:val="00B642AA"/>
    <w:rsid w:val="00B644C8"/>
    <w:rsid w:val="00B66E54"/>
    <w:rsid w:val="00B7118A"/>
    <w:rsid w:val="00B75251"/>
    <w:rsid w:val="00B75378"/>
    <w:rsid w:val="00B824FD"/>
    <w:rsid w:val="00B902F9"/>
    <w:rsid w:val="00B90389"/>
    <w:rsid w:val="00BA05B2"/>
    <w:rsid w:val="00BA0D57"/>
    <w:rsid w:val="00BB011C"/>
    <w:rsid w:val="00BB26ED"/>
    <w:rsid w:val="00BB36D0"/>
    <w:rsid w:val="00BB408B"/>
    <w:rsid w:val="00BB43E9"/>
    <w:rsid w:val="00BC07DF"/>
    <w:rsid w:val="00BC10EC"/>
    <w:rsid w:val="00BC496E"/>
    <w:rsid w:val="00BC4C3C"/>
    <w:rsid w:val="00BC564F"/>
    <w:rsid w:val="00BD187B"/>
    <w:rsid w:val="00BD4E0A"/>
    <w:rsid w:val="00BD75F9"/>
    <w:rsid w:val="00BE03D5"/>
    <w:rsid w:val="00BE19C0"/>
    <w:rsid w:val="00BE2266"/>
    <w:rsid w:val="00BE4828"/>
    <w:rsid w:val="00BE5BB3"/>
    <w:rsid w:val="00BE6815"/>
    <w:rsid w:val="00BE69B8"/>
    <w:rsid w:val="00BE7C47"/>
    <w:rsid w:val="00BF01FE"/>
    <w:rsid w:val="00BF3718"/>
    <w:rsid w:val="00BF3FD3"/>
    <w:rsid w:val="00BF62A6"/>
    <w:rsid w:val="00BF68B6"/>
    <w:rsid w:val="00BF7BA9"/>
    <w:rsid w:val="00C0148E"/>
    <w:rsid w:val="00C042E6"/>
    <w:rsid w:val="00C04A9F"/>
    <w:rsid w:val="00C04D9C"/>
    <w:rsid w:val="00C121FF"/>
    <w:rsid w:val="00C1571A"/>
    <w:rsid w:val="00C17A99"/>
    <w:rsid w:val="00C20CD0"/>
    <w:rsid w:val="00C2292C"/>
    <w:rsid w:val="00C24315"/>
    <w:rsid w:val="00C24B81"/>
    <w:rsid w:val="00C251AC"/>
    <w:rsid w:val="00C2648F"/>
    <w:rsid w:val="00C27844"/>
    <w:rsid w:val="00C35F6B"/>
    <w:rsid w:val="00C36139"/>
    <w:rsid w:val="00C368E7"/>
    <w:rsid w:val="00C43B5D"/>
    <w:rsid w:val="00C44C11"/>
    <w:rsid w:val="00C45A15"/>
    <w:rsid w:val="00C45CAD"/>
    <w:rsid w:val="00C45D1E"/>
    <w:rsid w:val="00C545B1"/>
    <w:rsid w:val="00C559EB"/>
    <w:rsid w:val="00C56C94"/>
    <w:rsid w:val="00C5767D"/>
    <w:rsid w:val="00C578A4"/>
    <w:rsid w:val="00C614DB"/>
    <w:rsid w:val="00C61BEF"/>
    <w:rsid w:val="00C704BD"/>
    <w:rsid w:val="00C766C0"/>
    <w:rsid w:val="00C85AA9"/>
    <w:rsid w:val="00C85F74"/>
    <w:rsid w:val="00C863AD"/>
    <w:rsid w:val="00C929BB"/>
    <w:rsid w:val="00C94007"/>
    <w:rsid w:val="00C9435E"/>
    <w:rsid w:val="00CA50A7"/>
    <w:rsid w:val="00CA61D3"/>
    <w:rsid w:val="00CA656E"/>
    <w:rsid w:val="00CA7420"/>
    <w:rsid w:val="00CA7C32"/>
    <w:rsid w:val="00CB41B8"/>
    <w:rsid w:val="00CB5905"/>
    <w:rsid w:val="00CB5E92"/>
    <w:rsid w:val="00CB62CE"/>
    <w:rsid w:val="00CB7C04"/>
    <w:rsid w:val="00CC0497"/>
    <w:rsid w:val="00CC0BCE"/>
    <w:rsid w:val="00CC212A"/>
    <w:rsid w:val="00CC34C1"/>
    <w:rsid w:val="00CC443F"/>
    <w:rsid w:val="00CC46B8"/>
    <w:rsid w:val="00CC5FD9"/>
    <w:rsid w:val="00CC79D3"/>
    <w:rsid w:val="00CC7F94"/>
    <w:rsid w:val="00CD0B9D"/>
    <w:rsid w:val="00CD4E83"/>
    <w:rsid w:val="00CD65D5"/>
    <w:rsid w:val="00CE2162"/>
    <w:rsid w:val="00CE3EA1"/>
    <w:rsid w:val="00CE3FAD"/>
    <w:rsid w:val="00CE7508"/>
    <w:rsid w:val="00CF04B0"/>
    <w:rsid w:val="00CF198F"/>
    <w:rsid w:val="00CF26EF"/>
    <w:rsid w:val="00CF2D32"/>
    <w:rsid w:val="00CF3FA3"/>
    <w:rsid w:val="00D010D2"/>
    <w:rsid w:val="00D0322A"/>
    <w:rsid w:val="00D07C7A"/>
    <w:rsid w:val="00D1085A"/>
    <w:rsid w:val="00D133FD"/>
    <w:rsid w:val="00D15EC8"/>
    <w:rsid w:val="00D205C6"/>
    <w:rsid w:val="00D2116F"/>
    <w:rsid w:val="00D22B16"/>
    <w:rsid w:val="00D236B9"/>
    <w:rsid w:val="00D24C2A"/>
    <w:rsid w:val="00D41B45"/>
    <w:rsid w:val="00D4227B"/>
    <w:rsid w:val="00D44BD0"/>
    <w:rsid w:val="00D46B50"/>
    <w:rsid w:val="00D507C5"/>
    <w:rsid w:val="00D53FF1"/>
    <w:rsid w:val="00D57B89"/>
    <w:rsid w:val="00D62A47"/>
    <w:rsid w:val="00D665EA"/>
    <w:rsid w:val="00D67E1D"/>
    <w:rsid w:val="00D700E0"/>
    <w:rsid w:val="00D70F43"/>
    <w:rsid w:val="00D75E8A"/>
    <w:rsid w:val="00D77314"/>
    <w:rsid w:val="00D80745"/>
    <w:rsid w:val="00D8092E"/>
    <w:rsid w:val="00D830E9"/>
    <w:rsid w:val="00D831A5"/>
    <w:rsid w:val="00D8338D"/>
    <w:rsid w:val="00D83E3D"/>
    <w:rsid w:val="00D8445B"/>
    <w:rsid w:val="00D862EC"/>
    <w:rsid w:val="00D878E2"/>
    <w:rsid w:val="00D92962"/>
    <w:rsid w:val="00D93CC9"/>
    <w:rsid w:val="00D93D3C"/>
    <w:rsid w:val="00DA0280"/>
    <w:rsid w:val="00DA0A89"/>
    <w:rsid w:val="00DA39E3"/>
    <w:rsid w:val="00DA4367"/>
    <w:rsid w:val="00DA6B72"/>
    <w:rsid w:val="00DA7390"/>
    <w:rsid w:val="00DB0129"/>
    <w:rsid w:val="00DB2A55"/>
    <w:rsid w:val="00DB2CAD"/>
    <w:rsid w:val="00DB38F1"/>
    <w:rsid w:val="00DB4CF4"/>
    <w:rsid w:val="00DB5652"/>
    <w:rsid w:val="00DB6102"/>
    <w:rsid w:val="00DB7BB5"/>
    <w:rsid w:val="00DC1CA9"/>
    <w:rsid w:val="00DC1CFD"/>
    <w:rsid w:val="00DC240B"/>
    <w:rsid w:val="00DC2B5F"/>
    <w:rsid w:val="00DC40E2"/>
    <w:rsid w:val="00DC40EE"/>
    <w:rsid w:val="00DC5B02"/>
    <w:rsid w:val="00DC6B0E"/>
    <w:rsid w:val="00DC790B"/>
    <w:rsid w:val="00DC7C2A"/>
    <w:rsid w:val="00DD6413"/>
    <w:rsid w:val="00DE5C7A"/>
    <w:rsid w:val="00DF0D6A"/>
    <w:rsid w:val="00DF13AD"/>
    <w:rsid w:val="00DF152C"/>
    <w:rsid w:val="00DF1A23"/>
    <w:rsid w:val="00DF3C38"/>
    <w:rsid w:val="00DF3C86"/>
    <w:rsid w:val="00E02BF4"/>
    <w:rsid w:val="00E1482F"/>
    <w:rsid w:val="00E15632"/>
    <w:rsid w:val="00E22B0E"/>
    <w:rsid w:val="00E22D03"/>
    <w:rsid w:val="00E24050"/>
    <w:rsid w:val="00E253FF"/>
    <w:rsid w:val="00E27448"/>
    <w:rsid w:val="00E33F4B"/>
    <w:rsid w:val="00E3772B"/>
    <w:rsid w:val="00E37B02"/>
    <w:rsid w:val="00E40FA7"/>
    <w:rsid w:val="00E41644"/>
    <w:rsid w:val="00E41744"/>
    <w:rsid w:val="00E42AB1"/>
    <w:rsid w:val="00E506C9"/>
    <w:rsid w:val="00E5091B"/>
    <w:rsid w:val="00E52B20"/>
    <w:rsid w:val="00E53615"/>
    <w:rsid w:val="00E56382"/>
    <w:rsid w:val="00E600F7"/>
    <w:rsid w:val="00E602CB"/>
    <w:rsid w:val="00E647FA"/>
    <w:rsid w:val="00E67A18"/>
    <w:rsid w:val="00E709E8"/>
    <w:rsid w:val="00E70A99"/>
    <w:rsid w:val="00E71DF0"/>
    <w:rsid w:val="00E7362B"/>
    <w:rsid w:val="00E7453A"/>
    <w:rsid w:val="00E75372"/>
    <w:rsid w:val="00E76070"/>
    <w:rsid w:val="00E823AF"/>
    <w:rsid w:val="00E833DA"/>
    <w:rsid w:val="00E841DF"/>
    <w:rsid w:val="00E84973"/>
    <w:rsid w:val="00E9229C"/>
    <w:rsid w:val="00E955A4"/>
    <w:rsid w:val="00EA00A2"/>
    <w:rsid w:val="00EA00A4"/>
    <w:rsid w:val="00EA0921"/>
    <w:rsid w:val="00EA2572"/>
    <w:rsid w:val="00EA3626"/>
    <w:rsid w:val="00EA3680"/>
    <w:rsid w:val="00EA4DCC"/>
    <w:rsid w:val="00EA5879"/>
    <w:rsid w:val="00EA65B8"/>
    <w:rsid w:val="00EA7F3F"/>
    <w:rsid w:val="00EB271B"/>
    <w:rsid w:val="00EB43AE"/>
    <w:rsid w:val="00EB4C93"/>
    <w:rsid w:val="00EB6DB8"/>
    <w:rsid w:val="00EB7201"/>
    <w:rsid w:val="00EC00A4"/>
    <w:rsid w:val="00EC4FD8"/>
    <w:rsid w:val="00EC6309"/>
    <w:rsid w:val="00EC712F"/>
    <w:rsid w:val="00ED1763"/>
    <w:rsid w:val="00ED4819"/>
    <w:rsid w:val="00ED492D"/>
    <w:rsid w:val="00ED5B2E"/>
    <w:rsid w:val="00ED6FEA"/>
    <w:rsid w:val="00ED7A54"/>
    <w:rsid w:val="00ED7BD3"/>
    <w:rsid w:val="00EE13FE"/>
    <w:rsid w:val="00EE1482"/>
    <w:rsid w:val="00EE22BE"/>
    <w:rsid w:val="00EE3B15"/>
    <w:rsid w:val="00EE4129"/>
    <w:rsid w:val="00EE6750"/>
    <w:rsid w:val="00EE79AB"/>
    <w:rsid w:val="00EF0745"/>
    <w:rsid w:val="00EF2C66"/>
    <w:rsid w:val="00EF3C4F"/>
    <w:rsid w:val="00EF594D"/>
    <w:rsid w:val="00EF7832"/>
    <w:rsid w:val="00EF7C8F"/>
    <w:rsid w:val="00F052C6"/>
    <w:rsid w:val="00F05C65"/>
    <w:rsid w:val="00F068B7"/>
    <w:rsid w:val="00F1003C"/>
    <w:rsid w:val="00F10905"/>
    <w:rsid w:val="00F12092"/>
    <w:rsid w:val="00F151DD"/>
    <w:rsid w:val="00F167E2"/>
    <w:rsid w:val="00F176E3"/>
    <w:rsid w:val="00F20623"/>
    <w:rsid w:val="00F21946"/>
    <w:rsid w:val="00F21C50"/>
    <w:rsid w:val="00F23ED9"/>
    <w:rsid w:val="00F25C7C"/>
    <w:rsid w:val="00F2676C"/>
    <w:rsid w:val="00F270CF"/>
    <w:rsid w:val="00F3092A"/>
    <w:rsid w:val="00F3154A"/>
    <w:rsid w:val="00F32652"/>
    <w:rsid w:val="00F330CA"/>
    <w:rsid w:val="00F3487F"/>
    <w:rsid w:val="00F34DAF"/>
    <w:rsid w:val="00F44777"/>
    <w:rsid w:val="00F45003"/>
    <w:rsid w:val="00F463CB"/>
    <w:rsid w:val="00F516E5"/>
    <w:rsid w:val="00F5262B"/>
    <w:rsid w:val="00F6177F"/>
    <w:rsid w:val="00F61F51"/>
    <w:rsid w:val="00F6445F"/>
    <w:rsid w:val="00F647BB"/>
    <w:rsid w:val="00F7358C"/>
    <w:rsid w:val="00F73D41"/>
    <w:rsid w:val="00F744B9"/>
    <w:rsid w:val="00F74664"/>
    <w:rsid w:val="00F766B0"/>
    <w:rsid w:val="00F81FDA"/>
    <w:rsid w:val="00F82176"/>
    <w:rsid w:val="00F900F1"/>
    <w:rsid w:val="00F923A8"/>
    <w:rsid w:val="00F93C9D"/>
    <w:rsid w:val="00F951E0"/>
    <w:rsid w:val="00F95B8E"/>
    <w:rsid w:val="00F97BB5"/>
    <w:rsid w:val="00FA69D9"/>
    <w:rsid w:val="00FA6E5D"/>
    <w:rsid w:val="00FA7025"/>
    <w:rsid w:val="00FA776D"/>
    <w:rsid w:val="00FB27BE"/>
    <w:rsid w:val="00FB29AA"/>
    <w:rsid w:val="00FB5E3B"/>
    <w:rsid w:val="00FB6EB2"/>
    <w:rsid w:val="00FB74FC"/>
    <w:rsid w:val="00FC05EF"/>
    <w:rsid w:val="00FC07E2"/>
    <w:rsid w:val="00FC0BD8"/>
    <w:rsid w:val="00FC21BD"/>
    <w:rsid w:val="00FC2C3B"/>
    <w:rsid w:val="00FC6C05"/>
    <w:rsid w:val="00FC6E27"/>
    <w:rsid w:val="00FD3723"/>
    <w:rsid w:val="00FD3CE9"/>
    <w:rsid w:val="00FD449E"/>
    <w:rsid w:val="00FD4E18"/>
    <w:rsid w:val="00FD4F47"/>
    <w:rsid w:val="00FD538B"/>
    <w:rsid w:val="00FD7D19"/>
    <w:rsid w:val="00FE10C2"/>
    <w:rsid w:val="00FE2AC9"/>
    <w:rsid w:val="00FE30AC"/>
    <w:rsid w:val="00FE44A1"/>
    <w:rsid w:val="00FE5B78"/>
    <w:rsid w:val="00FE69EE"/>
    <w:rsid w:val="00FE7BD9"/>
    <w:rsid w:val="00FF1170"/>
    <w:rsid w:val="00FF12A0"/>
    <w:rsid w:val="00FF26CB"/>
    <w:rsid w:val="00FF4830"/>
    <w:rsid w:val="00FF72BC"/>
    <w:rsid w:val="00FF7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65803"/>
  <w15:docId w15:val="{E35F021B-8710-465C-95F2-53EB5A5B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9"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ssessment_Normal"/>
    <w:rsid w:val="00C27844"/>
    <w:pPr>
      <w:spacing w:after="120" w:line="240" w:lineRule="auto"/>
    </w:pPr>
    <w:rPr>
      <w:rFonts w:ascii="Calibri" w:eastAsia="Times New Roman" w:hAnsi="Calibri" w:cs="Times New Roman"/>
      <w:sz w:val="20"/>
      <w:szCs w:val="20"/>
    </w:rPr>
  </w:style>
  <w:style w:type="paragraph" w:styleId="Heading1">
    <w:name w:val="heading 1"/>
    <w:basedOn w:val="Normal"/>
    <w:next w:val="Normal"/>
    <w:link w:val="Heading1Char"/>
    <w:uiPriority w:val="9"/>
    <w:semiHidden/>
    <w:rsid w:val="007145D1"/>
    <w:pPr>
      <w:keepNext/>
      <w:keepLines/>
      <w:numPr>
        <w:numId w:val="1"/>
      </w:numPr>
      <w:spacing w:before="480" w:after="240" w:line="276" w:lineRule="auto"/>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rsid w:val="007145D1"/>
    <w:pPr>
      <w:keepNext/>
      <w:keepLines/>
      <w:numPr>
        <w:ilvl w:val="1"/>
        <w:numId w:val="1"/>
      </w:numPr>
      <w:spacing w:before="180" w:after="0" w:line="276" w:lineRule="auto"/>
      <w:outlineLvl w:val="1"/>
    </w:pPr>
    <w:rPr>
      <w:rFonts w:eastAsiaTheme="majorEastAsia" w:cstheme="majorBidi"/>
      <w:b/>
      <w:bCs/>
      <w:sz w:val="24"/>
      <w:szCs w:val="26"/>
    </w:rPr>
  </w:style>
  <w:style w:type="paragraph" w:styleId="Heading3">
    <w:name w:val="heading 3"/>
    <w:basedOn w:val="Normal"/>
    <w:next w:val="Normal"/>
    <w:link w:val="Heading3Char"/>
    <w:uiPriority w:val="9"/>
    <w:semiHidden/>
    <w:rsid w:val="007145D1"/>
    <w:pPr>
      <w:keepNext/>
      <w:keepLines/>
      <w:numPr>
        <w:ilvl w:val="2"/>
        <w:numId w:val="1"/>
      </w:numPr>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rsid w:val="007145D1"/>
    <w:pPr>
      <w:keepNext/>
      <w:keepLines/>
      <w:numPr>
        <w:ilvl w:val="3"/>
        <w:numId w:val="1"/>
      </w:numPr>
      <w:spacing w:before="200" w:after="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rsid w:val="007145D1"/>
    <w:pPr>
      <w:keepNext/>
      <w:keepLines/>
      <w:numPr>
        <w:ilvl w:val="4"/>
        <w:numId w:val="1"/>
      </w:numPr>
      <w:spacing w:before="200" w:after="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qFormat/>
    <w:rsid w:val="007145D1"/>
    <w:pPr>
      <w:keepNext/>
      <w:keepLines/>
      <w:numPr>
        <w:ilvl w:val="5"/>
        <w:numId w:val="1"/>
      </w:numPr>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qFormat/>
    <w:rsid w:val="007145D1"/>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qFormat/>
    <w:rsid w:val="007145D1"/>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7145D1"/>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145D1"/>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45D1"/>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semiHidden/>
    <w:rsid w:val="007145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145D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145D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145D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145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45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45D1"/>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semiHidden/>
    <w:unhideWhenUsed/>
    <w:rsid w:val="007145D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semiHidden/>
    <w:rsid w:val="007145D1"/>
    <w:rPr>
      <w:rFonts w:eastAsiaTheme="minorEastAsia"/>
      <w:lang w:val="en-US" w:eastAsia="ja-JP"/>
    </w:rPr>
  </w:style>
  <w:style w:type="paragraph" w:styleId="BalloonText">
    <w:name w:val="Balloon Text"/>
    <w:basedOn w:val="Normal"/>
    <w:link w:val="BalloonTextChar"/>
    <w:uiPriority w:val="99"/>
    <w:semiHidden/>
    <w:unhideWhenUsed/>
    <w:rsid w:val="007145D1"/>
    <w:pPr>
      <w:spacing w:before="180" w:after="0" w:line="276"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145D1"/>
    <w:rPr>
      <w:rFonts w:ascii="Tahoma" w:hAnsi="Tahoma" w:cs="Tahoma"/>
      <w:sz w:val="16"/>
      <w:szCs w:val="16"/>
    </w:rPr>
  </w:style>
  <w:style w:type="paragraph" w:styleId="Header">
    <w:name w:val="header"/>
    <w:basedOn w:val="Normal"/>
    <w:link w:val="HeaderChar"/>
    <w:uiPriority w:val="9"/>
    <w:unhideWhenUsed/>
    <w:rsid w:val="007145D1"/>
    <w:pPr>
      <w:tabs>
        <w:tab w:val="center" w:pos="4513"/>
        <w:tab w:val="right" w:pos="9026"/>
      </w:tabs>
      <w:spacing w:after="0"/>
    </w:pPr>
    <w:rPr>
      <w:rFonts w:eastAsiaTheme="minorHAnsi" w:cstheme="minorBidi"/>
      <w:color w:val="595959" w:themeColor="text1" w:themeTint="A6"/>
      <w:sz w:val="22"/>
      <w:szCs w:val="22"/>
    </w:rPr>
  </w:style>
  <w:style w:type="character" w:customStyle="1" w:styleId="HeaderChar">
    <w:name w:val="Header Char"/>
    <w:basedOn w:val="DefaultParagraphFont"/>
    <w:link w:val="Header"/>
    <w:uiPriority w:val="9"/>
    <w:rsid w:val="007145D1"/>
    <w:rPr>
      <w:rFonts w:ascii="Calibri" w:hAnsi="Calibri"/>
      <w:color w:val="595959" w:themeColor="text1" w:themeTint="A6"/>
    </w:rPr>
  </w:style>
  <w:style w:type="paragraph" w:styleId="Footer">
    <w:name w:val="footer"/>
    <w:basedOn w:val="Normal"/>
    <w:link w:val="FooterChar"/>
    <w:uiPriority w:val="99"/>
    <w:unhideWhenUsed/>
    <w:rsid w:val="007145D1"/>
    <w:pPr>
      <w:pBdr>
        <w:top w:val="single" w:sz="12" w:space="1" w:color="A6A6A6"/>
      </w:pBdr>
      <w:tabs>
        <w:tab w:val="center" w:pos="4513"/>
        <w:tab w:val="right" w:pos="9026"/>
      </w:tabs>
      <w:spacing w:after="0"/>
      <w:jc w:val="center"/>
    </w:pPr>
    <w:rPr>
      <w:rFonts w:eastAsiaTheme="minorHAnsi" w:cstheme="minorHAnsi"/>
      <w:color w:val="595959"/>
    </w:rPr>
  </w:style>
  <w:style w:type="character" w:customStyle="1" w:styleId="FooterChar">
    <w:name w:val="Footer Char"/>
    <w:basedOn w:val="DefaultParagraphFont"/>
    <w:link w:val="Footer"/>
    <w:uiPriority w:val="99"/>
    <w:rsid w:val="007145D1"/>
    <w:rPr>
      <w:rFonts w:ascii="Calibri" w:hAnsi="Calibri" w:cstheme="minorHAnsi"/>
      <w:color w:val="595959"/>
      <w:sz w:val="20"/>
      <w:szCs w:val="20"/>
    </w:rPr>
  </w:style>
  <w:style w:type="paragraph" w:customStyle="1" w:styleId="ReportClientDetails">
    <w:name w:val="Report Client Details"/>
    <w:basedOn w:val="NCLTableText"/>
    <w:uiPriority w:val="3"/>
    <w:rsid w:val="007145D1"/>
    <w:rPr>
      <w:color w:val="595959" w:themeColor="text1" w:themeTint="A6"/>
    </w:rPr>
  </w:style>
  <w:style w:type="table" w:styleId="TableGrid">
    <w:name w:val="Table Grid"/>
    <w:basedOn w:val="TableNormal"/>
    <w:uiPriority w:val="59"/>
    <w:rsid w:val="0071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urfulGridAccent1">
    <w:name w:val="Colorful Grid Accent 1"/>
    <w:basedOn w:val="TableNormal"/>
    <w:uiPriority w:val="73"/>
    <w:rsid w:val="007145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OCHeading">
    <w:name w:val="TOC Heading"/>
    <w:basedOn w:val="Heading1"/>
    <w:next w:val="Normal"/>
    <w:uiPriority w:val="39"/>
    <w:semiHidden/>
    <w:unhideWhenUsed/>
    <w:qFormat/>
    <w:rsid w:val="007145D1"/>
    <w:pPr>
      <w:numPr>
        <w:numId w:val="0"/>
      </w:numPr>
      <w:outlineLvl w:val="9"/>
    </w:pPr>
    <w:rPr>
      <w:lang w:eastAsia="ja-JP"/>
    </w:rPr>
  </w:style>
  <w:style w:type="paragraph" w:styleId="TOC1">
    <w:name w:val="toc 1"/>
    <w:basedOn w:val="NCLBodyText"/>
    <w:next w:val="NCLBodyText"/>
    <w:uiPriority w:val="39"/>
    <w:rsid w:val="007145D1"/>
    <w:pPr>
      <w:spacing w:after="60"/>
    </w:pPr>
  </w:style>
  <w:style w:type="paragraph" w:styleId="TOC3">
    <w:name w:val="toc 3"/>
    <w:basedOn w:val="Normal"/>
    <w:next w:val="NCLBodyText"/>
    <w:uiPriority w:val="39"/>
    <w:rsid w:val="007145D1"/>
    <w:pPr>
      <w:spacing w:before="60" w:after="60"/>
      <w:ind w:left="442"/>
    </w:pPr>
    <w:rPr>
      <w:rFonts w:eastAsiaTheme="minorHAnsi" w:cstheme="minorBidi"/>
      <w:sz w:val="22"/>
      <w:szCs w:val="22"/>
    </w:rPr>
  </w:style>
  <w:style w:type="character" w:styleId="Hyperlink">
    <w:name w:val="Hyperlink"/>
    <w:basedOn w:val="DefaultParagraphFont"/>
    <w:uiPriority w:val="99"/>
    <w:unhideWhenUsed/>
    <w:rsid w:val="007145D1"/>
    <w:rPr>
      <w:color w:val="0000FF" w:themeColor="hyperlink"/>
      <w:u w:val="single"/>
    </w:rPr>
  </w:style>
  <w:style w:type="table" w:styleId="MediumList2-Accent1">
    <w:name w:val="Medium List 2 Accent 1"/>
    <w:basedOn w:val="TableNormal"/>
    <w:uiPriority w:val="66"/>
    <w:rsid w:val="007145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Text">
    <w:name w:val="annotation text"/>
    <w:basedOn w:val="Normal"/>
    <w:link w:val="CommentTextChar"/>
    <w:unhideWhenUsed/>
    <w:rsid w:val="007145D1"/>
    <w:pPr>
      <w:spacing w:before="180" w:after="0" w:line="276" w:lineRule="auto"/>
    </w:pPr>
    <w:rPr>
      <w:rFonts w:eastAsiaTheme="minorHAnsi" w:cstheme="minorBidi"/>
    </w:rPr>
  </w:style>
  <w:style w:type="character" w:customStyle="1" w:styleId="CommentTextChar">
    <w:name w:val="Comment Text Char"/>
    <w:basedOn w:val="DefaultParagraphFont"/>
    <w:link w:val="CommentText"/>
    <w:rsid w:val="007145D1"/>
    <w:rPr>
      <w:rFonts w:ascii="Calibri" w:hAnsi="Calibri"/>
      <w:sz w:val="20"/>
      <w:szCs w:val="20"/>
    </w:rPr>
  </w:style>
  <w:style w:type="table" w:styleId="LightShading-Accent1">
    <w:name w:val="Light Shading Accent 1"/>
    <w:basedOn w:val="TableNormal"/>
    <w:uiPriority w:val="60"/>
    <w:rsid w:val="007145D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CLBodyText"/>
    <w:uiPriority w:val="39"/>
    <w:rsid w:val="007145D1"/>
    <w:pPr>
      <w:spacing w:before="60" w:after="60"/>
      <w:ind w:left="221"/>
    </w:pPr>
    <w:rPr>
      <w:rFonts w:eastAsiaTheme="minorHAnsi" w:cstheme="minorBidi"/>
      <w:sz w:val="22"/>
      <w:szCs w:val="22"/>
    </w:rPr>
  </w:style>
  <w:style w:type="character" w:styleId="CommentReference">
    <w:name w:val="annotation reference"/>
    <w:basedOn w:val="DefaultParagraphFont"/>
    <w:semiHidden/>
    <w:unhideWhenUsed/>
    <w:rsid w:val="007145D1"/>
    <w:rPr>
      <w:sz w:val="16"/>
      <w:szCs w:val="16"/>
    </w:rPr>
  </w:style>
  <w:style w:type="paragraph" w:styleId="Caption">
    <w:name w:val="caption"/>
    <w:basedOn w:val="Normal"/>
    <w:next w:val="NCLBodyText"/>
    <w:uiPriority w:val="8"/>
    <w:unhideWhenUsed/>
    <w:rsid w:val="007145D1"/>
    <w:pPr>
      <w:keepNext/>
      <w:spacing w:before="180" w:after="0" w:line="276" w:lineRule="auto"/>
    </w:pPr>
    <w:rPr>
      <w:rFonts w:eastAsiaTheme="minorHAnsi" w:cstheme="minorBidi"/>
      <w:b/>
      <w:bCs/>
      <w:color w:val="000000" w:themeColor="text1"/>
      <w:szCs w:val="18"/>
    </w:rPr>
  </w:style>
  <w:style w:type="paragraph" w:styleId="TOC4">
    <w:name w:val="toc 4"/>
    <w:basedOn w:val="Normal"/>
    <w:next w:val="NCLBodyText"/>
    <w:uiPriority w:val="39"/>
    <w:semiHidden/>
    <w:rsid w:val="007145D1"/>
    <w:pPr>
      <w:spacing w:before="180" w:after="100" w:line="276" w:lineRule="auto"/>
      <w:ind w:left="660"/>
    </w:pPr>
    <w:rPr>
      <w:rFonts w:eastAsiaTheme="minorEastAsia" w:cstheme="minorBidi"/>
      <w:sz w:val="22"/>
      <w:szCs w:val="22"/>
      <w:lang w:eastAsia="en-GB"/>
    </w:rPr>
  </w:style>
  <w:style w:type="paragraph" w:styleId="TOC5">
    <w:name w:val="toc 5"/>
    <w:basedOn w:val="Normal"/>
    <w:next w:val="NCLBodyText"/>
    <w:uiPriority w:val="39"/>
    <w:semiHidden/>
    <w:rsid w:val="007145D1"/>
    <w:pPr>
      <w:spacing w:before="180" w:after="100" w:line="276" w:lineRule="auto"/>
      <w:ind w:left="880"/>
    </w:pPr>
    <w:rPr>
      <w:rFonts w:eastAsiaTheme="minorEastAsia" w:cstheme="minorBidi"/>
      <w:sz w:val="22"/>
      <w:szCs w:val="22"/>
      <w:lang w:eastAsia="en-GB"/>
    </w:rPr>
  </w:style>
  <w:style w:type="paragraph" w:styleId="TOC6">
    <w:name w:val="toc 6"/>
    <w:basedOn w:val="Normal"/>
    <w:next w:val="Normal"/>
    <w:autoRedefine/>
    <w:uiPriority w:val="39"/>
    <w:semiHidden/>
    <w:rsid w:val="007145D1"/>
    <w:pPr>
      <w:spacing w:before="180" w:after="100" w:line="276" w:lineRule="auto"/>
      <w:ind w:left="1100"/>
    </w:pPr>
    <w:rPr>
      <w:rFonts w:eastAsiaTheme="minorEastAsia" w:cstheme="minorBidi"/>
      <w:sz w:val="22"/>
      <w:szCs w:val="22"/>
      <w:lang w:eastAsia="en-GB"/>
    </w:rPr>
  </w:style>
  <w:style w:type="paragraph" w:styleId="TOC7">
    <w:name w:val="toc 7"/>
    <w:basedOn w:val="Normal"/>
    <w:next w:val="Normal"/>
    <w:autoRedefine/>
    <w:uiPriority w:val="39"/>
    <w:semiHidden/>
    <w:rsid w:val="007145D1"/>
    <w:pPr>
      <w:spacing w:before="180" w:after="100" w:line="276" w:lineRule="auto"/>
      <w:ind w:left="1320"/>
    </w:pPr>
    <w:rPr>
      <w:rFonts w:eastAsiaTheme="minorEastAsia" w:cstheme="minorBidi"/>
      <w:sz w:val="22"/>
      <w:szCs w:val="22"/>
      <w:lang w:eastAsia="en-GB"/>
    </w:rPr>
  </w:style>
  <w:style w:type="paragraph" w:styleId="TOC8">
    <w:name w:val="toc 8"/>
    <w:basedOn w:val="Normal"/>
    <w:next w:val="Normal"/>
    <w:autoRedefine/>
    <w:uiPriority w:val="39"/>
    <w:semiHidden/>
    <w:rsid w:val="007145D1"/>
    <w:pPr>
      <w:spacing w:before="180" w:after="100" w:line="276" w:lineRule="auto"/>
      <w:ind w:left="1540"/>
    </w:pPr>
    <w:rPr>
      <w:rFonts w:eastAsiaTheme="minorEastAsia" w:cstheme="minorBidi"/>
      <w:sz w:val="22"/>
      <w:szCs w:val="22"/>
      <w:lang w:eastAsia="en-GB"/>
    </w:rPr>
  </w:style>
  <w:style w:type="paragraph" w:styleId="TOC9">
    <w:name w:val="toc 9"/>
    <w:basedOn w:val="Normal"/>
    <w:next w:val="Normal"/>
    <w:autoRedefine/>
    <w:uiPriority w:val="39"/>
    <w:semiHidden/>
    <w:rsid w:val="007145D1"/>
    <w:pPr>
      <w:spacing w:before="180" w:after="100" w:line="276" w:lineRule="auto"/>
      <w:ind w:left="1760"/>
    </w:pPr>
    <w:rPr>
      <w:rFonts w:eastAsiaTheme="minorEastAsia" w:cstheme="minorBidi"/>
      <w:sz w:val="22"/>
      <w:szCs w:val="22"/>
      <w:lang w:eastAsia="en-GB"/>
    </w:rPr>
  </w:style>
  <w:style w:type="paragraph" w:styleId="CommentSubject">
    <w:name w:val="annotation subject"/>
    <w:basedOn w:val="CommentText"/>
    <w:next w:val="CommentText"/>
    <w:link w:val="CommentSubjectChar"/>
    <w:uiPriority w:val="99"/>
    <w:semiHidden/>
    <w:unhideWhenUsed/>
    <w:rsid w:val="007145D1"/>
    <w:rPr>
      <w:b/>
      <w:bCs/>
    </w:rPr>
  </w:style>
  <w:style w:type="character" w:customStyle="1" w:styleId="CommentSubjectChar">
    <w:name w:val="Comment Subject Char"/>
    <w:basedOn w:val="CommentTextChar"/>
    <w:link w:val="CommentSubject"/>
    <w:uiPriority w:val="99"/>
    <w:semiHidden/>
    <w:rsid w:val="007145D1"/>
    <w:rPr>
      <w:rFonts w:ascii="Calibri" w:hAnsi="Calibri"/>
      <w:b/>
      <w:bCs/>
      <w:sz w:val="20"/>
      <w:szCs w:val="20"/>
    </w:rPr>
  </w:style>
  <w:style w:type="table" w:styleId="MediumShading1-Accent1">
    <w:name w:val="Medium Shading 1 Accent 1"/>
    <w:basedOn w:val="TableNormal"/>
    <w:uiPriority w:val="63"/>
    <w:rsid w:val="007145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ableofFigures">
    <w:name w:val="table of figures"/>
    <w:basedOn w:val="Normal"/>
    <w:next w:val="NCLBodyText"/>
    <w:uiPriority w:val="99"/>
    <w:unhideWhenUsed/>
    <w:rsid w:val="007145D1"/>
    <w:pPr>
      <w:spacing w:before="60" w:after="60"/>
    </w:pPr>
    <w:rPr>
      <w:rFonts w:eastAsiaTheme="minorHAnsi" w:cstheme="minorBidi"/>
      <w:sz w:val="22"/>
      <w:szCs w:val="22"/>
    </w:rPr>
  </w:style>
  <w:style w:type="paragraph" w:styleId="ListBullet">
    <w:name w:val="List Bullet"/>
    <w:basedOn w:val="NCLBodyText"/>
    <w:uiPriority w:val="1"/>
    <w:unhideWhenUsed/>
    <w:qFormat/>
    <w:rsid w:val="007145D1"/>
    <w:pPr>
      <w:numPr>
        <w:numId w:val="2"/>
      </w:numPr>
      <w:spacing w:before="0"/>
      <w:contextualSpacing/>
    </w:pPr>
  </w:style>
  <w:style w:type="paragraph" w:styleId="ListBullet2">
    <w:name w:val="List Bullet 2"/>
    <w:basedOn w:val="ListBullet"/>
    <w:uiPriority w:val="1"/>
    <w:unhideWhenUsed/>
    <w:rsid w:val="007145D1"/>
    <w:pPr>
      <w:numPr>
        <w:ilvl w:val="1"/>
      </w:numPr>
    </w:pPr>
  </w:style>
  <w:style w:type="paragraph" w:styleId="ListBullet3">
    <w:name w:val="List Bullet 3"/>
    <w:basedOn w:val="ListBullet"/>
    <w:uiPriority w:val="1"/>
    <w:unhideWhenUsed/>
    <w:rsid w:val="007145D1"/>
    <w:pPr>
      <w:numPr>
        <w:ilvl w:val="2"/>
      </w:numPr>
    </w:pPr>
  </w:style>
  <w:style w:type="paragraph" w:styleId="ListBullet4">
    <w:name w:val="List Bullet 4"/>
    <w:basedOn w:val="ListBullet"/>
    <w:uiPriority w:val="1"/>
    <w:unhideWhenUsed/>
    <w:rsid w:val="007145D1"/>
    <w:pPr>
      <w:numPr>
        <w:ilvl w:val="3"/>
      </w:numPr>
    </w:pPr>
  </w:style>
  <w:style w:type="paragraph" w:styleId="ListBullet5">
    <w:name w:val="List Bullet 5"/>
    <w:basedOn w:val="ListBullet"/>
    <w:uiPriority w:val="1"/>
    <w:unhideWhenUsed/>
    <w:rsid w:val="007145D1"/>
    <w:pPr>
      <w:numPr>
        <w:ilvl w:val="4"/>
      </w:numPr>
    </w:pPr>
  </w:style>
  <w:style w:type="paragraph" w:styleId="ListNumber">
    <w:name w:val="List Number"/>
    <w:basedOn w:val="Normal"/>
    <w:uiPriority w:val="1"/>
    <w:unhideWhenUsed/>
    <w:qFormat/>
    <w:rsid w:val="007145D1"/>
    <w:pPr>
      <w:spacing w:after="0" w:line="276" w:lineRule="auto"/>
      <w:contextualSpacing/>
    </w:pPr>
    <w:rPr>
      <w:rFonts w:eastAsiaTheme="minorHAnsi" w:cstheme="minorBidi"/>
      <w:sz w:val="22"/>
      <w:szCs w:val="22"/>
    </w:rPr>
  </w:style>
  <w:style w:type="paragraph" w:styleId="ListNumber2">
    <w:name w:val="List Number 2"/>
    <w:basedOn w:val="Normal"/>
    <w:uiPriority w:val="1"/>
    <w:unhideWhenUsed/>
    <w:rsid w:val="007145D1"/>
    <w:pPr>
      <w:spacing w:after="0" w:line="276" w:lineRule="auto"/>
      <w:contextualSpacing/>
    </w:pPr>
    <w:rPr>
      <w:rFonts w:eastAsiaTheme="minorHAnsi" w:cstheme="minorBidi"/>
      <w:sz w:val="22"/>
      <w:szCs w:val="22"/>
    </w:rPr>
  </w:style>
  <w:style w:type="paragraph" w:styleId="ListNumber3">
    <w:name w:val="List Number 3"/>
    <w:basedOn w:val="Normal"/>
    <w:uiPriority w:val="1"/>
    <w:unhideWhenUsed/>
    <w:rsid w:val="007145D1"/>
    <w:pPr>
      <w:spacing w:after="0" w:line="276" w:lineRule="auto"/>
      <w:contextualSpacing/>
    </w:pPr>
    <w:rPr>
      <w:rFonts w:eastAsiaTheme="minorHAnsi" w:cstheme="minorBidi"/>
      <w:sz w:val="22"/>
      <w:szCs w:val="22"/>
    </w:rPr>
  </w:style>
  <w:style w:type="paragraph" w:customStyle="1" w:styleId="NCLBodyText">
    <w:name w:val="NCL Body Text"/>
    <w:basedOn w:val="Normal"/>
    <w:link w:val="NCLBodyTextChar"/>
    <w:qFormat/>
    <w:rsid w:val="00F6177F"/>
    <w:pPr>
      <w:spacing w:before="60" w:after="0"/>
      <w:jc w:val="both"/>
    </w:pPr>
    <w:rPr>
      <w:rFonts w:eastAsiaTheme="minorHAnsi" w:cs="Calibri"/>
      <w:sz w:val="22"/>
      <w:szCs w:val="22"/>
    </w:rPr>
  </w:style>
  <w:style w:type="character" w:customStyle="1" w:styleId="NCLBodyTextChar">
    <w:name w:val="NCL Body Text Char"/>
    <w:basedOn w:val="DefaultParagraphFont"/>
    <w:link w:val="NCLBodyText"/>
    <w:rsid w:val="00F6177F"/>
    <w:rPr>
      <w:rFonts w:ascii="Calibri" w:hAnsi="Calibri" w:cs="Calibri"/>
    </w:rPr>
  </w:style>
  <w:style w:type="paragraph" w:customStyle="1" w:styleId="NCLHeading1">
    <w:name w:val="NCL Heading 1"/>
    <w:basedOn w:val="Heading1"/>
    <w:next w:val="NCLBodyText"/>
    <w:link w:val="NCLHeading1Char"/>
    <w:qFormat/>
    <w:rsid w:val="00D46B50"/>
    <w:pPr>
      <w:numPr>
        <w:numId w:val="4"/>
      </w:numPr>
      <w:shd w:val="clear" w:color="auto" w:fill="548DD4" w:themeFill="text2" w:themeFillTint="99"/>
      <w:spacing w:before="240" w:after="120" w:line="240" w:lineRule="auto"/>
      <w:ind w:left="567" w:hanging="567"/>
    </w:pPr>
    <w:rPr>
      <w:color w:val="FFFFFF" w:themeColor="background1"/>
    </w:rPr>
  </w:style>
  <w:style w:type="character" w:customStyle="1" w:styleId="NCLHeading1Char">
    <w:name w:val="NCL Heading 1 Char"/>
    <w:basedOn w:val="Heading1Char"/>
    <w:link w:val="NCLHeading1"/>
    <w:rsid w:val="00D46B50"/>
    <w:rPr>
      <w:rFonts w:ascii="Calibri" w:eastAsiaTheme="majorEastAsia" w:hAnsi="Calibri" w:cstheme="majorBidi"/>
      <w:b/>
      <w:bCs/>
      <w:color w:val="FFFFFF" w:themeColor="background1"/>
      <w:sz w:val="28"/>
      <w:szCs w:val="28"/>
      <w:shd w:val="clear" w:color="auto" w:fill="548DD4" w:themeFill="text2" w:themeFillTint="99"/>
    </w:rPr>
  </w:style>
  <w:style w:type="paragraph" w:customStyle="1" w:styleId="NCLHeading2">
    <w:name w:val="NCL Heading 2"/>
    <w:basedOn w:val="Heading2"/>
    <w:next w:val="NCLBodyText"/>
    <w:link w:val="NCLHeading2Char"/>
    <w:qFormat/>
    <w:rsid w:val="007C4B50"/>
    <w:pPr>
      <w:numPr>
        <w:numId w:val="4"/>
      </w:numPr>
      <w:spacing w:before="120" w:after="60"/>
      <w:jc w:val="both"/>
    </w:pPr>
    <w:rPr>
      <w:color w:val="000000" w:themeColor="text1"/>
    </w:rPr>
  </w:style>
  <w:style w:type="character" w:customStyle="1" w:styleId="NCLHeading2Char">
    <w:name w:val="NCL Heading 2 Char"/>
    <w:basedOn w:val="Heading2Char"/>
    <w:link w:val="NCLHeading2"/>
    <w:rsid w:val="007C4B50"/>
    <w:rPr>
      <w:rFonts w:ascii="Calibri" w:eastAsiaTheme="majorEastAsia" w:hAnsi="Calibri" w:cstheme="majorBidi"/>
      <w:b/>
      <w:bCs/>
      <w:color w:val="000000" w:themeColor="text1"/>
      <w:sz w:val="24"/>
      <w:szCs w:val="26"/>
    </w:rPr>
  </w:style>
  <w:style w:type="paragraph" w:customStyle="1" w:styleId="NCLHeading3">
    <w:name w:val="NCL Heading 3"/>
    <w:basedOn w:val="Heading3"/>
    <w:next w:val="NCLBodyText"/>
    <w:link w:val="NCLHeading3Char"/>
    <w:qFormat/>
    <w:rsid w:val="007C4B50"/>
    <w:pPr>
      <w:numPr>
        <w:numId w:val="4"/>
      </w:numPr>
      <w:spacing w:before="120" w:after="60"/>
    </w:pPr>
    <w:rPr>
      <w:rFonts w:ascii="Calibri" w:hAnsi="Calibri"/>
      <w:b w:val="0"/>
      <w:color w:val="000000" w:themeColor="text1"/>
    </w:rPr>
  </w:style>
  <w:style w:type="character" w:customStyle="1" w:styleId="NCLHeading3Char">
    <w:name w:val="NCL Heading 3 Char"/>
    <w:basedOn w:val="Heading3Char"/>
    <w:link w:val="NCLHeading3"/>
    <w:rsid w:val="007C4B50"/>
    <w:rPr>
      <w:rFonts w:ascii="Calibri" w:eastAsiaTheme="majorEastAsia" w:hAnsi="Calibri" w:cstheme="majorBidi"/>
      <w:b w:val="0"/>
      <w:bCs/>
      <w:color w:val="000000" w:themeColor="text1"/>
    </w:rPr>
  </w:style>
  <w:style w:type="paragraph" w:customStyle="1" w:styleId="NCLSubsection">
    <w:name w:val="NCL Subsection"/>
    <w:basedOn w:val="Heading4"/>
    <w:next w:val="NCLBodyText"/>
    <w:link w:val="NCLSubsectionChar"/>
    <w:qFormat/>
    <w:rsid w:val="007C4B50"/>
    <w:pPr>
      <w:numPr>
        <w:ilvl w:val="0"/>
        <w:numId w:val="0"/>
      </w:numPr>
      <w:spacing w:before="120" w:after="60"/>
    </w:pPr>
    <w:rPr>
      <w:rFonts w:ascii="Calibri" w:hAnsi="Calibri"/>
      <w:b w:val="0"/>
      <w:color w:val="000000" w:themeColor="text1"/>
      <w:u w:val="single"/>
    </w:rPr>
  </w:style>
  <w:style w:type="character" w:customStyle="1" w:styleId="NCLSubsectionChar">
    <w:name w:val="NCL Subsection Char"/>
    <w:basedOn w:val="Heading4Char"/>
    <w:link w:val="NCLSubsection"/>
    <w:rsid w:val="007C4B50"/>
    <w:rPr>
      <w:rFonts w:ascii="Calibri" w:eastAsiaTheme="majorEastAsia" w:hAnsi="Calibri" w:cstheme="majorBidi"/>
      <w:b w:val="0"/>
      <w:bCs/>
      <w:i/>
      <w:iCs/>
      <w:color w:val="000000" w:themeColor="text1"/>
      <w:u w:val="single"/>
    </w:rPr>
  </w:style>
  <w:style w:type="paragraph" w:customStyle="1" w:styleId="NCLTableheading">
    <w:name w:val="NCL Table heading"/>
    <w:basedOn w:val="Heading5"/>
    <w:next w:val="NCLBodyText"/>
    <w:link w:val="NCLTableheadingChar"/>
    <w:qFormat/>
    <w:rsid w:val="007145D1"/>
    <w:pPr>
      <w:numPr>
        <w:numId w:val="4"/>
      </w:numPr>
      <w:spacing w:before="240" w:after="180"/>
    </w:pPr>
    <w:rPr>
      <w:rFonts w:ascii="Calibri" w:hAnsi="Calibri"/>
      <w:b/>
      <w:color w:val="000000"/>
    </w:rPr>
  </w:style>
  <w:style w:type="character" w:customStyle="1" w:styleId="NCLTableheadingChar">
    <w:name w:val="NCL Table heading Char"/>
    <w:basedOn w:val="Heading5Char"/>
    <w:link w:val="NCLTableheading"/>
    <w:rsid w:val="007145D1"/>
    <w:rPr>
      <w:rFonts w:ascii="Calibri" w:eastAsiaTheme="majorEastAsia" w:hAnsi="Calibri" w:cstheme="majorBidi"/>
      <w:b/>
      <w:color w:val="000000"/>
    </w:rPr>
  </w:style>
  <w:style w:type="numbering" w:customStyle="1" w:styleId="ReportHeadings">
    <w:name w:val="Report Headings"/>
    <w:uiPriority w:val="99"/>
    <w:rsid w:val="007145D1"/>
    <w:pPr>
      <w:numPr>
        <w:numId w:val="4"/>
      </w:numPr>
    </w:pPr>
  </w:style>
  <w:style w:type="paragraph" w:customStyle="1" w:styleId="ReportNonTOCHeading">
    <w:name w:val="Report NonTOC Heading"/>
    <w:basedOn w:val="NCLBodyText"/>
    <w:next w:val="NCLBodyText"/>
    <w:link w:val="ReportNonTOCHeadingChar"/>
    <w:rsid w:val="007145D1"/>
    <w:pPr>
      <w:keepNext/>
    </w:pPr>
    <w:rPr>
      <w:b/>
      <w:color w:val="17365D" w:themeColor="text2" w:themeShade="BF"/>
      <w:sz w:val="28"/>
    </w:rPr>
  </w:style>
  <w:style w:type="character" w:customStyle="1" w:styleId="ReportNonTOCHeadingChar">
    <w:name w:val="Report NonTOC Heading Char"/>
    <w:basedOn w:val="DefaultParagraphFont"/>
    <w:link w:val="ReportNonTOCHeading"/>
    <w:rsid w:val="007145D1"/>
    <w:rPr>
      <w:rFonts w:ascii="Calibri" w:hAnsi="Calibri" w:cs="Calibri"/>
      <w:b/>
      <w:color w:val="17365D" w:themeColor="text2" w:themeShade="BF"/>
      <w:sz w:val="28"/>
    </w:rPr>
  </w:style>
  <w:style w:type="paragraph" w:styleId="FootnoteText">
    <w:name w:val="footnote text"/>
    <w:basedOn w:val="Normal"/>
    <w:link w:val="FootnoteTextChar"/>
    <w:uiPriority w:val="99"/>
    <w:rsid w:val="007145D1"/>
    <w:pPr>
      <w:spacing w:before="180" w:after="0" w:line="276" w:lineRule="auto"/>
    </w:pPr>
    <w:rPr>
      <w:rFonts w:eastAsiaTheme="minorHAnsi" w:cstheme="minorBidi"/>
    </w:rPr>
  </w:style>
  <w:style w:type="character" w:customStyle="1" w:styleId="FootnoteTextChar">
    <w:name w:val="Footnote Text Char"/>
    <w:basedOn w:val="DefaultParagraphFont"/>
    <w:link w:val="FootnoteText"/>
    <w:uiPriority w:val="99"/>
    <w:rsid w:val="007145D1"/>
    <w:rPr>
      <w:rFonts w:ascii="Calibri" w:hAnsi="Calibri"/>
      <w:sz w:val="20"/>
      <w:szCs w:val="20"/>
    </w:rPr>
  </w:style>
  <w:style w:type="character" w:styleId="FootnoteReference">
    <w:name w:val="footnote reference"/>
    <w:basedOn w:val="DefaultParagraphFont"/>
    <w:uiPriority w:val="99"/>
    <w:rsid w:val="007145D1"/>
    <w:rPr>
      <w:vertAlign w:val="superscript"/>
    </w:rPr>
  </w:style>
  <w:style w:type="paragraph" w:styleId="BodyText">
    <w:name w:val="Body Text"/>
    <w:basedOn w:val="Normal"/>
    <w:link w:val="BodyTextChar"/>
    <w:uiPriority w:val="99"/>
    <w:unhideWhenUsed/>
    <w:rsid w:val="007145D1"/>
    <w:pPr>
      <w:spacing w:before="180" w:after="0" w:line="276" w:lineRule="auto"/>
    </w:pPr>
    <w:rPr>
      <w:rFonts w:eastAsiaTheme="minorHAnsi" w:cstheme="minorBidi"/>
      <w:sz w:val="22"/>
      <w:szCs w:val="22"/>
    </w:rPr>
  </w:style>
  <w:style w:type="character" w:customStyle="1" w:styleId="BodyTextChar">
    <w:name w:val="Body Text Char"/>
    <w:basedOn w:val="DefaultParagraphFont"/>
    <w:link w:val="BodyText"/>
    <w:uiPriority w:val="99"/>
    <w:rsid w:val="007145D1"/>
    <w:rPr>
      <w:rFonts w:ascii="Calibri" w:hAnsi="Calibri"/>
    </w:rPr>
  </w:style>
  <w:style w:type="table" w:customStyle="1" w:styleId="ReportSummaryBox">
    <w:name w:val="Report_Summary_Box"/>
    <w:basedOn w:val="TableNormal"/>
    <w:uiPriority w:val="99"/>
    <w:rsid w:val="007145D1"/>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BFBFBF" w:themeFill="background1" w:themeFillShade="BF"/>
    </w:tcPr>
  </w:style>
  <w:style w:type="paragraph" w:customStyle="1" w:styleId="NCLTableFootnote">
    <w:name w:val="NCL Table Footnote"/>
    <w:basedOn w:val="NCLBodyText"/>
    <w:next w:val="NCLBodyText"/>
    <w:link w:val="NCLTableFootnoteChar"/>
    <w:uiPriority w:val="3"/>
    <w:qFormat/>
    <w:rsid w:val="007145D1"/>
    <w:pPr>
      <w:spacing w:before="0" w:after="480"/>
      <w:contextualSpacing/>
    </w:pPr>
    <w:rPr>
      <w:sz w:val="18"/>
    </w:rPr>
  </w:style>
  <w:style w:type="character" w:customStyle="1" w:styleId="NCLTableFootnoteChar">
    <w:name w:val="NCL Table Footnote Char"/>
    <w:basedOn w:val="NCLBodyTextChar"/>
    <w:link w:val="NCLTableFootnote"/>
    <w:uiPriority w:val="3"/>
    <w:rsid w:val="007145D1"/>
    <w:rPr>
      <w:rFonts w:ascii="Calibri" w:hAnsi="Calibri" w:cs="Calibri"/>
      <w:sz w:val="18"/>
    </w:rPr>
  </w:style>
  <w:style w:type="paragraph" w:customStyle="1" w:styleId="ReportHeading6">
    <w:name w:val="Report Heading 6"/>
    <w:basedOn w:val="Heading6"/>
    <w:next w:val="NCLBodyText"/>
    <w:rsid w:val="007145D1"/>
    <w:pPr>
      <w:numPr>
        <w:numId w:val="4"/>
      </w:numPr>
      <w:spacing w:before="240" w:after="180"/>
    </w:pPr>
    <w:rPr>
      <w:rFonts w:ascii="Calibri" w:hAnsi="Calibri"/>
      <w:color w:val="1F497D" w:themeColor="text2"/>
    </w:rPr>
  </w:style>
  <w:style w:type="paragraph" w:styleId="Revision">
    <w:name w:val="Revision"/>
    <w:hidden/>
    <w:uiPriority w:val="99"/>
    <w:semiHidden/>
    <w:rsid w:val="00EE6750"/>
    <w:pPr>
      <w:spacing w:after="0" w:line="240" w:lineRule="auto"/>
    </w:pPr>
    <w:rPr>
      <w:rFonts w:ascii="Calibri" w:hAnsi="Calibri"/>
    </w:rPr>
  </w:style>
  <w:style w:type="paragraph" w:customStyle="1" w:styleId="ReportTag">
    <w:name w:val="Report Tag"/>
    <w:basedOn w:val="NCLBodyText"/>
    <w:uiPriority w:val="3"/>
    <w:rsid w:val="007145D1"/>
    <w:pPr>
      <w:spacing w:before="0"/>
      <w:jc w:val="right"/>
    </w:pPr>
    <w:rPr>
      <w:color w:val="595959" w:themeColor="text1" w:themeTint="A6"/>
      <w:sz w:val="72"/>
      <w:szCs w:val="72"/>
    </w:rPr>
  </w:style>
  <w:style w:type="paragraph" w:customStyle="1" w:styleId="ReportTitle">
    <w:name w:val="Report Title"/>
    <w:basedOn w:val="NCLBodyText"/>
    <w:uiPriority w:val="3"/>
    <w:rsid w:val="00A0078A"/>
    <w:pPr>
      <w:spacing w:before="0"/>
    </w:pPr>
    <w:rPr>
      <w:color w:val="17365D" w:themeColor="text2" w:themeShade="BF"/>
      <w:sz w:val="48"/>
      <w:szCs w:val="48"/>
    </w:rPr>
  </w:style>
  <w:style w:type="paragraph" w:customStyle="1" w:styleId="NCLTableText">
    <w:name w:val="NCL Table Text"/>
    <w:basedOn w:val="NCLBodyText"/>
    <w:uiPriority w:val="3"/>
    <w:qFormat/>
    <w:rsid w:val="007145D1"/>
    <w:pPr>
      <w:spacing w:after="60"/>
    </w:pPr>
    <w:rPr>
      <w:sz w:val="20"/>
    </w:rPr>
  </w:style>
  <w:style w:type="paragraph" w:customStyle="1" w:styleId="ReportFrontPageTitle">
    <w:name w:val="Report Front Page Title"/>
    <w:basedOn w:val="NCLBodyText"/>
    <w:uiPriority w:val="3"/>
    <w:rsid w:val="007145D1"/>
    <w:pPr>
      <w:spacing w:before="0"/>
    </w:pPr>
    <w:rPr>
      <w:color w:val="17365D" w:themeColor="text2" w:themeShade="BF"/>
      <w:sz w:val="48"/>
      <w:szCs w:val="48"/>
    </w:rPr>
  </w:style>
  <w:style w:type="paragraph" w:customStyle="1" w:styleId="ReportSummaryBoxHeading">
    <w:name w:val="Report Summary Box Heading"/>
    <w:basedOn w:val="NCLBodyText"/>
    <w:uiPriority w:val="3"/>
    <w:rsid w:val="007145D1"/>
    <w:pPr>
      <w:spacing w:after="120"/>
    </w:pPr>
    <w:rPr>
      <w:b/>
      <w:i/>
    </w:rPr>
  </w:style>
  <w:style w:type="character" w:styleId="FollowedHyperlink">
    <w:name w:val="FollowedHyperlink"/>
    <w:basedOn w:val="DefaultParagraphFont"/>
    <w:uiPriority w:val="99"/>
    <w:semiHidden/>
    <w:unhideWhenUsed/>
    <w:rsid w:val="007145D1"/>
    <w:rPr>
      <w:color w:val="800080" w:themeColor="followedHyperlink"/>
      <w:u w:val="single"/>
    </w:rPr>
  </w:style>
  <w:style w:type="numbering" w:customStyle="1" w:styleId="ListBullets">
    <w:name w:val="List Bullets"/>
    <w:uiPriority w:val="99"/>
    <w:rsid w:val="007145D1"/>
    <w:pPr>
      <w:numPr>
        <w:numId w:val="2"/>
      </w:numPr>
    </w:pPr>
  </w:style>
  <w:style w:type="numbering" w:customStyle="1" w:styleId="ListNumbers">
    <w:name w:val="List Numbers"/>
    <w:uiPriority w:val="99"/>
    <w:rsid w:val="007145D1"/>
    <w:pPr>
      <w:numPr>
        <w:numId w:val="3"/>
      </w:numPr>
    </w:pPr>
  </w:style>
  <w:style w:type="table" w:customStyle="1" w:styleId="ReportTable">
    <w:name w:val="Report_Table"/>
    <w:basedOn w:val="TableNormal"/>
    <w:uiPriority w:val="99"/>
    <w:rsid w:val="00544450"/>
    <w:pPr>
      <w:spacing w:before="60" w:after="60" w:line="240" w:lineRule="auto"/>
      <w:jc w:val="center"/>
    </w:pPr>
    <w:rPr>
      <w:rFonts w:ascii="Calibri" w:hAnsi="Calibri"/>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heme="minorHAnsi" w:hAnsiTheme="minorHAnsi"/>
        <w:b/>
        <w:sz w:val="20"/>
      </w:rPr>
      <w:tblPr/>
      <w:trPr>
        <w:cantSplit/>
      </w:trPr>
      <w:tcPr>
        <w:shd w:val="clear" w:color="auto" w:fill="BFBFBF" w:themeFill="background1" w:themeFillShade="BF"/>
      </w:tcPr>
    </w:tblStylePr>
    <w:tblStylePr w:type="firstCol">
      <w:pPr>
        <w:jc w:val="left"/>
      </w:pPr>
      <w:rPr>
        <w:rFonts w:asciiTheme="minorHAnsi" w:hAnsiTheme="minorHAnsi"/>
        <w:sz w:val="20"/>
      </w:rPr>
    </w:tblStylePr>
  </w:style>
  <w:style w:type="character" w:styleId="PlaceholderText">
    <w:name w:val="Placeholder Text"/>
    <w:basedOn w:val="DefaultParagraphFont"/>
    <w:uiPriority w:val="99"/>
    <w:semiHidden/>
    <w:rsid w:val="00325A5B"/>
    <w:rPr>
      <w:color w:val="808080"/>
    </w:rPr>
  </w:style>
  <w:style w:type="paragraph" w:customStyle="1" w:styleId="NCLAppendix">
    <w:name w:val="NCL Appendix"/>
    <w:basedOn w:val="NCLHeading1"/>
    <w:link w:val="NCLAppendixChar"/>
    <w:qFormat/>
    <w:rsid w:val="004C79B4"/>
    <w:pPr>
      <w:numPr>
        <w:numId w:val="0"/>
      </w:numPr>
      <w:ind w:left="567" w:hanging="567"/>
    </w:pPr>
  </w:style>
  <w:style w:type="character" w:customStyle="1" w:styleId="NCLAppendixChar">
    <w:name w:val="NCL Appendix Char"/>
    <w:basedOn w:val="NCLHeading1Char"/>
    <w:link w:val="NCLAppendix"/>
    <w:rsid w:val="004C79B4"/>
    <w:rPr>
      <w:rFonts w:ascii="Calibri" w:eastAsiaTheme="majorEastAsia" w:hAnsi="Calibri" w:cstheme="majorBidi"/>
      <w:b/>
      <w:bCs/>
      <w:color w:val="365F91" w:themeColor="accent1" w:themeShade="BF"/>
      <w:sz w:val="28"/>
      <w:szCs w:val="28"/>
      <w:shd w:val="clear" w:color="auto" w:fill="548DD4" w:themeFill="text2" w:themeFillTint="99"/>
    </w:rPr>
  </w:style>
  <w:style w:type="paragraph" w:customStyle="1" w:styleId="ReportHeading1">
    <w:name w:val="Report Heading 1"/>
    <w:basedOn w:val="Heading1"/>
    <w:next w:val="Normal"/>
    <w:link w:val="ReportHeading1Char"/>
    <w:rsid w:val="008962F6"/>
    <w:pPr>
      <w:numPr>
        <w:numId w:val="0"/>
      </w:numPr>
      <w:ind w:left="851" w:hanging="851"/>
    </w:pPr>
    <w:rPr>
      <w:color w:val="17365D" w:themeColor="text2" w:themeShade="BF"/>
      <w:sz w:val="32"/>
    </w:rPr>
  </w:style>
  <w:style w:type="character" w:customStyle="1" w:styleId="ReportHeading1Char">
    <w:name w:val="Report Heading 1 Char"/>
    <w:basedOn w:val="Heading1Char"/>
    <w:link w:val="ReportHeading1"/>
    <w:rsid w:val="008962F6"/>
    <w:rPr>
      <w:rFonts w:ascii="Calibri" w:eastAsiaTheme="majorEastAsia" w:hAnsi="Calibri" w:cstheme="majorBidi"/>
      <w:b/>
      <w:bCs/>
      <w:color w:val="17365D" w:themeColor="text2" w:themeShade="BF"/>
      <w:sz w:val="32"/>
      <w:szCs w:val="28"/>
    </w:rPr>
  </w:style>
  <w:style w:type="paragraph" w:customStyle="1" w:styleId="ReportHeading2">
    <w:name w:val="Report Heading 2"/>
    <w:basedOn w:val="Heading2"/>
    <w:next w:val="Normal"/>
    <w:link w:val="ReportHeading2Char"/>
    <w:rsid w:val="008962F6"/>
    <w:pPr>
      <w:numPr>
        <w:ilvl w:val="0"/>
        <w:numId w:val="0"/>
      </w:numPr>
      <w:spacing w:before="240" w:after="180"/>
      <w:ind w:left="851" w:hanging="851"/>
      <w:jc w:val="both"/>
    </w:pPr>
    <w:rPr>
      <w:color w:val="000000" w:themeColor="text1"/>
      <w:sz w:val="28"/>
    </w:rPr>
  </w:style>
  <w:style w:type="character" w:customStyle="1" w:styleId="ReportHeading2Char">
    <w:name w:val="Report Heading 2 Char"/>
    <w:basedOn w:val="Heading2Char"/>
    <w:link w:val="ReportHeading2"/>
    <w:rsid w:val="008962F6"/>
    <w:rPr>
      <w:rFonts w:ascii="Calibri" w:eastAsiaTheme="majorEastAsia" w:hAnsi="Calibri" w:cstheme="majorBidi"/>
      <w:b/>
      <w:bCs/>
      <w:color w:val="000000" w:themeColor="text1"/>
      <w:sz w:val="28"/>
      <w:szCs w:val="26"/>
    </w:rPr>
  </w:style>
  <w:style w:type="paragraph" w:customStyle="1" w:styleId="ReportHeading4">
    <w:name w:val="Report Heading 4"/>
    <w:basedOn w:val="Heading4"/>
    <w:next w:val="Normal"/>
    <w:link w:val="ReportHeading4Char"/>
    <w:rsid w:val="008962F6"/>
    <w:pPr>
      <w:numPr>
        <w:ilvl w:val="0"/>
        <w:numId w:val="0"/>
      </w:numPr>
      <w:tabs>
        <w:tab w:val="num" w:pos="851"/>
      </w:tabs>
      <w:spacing w:before="240" w:after="180"/>
      <w:ind w:left="851" w:hanging="851"/>
    </w:pPr>
    <w:rPr>
      <w:rFonts w:ascii="Calibri" w:hAnsi="Calibri"/>
      <w:color w:val="000000" w:themeColor="text1"/>
    </w:rPr>
  </w:style>
  <w:style w:type="character" w:customStyle="1" w:styleId="ReportHeading4Char">
    <w:name w:val="Report Heading 4 Char"/>
    <w:basedOn w:val="Heading4Char"/>
    <w:link w:val="ReportHeading4"/>
    <w:rsid w:val="008962F6"/>
    <w:rPr>
      <w:rFonts w:ascii="Calibri" w:eastAsiaTheme="majorEastAsia" w:hAnsi="Calibri" w:cstheme="majorBidi"/>
      <w:b/>
      <w:bCs/>
      <w:i/>
      <w:iCs/>
      <w:color w:val="000000" w:themeColor="text1"/>
    </w:rPr>
  </w:style>
  <w:style w:type="paragraph" w:customStyle="1" w:styleId="ReportHeading5">
    <w:name w:val="Report Heading 5"/>
    <w:basedOn w:val="Heading5"/>
    <w:next w:val="Normal"/>
    <w:rsid w:val="008962F6"/>
    <w:pPr>
      <w:numPr>
        <w:ilvl w:val="0"/>
        <w:numId w:val="0"/>
      </w:numPr>
      <w:spacing w:before="240" w:after="180"/>
    </w:pPr>
    <w:rPr>
      <w:rFonts w:ascii="Calibri" w:hAnsi="Calibri"/>
      <w:b/>
      <w:color w:val="000000"/>
    </w:rPr>
  </w:style>
  <w:style w:type="paragraph" w:styleId="NormalWeb">
    <w:name w:val="Normal (Web)"/>
    <w:basedOn w:val="Normal"/>
    <w:uiPriority w:val="99"/>
    <w:semiHidden/>
    <w:unhideWhenUsed/>
    <w:rsid w:val="006274B8"/>
    <w:pPr>
      <w:spacing w:before="100" w:beforeAutospacing="1" w:after="100" w:afterAutospacing="1"/>
    </w:pPr>
    <w:rPr>
      <w:rFonts w:ascii="Times New Roman" w:eastAsiaTheme="minorEastAsia" w:hAnsi="Times New Roman"/>
      <w:sz w:val="24"/>
      <w:szCs w:val="24"/>
      <w:lang w:eastAsia="en-GB"/>
    </w:rPr>
  </w:style>
  <w:style w:type="paragraph" w:styleId="Title">
    <w:name w:val="Title"/>
    <w:basedOn w:val="Normal"/>
    <w:link w:val="TitleChar"/>
    <w:rsid w:val="00D46B50"/>
    <w:pPr>
      <w:spacing w:after="0"/>
      <w:jc w:val="center"/>
    </w:pPr>
    <w:rPr>
      <w:rFonts w:ascii="Times New Roman" w:hAnsi="Times New Roman"/>
      <w:b/>
      <w:sz w:val="24"/>
      <w:u w:val="single"/>
      <w:lang w:eastAsia="en-GB"/>
    </w:rPr>
  </w:style>
  <w:style w:type="character" w:customStyle="1" w:styleId="TitleChar">
    <w:name w:val="Title Char"/>
    <w:basedOn w:val="DefaultParagraphFont"/>
    <w:link w:val="Title"/>
    <w:rsid w:val="00D46B50"/>
    <w:rPr>
      <w:rFonts w:ascii="Times New Roman" w:eastAsia="Times New Roman" w:hAnsi="Times New Roman" w:cs="Times New Roman"/>
      <w:b/>
      <w:sz w:val="24"/>
      <w:szCs w:val="20"/>
      <w:u w:val="single"/>
      <w:lang w:eastAsia="en-GB"/>
    </w:rPr>
  </w:style>
  <w:style w:type="paragraph" w:customStyle="1" w:styleId="NormalSCG">
    <w:name w:val="Normal_SCG"/>
    <w:basedOn w:val="Normal"/>
    <w:link w:val="NormalSCGChar"/>
    <w:qFormat/>
    <w:rsid w:val="00D46B50"/>
    <w:pPr>
      <w:tabs>
        <w:tab w:val="left" w:pos="-180"/>
      </w:tabs>
      <w:spacing w:after="0"/>
      <w:ind w:left="-426" w:right="-514"/>
      <w:jc w:val="both"/>
    </w:pPr>
    <w:rPr>
      <w:rFonts w:asciiTheme="minorHAnsi" w:hAnsiTheme="minorHAnsi"/>
      <w:sz w:val="22"/>
      <w:szCs w:val="22"/>
    </w:rPr>
  </w:style>
  <w:style w:type="character" w:customStyle="1" w:styleId="NormalSCGChar">
    <w:name w:val="Normal_SCG Char"/>
    <w:basedOn w:val="DefaultParagraphFont"/>
    <w:link w:val="NormalSCG"/>
    <w:rsid w:val="00D46B50"/>
    <w:rPr>
      <w:rFonts w:eastAsia="Times New Roman" w:cs="Times New Roman"/>
    </w:rPr>
  </w:style>
  <w:style w:type="paragraph" w:styleId="ListParagraph">
    <w:name w:val="List Paragraph"/>
    <w:basedOn w:val="Normal"/>
    <w:uiPriority w:val="34"/>
    <w:unhideWhenUsed/>
    <w:rsid w:val="001B4095"/>
    <w:pPr>
      <w:ind w:left="720"/>
      <w:contextualSpacing/>
    </w:pPr>
  </w:style>
  <w:style w:type="paragraph" w:customStyle="1" w:styleId="Default">
    <w:name w:val="Default"/>
    <w:rsid w:val="007D7D4B"/>
    <w:pPr>
      <w:autoSpaceDE w:val="0"/>
      <w:autoSpaceDN w:val="0"/>
      <w:adjustRightInd w:val="0"/>
      <w:spacing w:after="0" w:line="240" w:lineRule="auto"/>
    </w:pPr>
    <w:rPr>
      <w:rFonts w:ascii="Arial" w:hAnsi="Arial" w:cs="Arial"/>
      <w:color w:val="000000"/>
      <w:sz w:val="24"/>
      <w:szCs w:val="24"/>
    </w:rPr>
  </w:style>
  <w:style w:type="numbering" w:customStyle="1" w:styleId="ListNumbers1">
    <w:name w:val="List Numbers1"/>
    <w:uiPriority w:val="99"/>
    <w:rsid w:val="00FD4E18"/>
  </w:style>
  <w:style w:type="character" w:styleId="UnresolvedMention">
    <w:name w:val="Unresolved Mention"/>
    <w:basedOn w:val="DefaultParagraphFont"/>
    <w:uiPriority w:val="99"/>
    <w:semiHidden/>
    <w:unhideWhenUsed/>
    <w:rsid w:val="00352213"/>
    <w:rPr>
      <w:color w:val="605E5C"/>
      <w:shd w:val="clear" w:color="auto" w:fill="E1DFDD"/>
    </w:rPr>
  </w:style>
  <w:style w:type="paragraph" w:customStyle="1" w:styleId="numbered-paragraph">
    <w:name w:val="numbered-paragraph"/>
    <w:basedOn w:val="Normal"/>
    <w:rsid w:val="00231324"/>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231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57386">
      <w:bodyDiv w:val="1"/>
      <w:marLeft w:val="0"/>
      <w:marRight w:val="0"/>
      <w:marTop w:val="0"/>
      <w:marBottom w:val="0"/>
      <w:divBdr>
        <w:top w:val="none" w:sz="0" w:space="0" w:color="auto"/>
        <w:left w:val="none" w:sz="0" w:space="0" w:color="auto"/>
        <w:bottom w:val="none" w:sz="0" w:space="0" w:color="auto"/>
        <w:right w:val="none" w:sz="0" w:space="0" w:color="auto"/>
      </w:divBdr>
    </w:div>
    <w:div w:id="321855478">
      <w:bodyDiv w:val="1"/>
      <w:marLeft w:val="0"/>
      <w:marRight w:val="0"/>
      <w:marTop w:val="0"/>
      <w:marBottom w:val="0"/>
      <w:divBdr>
        <w:top w:val="none" w:sz="0" w:space="0" w:color="auto"/>
        <w:left w:val="none" w:sz="0" w:space="0" w:color="auto"/>
        <w:bottom w:val="none" w:sz="0" w:space="0" w:color="auto"/>
        <w:right w:val="none" w:sz="0" w:space="0" w:color="auto"/>
      </w:divBdr>
    </w:div>
    <w:div w:id="504781967">
      <w:bodyDiv w:val="1"/>
      <w:marLeft w:val="0"/>
      <w:marRight w:val="0"/>
      <w:marTop w:val="0"/>
      <w:marBottom w:val="0"/>
      <w:divBdr>
        <w:top w:val="none" w:sz="0" w:space="0" w:color="auto"/>
        <w:left w:val="none" w:sz="0" w:space="0" w:color="auto"/>
        <w:bottom w:val="none" w:sz="0" w:space="0" w:color="auto"/>
        <w:right w:val="none" w:sz="0" w:space="0" w:color="auto"/>
      </w:divBdr>
    </w:div>
    <w:div w:id="517237362">
      <w:bodyDiv w:val="1"/>
      <w:marLeft w:val="0"/>
      <w:marRight w:val="0"/>
      <w:marTop w:val="0"/>
      <w:marBottom w:val="0"/>
      <w:divBdr>
        <w:top w:val="none" w:sz="0" w:space="0" w:color="auto"/>
        <w:left w:val="none" w:sz="0" w:space="0" w:color="auto"/>
        <w:bottom w:val="none" w:sz="0" w:space="0" w:color="auto"/>
        <w:right w:val="none" w:sz="0" w:space="0" w:color="auto"/>
      </w:divBdr>
    </w:div>
    <w:div w:id="638653784">
      <w:bodyDiv w:val="1"/>
      <w:marLeft w:val="0"/>
      <w:marRight w:val="0"/>
      <w:marTop w:val="0"/>
      <w:marBottom w:val="0"/>
      <w:divBdr>
        <w:top w:val="none" w:sz="0" w:space="0" w:color="auto"/>
        <w:left w:val="none" w:sz="0" w:space="0" w:color="auto"/>
        <w:bottom w:val="none" w:sz="0" w:space="0" w:color="auto"/>
        <w:right w:val="none" w:sz="0" w:space="0" w:color="auto"/>
      </w:divBdr>
      <w:divsChild>
        <w:div w:id="954868392">
          <w:marLeft w:val="960"/>
          <w:marRight w:val="0"/>
          <w:marTop w:val="0"/>
          <w:marBottom w:val="0"/>
          <w:divBdr>
            <w:top w:val="none" w:sz="0" w:space="0" w:color="auto"/>
            <w:left w:val="none" w:sz="0" w:space="0" w:color="auto"/>
            <w:bottom w:val="none" w:sz="0" w:space="0" w:color="auto"/>
            <w:right w:val="none" w:sz="0" w:space="0" w:color="auto"/>
          </w:divBdr>
        </w:div>
      </w:divsChild>
    </w:div>
    <w:div w:id="752555942">
      <w:bodyDiv w:val="1"/>
      <w:marLeft w:val="0"/>
      <w:marRight w:val="0"/>
      <w:marTop w:val="0"/>
      <w:marBottom w:val="0"/>
      <w:divBdr>
        <w:top w:val="none" w:sz="0" w:space="0" w:color="auto"/>
        <w:left w:val="none" w:sz="0" w:space="0" w:color="auto"/>
        <w:bottom w:val="none" w:sz="0" w:space="0" w:color="auto"/>
        <w:right w:val="none" w:sz="0" w:space="0" w:color="auto"/>
      </w:divBdr>
    </w:div>
    <w:div w:id="823472431">
      <w:bodyDiv w:val="1"/>
      <w:marLeft w:val="0"/>
      <w:marRight w:val="0"/>
      <w:marTop w:val="0"/>
      <w:marBottom w:val="0"/>
      <w:divBdr>
        <w:top w:val="none" w:sz="0" w:space="0" w:color="auto"/>
        <w:left w:val="none" w:sz="0" w:space="0" w:color="auto"/>
        <w:bottom w:val="none" w:sz="0" w:space="0" w:color="auto"/>
        <w:right w:val="none" w:sz="0" w:space="0" w:color="auto"/>
      </w:divBdr>
    </w:div>
    <w:div w:id="848566913">
      <w:bodyDiv w:val="1"/>
      <w:marLeft w:val="0"/>
      <w:marRight w:val="0"/>
      <w:marTop w:val="0"/>
      <w:marBottom w:val="0"/>
      <w:divBdr>
        <w:top w:val="none" w:sz="0" w:space="0" w:color="auto"/>
        <w:left w:val="none" w:sz="0" w:space="0" w:color="auto"/>
        <w:bottom w:val="none" w:sz="0" w:space="0" w:color="auto"/>
        <w:right w:val="none" w:sz="0" w:space="0" w:color="auto"/>
      </w:divBdr>
    </w:div>
    <w:div w:id="894050586">
      <w:bodyDiv w:val="1"/>
      <w:marLeft w:val="0"/>
      <w:marRight w:val="0"/>
      <w:marTop w:val="0"/>
      <w:marBottom w:val="0"/>
      <w:divBdr>
        <w:top w:val="none" w:sz="0" w:space="0" w:color="auto"/>
        <w:left w:val="none" w:sz="0" w:space="0" w:color="auto"/>
        <w:bottom w:val="none" w:sz="0" w:space="0" w:color="auto"/>
        <w:right w:val="none" w:sz="0" w:space="0" w:color="auto"/>
      </w:divBdr>
    </w:div>
    <w:div w:id="944656103">
      <w:bodyDiv w:val="1"/>
      <w:marLeft w:val="0"/>
      <w:marRight w:val="0"/>
      <w:marTop w:val="0"/>
      <w:marBottom w:val="0"/>
      <w:divBdr>
        <w:top w:val="none" w:sz="0" w:space="0" w:color="auto"/>
        <w:left w:val="none" w:sz="0" w:space="0" w:color="auto"/>
        <w:bottom w:val="none" w:sz="0" w:space="0" w:color="auto"/>
        <w:right w:val="none" w:sz="0" w:space="0" w:color="auto"/>
      </w:divBdr>
    </w:div>
    <w:div w:id="953095197">
      <w:bodyDiv w:val="1"/>
      <w:marLeft w:val="0"/>
      <w:marRight w:val="0"/>
      <w:marTop w:val="0"/>
      <w:marBottom w:val="0"/>
      <w:divBdr>
        <w:top w:val="none" w:sz="0" w:space="0" w:color="auto"/>
        <w:left w:val="none" w:sz="0" w:space="0" w:color="auto"/>
        <w:bottom w:val="none" w:sz="0" w:space="0" w:color="auto"/>
        <w:right w:val="none" w:sz="0" w:space="0" w:color="auto"/>
      </w:divBdr>
    </w:div>
    <w:div w:id="977490056">
      <w:bodyDiv w:val="1"/>
      <w:marLeft w:val="0"/>
      <w:marRight w:val="0"/>
      <w:marTop w:val="0"/>
      <w:marBottom w:val="0"/>
      <w:divBdr>
        <w:top w:val="none" w:sz="0" w:space="0" w:color="auto"/>
        <w:left w:val="none" w:sz="0" w:space="0" w:color="auto"/>
        <w:bottom w:val="none" w:sz="0" w:space="0" w:color="auto"/>
        <w:right w:val="none" w:sz="0" w:space="0" w:color="auto"/>
      </w:divBdr>
    </w:div>
    <w:div w:id="1059086281">
      <w:bodyDiv w:val="1"/>
      <w:marLeft w:val="0"/>
      <w:marRight w:val="0"/>
      <w:marTop w:val="0"/>
      <w:marBottom w:val="0"/>
      <w:divBdr>
        <w:top w:val="none" w:sz="0" w:space="0" w:color="auto"/>
        <w:left w:val="none" w:sz="0" w:space="0" w:color="auto"/>
        <w:bottom w:val="none" w:sz="0" w:space="0" w:color="auto"/>
        <w:right w:val="none" w:sz="0" w:space="0" w:color="auto"/>
      </w:divBdr>
    </w:div>
    <w:div w:id="1101611634">
      <w:bodyDiv w:val="1"/>
      <w:marLeft w:val="0"/>
      <w:marRight w:val="0"/>
      <w:marTop w:val="0"/>
      <w:marBottom w:val="0"/>
      <w:divBdr>
        <w:top w:val="none" w:sz="0" w:space="0" w:color="auto"/>
        <w:left w:val="none" w:sz="0" w:space="0" w:color="auto"/>
        <w:bottom w:val="none" w:sz="0" w:space="0" w:color="auto"/>
        <w:right w:val="none" w:sz="0" w:space="0" w:color="auto"/>
      </w:divBdr>
    </w:div>
    <w:div w:id="1150748999">
      <w:bodyDiv w:val="1"/>
      <w:marLeft w:val="0"/>
      <w:marRight w:val="0"/>
      <w:marTop w:val="0"/>
      <w:marBottom w:val="0"/>
      <w:divBdr>
        <w:top w:val="none" w:sz="0" w:space="0" w:color="auto"/>
        <w:left w:val="none" w:sz="0" w:space="0" w:color="auto"/>
        <w:bottom w:val="none" w:sz="0" w:space="0" w:color="auto"/>
        <w:right w:val="none" w:sz="0" w:space="0" w:color="auto"/>
      </w:divBdr>
    </w:div>
    <w:div w:id="1420444671">
      <w:bodyDiv w:val="1"/>
      <w:marLeft w:val="0"/>
      <w:marRight w:val="0"/>
      <w:marTop w:val="0"/>
      <w:marBottom w:val="0"/>
      <w:divBdr>
        <w:top w:val="none" w:sz="0" w:space="0" w:color="auto"/>
        <w:left w:val="none" w:sz="0" w:space="0" w:color="auto"/>
        <w:bottom w:val="none" w:sz="0" w:space="0" w:color="auto"/>
        <w:right w:val="none" w:sz="0" w:space="0" w:color="auto"/>
      </w:divBdr>
    </w:div>
    <w:div w:id="1508012618">
      <w:bodyDiv w:val="1"/>
      <w:marLeft w:val="0"/>
      <w:marRight w:val="0"/>
      <w:marTop w:val="0"/>
      <w:marBottom w:val="0"/>
      <w:divBdr>
        <w:top w:val="none" w:sz="0" w:space="0" w:color="auto"/>
        <w:left w:val="none" w:sz="0" w:space="0" w:color="auto"/>
        <w:bottom w:val="none" w:sz="0" w:space="0" w:color="auto"/>
        <w:right w:val="none" w:sz="0" w:space="0" w:color="auto"/>
      </w:divBdr>
    </w:div>
    <w:div w:id="1664046497">
      <w:bodyDiv w:val="1"/>
      <w:marLeft w:val="0"/>
      <w:marRight w:val="0"/>
      <w:marTop w:val="0"/>
      <w:marBottom w:val="0"/>
      <w:divBdr>
        <w:top w:val="none" w:sz="0" w:space="0" w:color="auto"/>
        <w:left w:val="none" w:sz="0" w:space="0" w:color="auto"/>
        <w:bottom w:val="none" w:sz="0" w:space="0" w:color="auto"/>
        <w:right w:val="none" w:sz="0" w:space="0" w:color="auto"/>
      </w:divBdr>
    </w:div>
    <w:div w:id="1735278165">
      <w:bodyDiv w:val="1"/>
      <w:marLeft w:val="0"/>
      <w:marRight w:val="0"/>
      <w:marTop w:val="0"/>
      <w:marBottom w:val="0"/>
      <w:divBdr>
        <w:top w:val="none" w:sz="0" w:space="0" w:color="auto"/>
        <w:left w:val="none" w:sz="0" w:space="0" w:color="auto"/>
        <w:bottom w:val="none" w:sz="0" w:space="0" w:color="auto"/>
        <w:right w:val="none" w:sz="0" w:space="0" w:color="auto"/>
      </w:divBdr>
    </w:div>
    <w:div w:id="1750689251">
      <w:bodyDiv w:val="1"/>
      <w:marLeft w:val="0"/>
      <w:marRight w:val="0"/>
      <w:marTop w:val="0"/>
      <w:marBottom w:val="0"/>
      <w:divBdr>
        <w:top w:val="none" w:sz="0" w:space="0" w:color="auto"/>
        <w:left w:val="none" w:sz="0" w:space="0" w:color="auto"/>
        <w:bottom w:val="none" w:sz="0" w:space="0" w:color="auto"/>
        <w:right w:val="none" w:sz="0" w:space="0" w:color="auto"/>
      </w:divBdr>
    </w:div>
    <w:div w:id="1818912569">
      <w:bodyDiv w:val="1"/>
      <w:marLeft w:val="0"/>
      <w:marRight w:val="0"/>
      <w:marTop w:val="0"/>
      <w:marBottom w:val="0"/>
      <w:divBdr>
        <w:top w:val="none" w:sz="0" w:space="0" w:color="auto"/>
        <w:left w:val="none" w:sz="0" w:space="0" w:color="auto"/>
        <w:bottom w:val="none" w:sz="0" w:space="0" w:color="auto"/>
        <w:right w:val="none" w:sz="0" w:space="0" w:color="auto"/>
      </w:divBdr>
    </w:div>
    <w:div w:id="1839533830">
      <w:bodyDiv w:val="1"/>
      <w:marLeft w:val="0"/>
      <w:marRight w:val="0"/>
      <w:marTop w:val="0"/>
      <w:marBottom w:val="0"/>
      <w:divBdr>
        <w:top w:val="none" w:sz="0" w:space="0" w:color="auto"/>
        <w:left w:val="none" w:sz="0" w:space="0" w:color="auto"/>
        <w:bottom w:val="none" w:sz="0" w:space="0" w:color="auto"/>
        <w:right w:val="none" w:sz="0" w:space="0" w:color="auto"/>
      </w:divBdr>
    </w:div>
    <w:div w:id="19448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ng87/chapter/Recommendations" TargetMode="External"/><Relationship Id="rId18" Type="http://schemas.openxmlformats.org/officeDocument/2006/relationships/hyperlink" Target="https://products.mhra.gov.uk/" TargetMode="External"/><Relationship Id="rId26" Type="http://schemas.openxmlformats.org/officeDocument/2006/relationships/hyperlink" Target="https://www.nice.org.uk/guidance/ng87"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edicines.org.uk" TargetMode="External"/><Relationship Id="rId34" Type="http://schemas.openxmlformats.org/officeDocument/2006/relationships/hyperlink" Target="mailto:tpn-tr.CYAF-Intake@nhs.net" TargetMode="External"/><Relationship Id="rId7" Type="http://schemas.openxmlformats.org/officeDocument/2006/relationships/settings" Target="settings.xml"/><Relationship Id="rId12" Type="http://schemas.openxmlformats.org/officeDocument/2006/relationships/hyperlink" Target="https://nclhealthandcare.org.uk/" TargetMode="External"/><Relationship Id="rId17" Type="http://schemas.openxmlformats.org/officeDocument/2006/relationships/hyperlink" Target="http://www.medicines.org.uk" TargetMode="External"/><Relationship Id="rId25" Type="http://schemas.openxmlformats.org/officeDocument/2006/relationships/hyperlink" Target="https://bnfc.nice.org.uk/" TargetMode="External"/><Relationship Id="rId33" Type="http://schemas.openxmlformats.org/officeDocument/2006/relationships/hyperlink" Target="mailto:whh-tr.icamhsadmin@nhs.net"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nfc.nice.org.uk/" TargetMode="External"/><Relationship Id="rId20" Type="http://schemas.openxmlformats.org/officeDocument/2006/relationships/hyperlink" Target="http://www.medicines.org.uk" TargetMode="External"/><Relationship Id="rId29" Type="http://schemas.openxmlformats.org/officeDocument/2006/relationships/hyperlink" Target="https://www.nice.org.uk/advice/esnm19/resources/attention-deficit-hyperactivity-disorder-in-children-and-young-people-lisdexamfetamine-dimesylate-pdf-15026808112895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ducts.mhra.gov.uk/" TargetMode="External"/><Relationship Id="rId32" Type="http://schemas.openxmlformats.org/officeDocument/2006/relationships/hyperlink" Target="mailto:beh-tr.camhsreferral@nhs.net"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mc-uk.org/professional-standards/professional-standards-for-doctors/good-practice-in-prescribing-and-managing-medicines-and-devices/prescribing-unlicensed-medicines" TargetMode="External"/><Relationship Id="rId23" Type="http://schemas.openxmlformats.org/officeDocument/2006/relationships/hyperlink" Target="http://www.medicines.org.uk" TargetMode="External"/><Relationship Id="rId28" Type="http://schemas.openxmlformats.org/officeDocument/2006/relationships/hyperlink" Target="https://bnf.nice.org.uk/" TargetMode="External"/><Relationship Id="rId36" Type="http://schemas.openxmlformats.org/officeDocument/2006/relationships/hyperlink" Target="mailto:tpn-tr.CYAF-Intake@nhs.net" TargetMode="External"/><Relationship Id="rId10" Type="http://schemas.openxmlformats.org/officeDocument/2006/relationships/endnotes" Target="endnotes.xml"/><Relationship Id="rId19" Type="http://schemas.openxmlformats.org/officeDocument/2006/relationships/hyperlink" Target="https://yellowcard.mhra.gov.uk/" TargetMode="External"/><Relationship Id="rId31" Type="http://schemas.openxmlformats.org/officeDocument/2006/relationships/hyperlink" Target="mailto:beh-tr.enfieldcamhs@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ng87/chapter/Recommendations" TargetMode="External"/><Relationship Id="rId22" Type="http://schemas.openxmlformats.org/officeDocument/2006/relationships/hyperlink" Target="http://www.medicines.org.uk" TargetMode="External"/><Relationship Id="rId27" Type="http://schemas.openxmlformats.org/officeDocument/2006/relationships/hyperlink" Target="http://www.medicines.org.uk" TargetMode="External"/><Relationship Id="rId30" Type="http://schemas.openxmlformats.org/officeDocument/2006/relationships/hyperlink" Target="mailto:beh-tr.camhsadmin@nhs.net" TargetMode="External"/><Relationship Id="rId35" Type="http://schemas.openxmlformats.org/officeDocument/2006/relationships/hyperlink" Target="https://www.uclh.nhs.uk/OurServices/ServiceA-Z/CYPS/CAPS/Pages/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e37781b-99aa-4df2-92c5-14938be939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0904F1CA799A4EB2B8E1B37AAB5F88" ma:contentTypeVersion="15" ma:contentTypeDescription="Create a new document." ma:contentTypeScope="" ma:versionID="b1b672aa30a79f11d3854f80993c8bbb">
  <xsd:schema xmlns:xsd="http://www.w3.org/2001/XMLSchema" xmlns:xs="http://www.w3.org/2001/XMLSchema" xmlns:p="http://schemas.microsoft.com/office/2006/metadata/properties" xmlns:ns1="http://schemas.microsoft.com/sharepoint/v3" xmlns:ns2="de37781b-99aa-4df2-92c5-14938be939e3" xmlns:ns3="c3ed8bc8-98dc-4f3f-bb05-b9d1322e6f3e" targetNamespace="http://schemas.microsoft.com/office/2006/metadata/properties" ma:root="true" ma:fieldsID="f9777aca5a72aa1228751a4fc2cdd33d" ns1:_="" ns2:_="" ns3:_="">
    <xsd:import namespace="http://schemas.microsoft.com/sharepoint/v3"/>
    <xsd:import namespace="de37781b-99aa-4df2-92c5-14938be939e3"/>
    <xsd:import namespace="c3ed8bc8-98dc-4f3f-bb05-b9d1322e6f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37781b-99aa-4df2-92c5-14938be9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ed8bc8-98dc-4f3f-bb05-b9d1322e6f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08F28-7DC2-493D-8536-BED0163E1B44}">
  <ds:schemaRefs>
    <ds:schemaRef ds:uri="http://schemas.microsoft.com/sharepoint/v3/contenttype/forms"/>
  </ds:schemaRefs>
</ds:datastoreItem>
</file>

<file path=customXml/itemProps2.xml><?xml version="1.0" encoding="utf-8"?>
<ds:datastoreItem xmlns:ds="http://schemas.openxmlformats.org/officeDocument/2006/customXml" ds:itemID="{7FA13584-273A-425D-81FC-FC84369EA5EE}">
  <ds:schemaRefs>
    <ds:schemaRef ds:uri="http://schemas.microsoft.com/office/2006/documentManagement/types"/>
    <ds:schemaRef ds:uri="http://schemas.microsoft.com/office/2006/metadata/properties"/>
    <ds:schemaRef ds:uri="c3ed8bc8-98dc-4f3f-bb05-b9d1322e6f3e"/>
    <ds:schemaRef ds:uri="de37781b-99aa-4df2-92c5-14938be939e3"/>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schemas.microsoft.com/sharepoint/v3"/>
    <ds:schemaRef ds:uri="http://purl.org/dc/dcmitype/"/>
  </ds:schemaRefs>
</ds:datastoreItem>
</file>

<file path=customXml/itemProps3.xml><?xml version="1.0" encoding="utf-8"?>
<ds:datastoreItem xmlns:ds="http://schemas.openxmlformats.org/officeDocument/2006/customXml" ds:itemID="{BA9FF964-4E99-4085-8D51-3B0A7089C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37781b-99aa-4df2-92c5-14938be939e3"/>
    <ds:schemaRef ds:uri="c3ed8bc8-98dc-4f3f-bb05-b9d1322e6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4E381-823B-4B1E-AB66-D2279587457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18</Pages>
  <Words>6515</Words>
  <Characters>37142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&lt;&lt;Add Title. Not more than 4 lines. Drop font size as necessary to fit in box&gt;&gt;</vt:lpstr>
    </vt:vector>
  </TitlesOfParts>
  <Company>Abacus International</Company>
  <LinksUpToDate>false</LinksUpToDate>
  <CharactersWithSpaces>43570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&lt;&lt;Add Title. Not more than 4 lines. Drop font size as necessary to fit in box&gt;&gt;</dc:title>
  <dc:subject>….</dc:subject>
  <dc:creator>Gurpal Grewal</dc:creator>
  <cp:lastModifiedBy>MARU, Saloni (UNIVERSITY COLLEGE LONDON HOSPITALS NHS FOUNDATION TRUST)</cp:lastModifiedBy>
  <cp:revision>2</cp:revision>
  <cp:lastPrinted>2024-05-14T17:14:00Z</cp:lastPrinted>
  <dcterms:created xsi:type="dcterms:W3CDTF">2024-05-14T17:16:00Z</dcterms:created>
  <dcterms:modified xsi:type="dcterms:W3CDTF">2024-05-14T17:16:00Z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0x0101002D0904F1CA799A4EB2B8E1B37AAB5F88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