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xml" ContentType="application/vnd.openxmlformats-officedocument.wordprocessingml.footer+xml"/>
  <Override PartName="/word/header24.xml" ContentType="application/vnd.openxmlformats-officedocument.wordprocessingml.header+xml"/>
  <Override PartName="/word/footer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43CD" w14:textId="77777777" w:rsidR="007F6DF7" w:rsidRDefault="002C4268">
      <w:pPr>
        <w:pStyle w:val="BodyText"/>
        <w:ind w:left="8656"/>
        <w:rPr>
          <w:rFonts w:ascii="Times New Roman"/>
          <w:sz w:val="20"/>
        </w:rPr>
      </w:pPr>
      <w:r>
        <w:rPr>
          <w:rFonts w:ascii="Times New Roman"/>
          <w:noProof/>
          <w:sz w:val="20"/>
        </w:rPr>
        <w:drawing>
          <wp:inline distT="0" distB="0" distL="0" distR="0" wp14:anchorId="7C071225" wp14:editId="3650011D">
            <wp:extent cx="880135" cy="3563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880135" cy="356330"/>
                    </a:xfrm>
                    <a:prstGeom prst="rect">
                      <a:avLst/>
                    </a:prstGeom>
                  </pic:spPr>
                </pic:pic>
              </a:graphicData>
            </a:graphic>
          </wp:inline>
        </w:drawing>
      </w:r>
    </w:p>
    <w:p w14:paraId="4350C8A5" w14:textId="77777777" w:rsidR="007F6DF7" w:rsidRDefault="007F6DF7">
      <w:pPr>
        <w:pStyle w:val="BodyText"/>
        <w:rPr>
          <w:rFonts w:ascii="Times New Roman"/>
          <w:sz w:val="20"/>
        </w:rPr>
      </w:pPr>
    </w:p>
    <w:p w14:paraId="0D2E2C20" w14:textId="77777777" w:rsidR="007F6DF7" w:rsidRDefault="007F6DF7">
      <w:pPr>
        <w:pStyle w:val="BodyText"/>
        <w:spacing w:before="1"/>
        <w:rPr>
          <w:rFonts w:ascii="Times New Roman"/>
          <w:sz w:val="19"/>
        </w:rPr>
      </w:pPr>
    </w:p>
    <w:p w14:paraId="3F5F745C" w14:textId="77777777" w:rsidR="007F6DF7" w:rsidRDefault="002C4268">
      <w:pPr>
        <w:pStyle w:val="Heading2"/>
        <w:spacing w:before="92"/>
        <w:ind w:left="6943" w:right="704" w:firstLine="643"/>
        <w:rPr>
          <w:rFonts w:ascii="Arial"/>
        </w:rPr>
      </w:pPr>
      <w:r>
        <w:rPr>
          <w:rFonts w:ascii="Arial"/>
          <w:color w:val="0071C5"/>
        </w:rPr>
        <w:t>North Central London Joint Formulary Committee</w:t>
      </w:r>
    </w:p>
    <w:p w14:paraId="4BFFB1C2" w14:textId="77777777" w:rsidR="007F6DF7" w:rsidRDefault="007F6DF7">
      <w:pPr>
        <w:pStyle w:val="BodyText"/>
        <w:rPr>
          <w:rFonts w:ascii="Arial"/>
          <w:b/>
          <w:sz w:val="20"/>
        </w:rPr>
      </w:pPr>
    </w:p>
    <w:p w14:paraId="2B532C21" w14:textId="35F108F4" w:rsidR="007F6DF7" w:rsidRDefault="002C4268">
      <w:pPr>
        <w:pStyle w:val="BodyText"/>
        <w:spacing w:before="6"/>
        <w:rPr>
          <w:rFonts w:ascii="Arial"/>
          <w:b/>
          <w:sz w:val="23"/>
        </w:rPr>
      </w:pPr>
      <w:r>
        <w:rPr>
          <w:noProof/>
        </w:rPr>
        <mc:AlternateContent>
          <mc:Choice Requires="wps">
            <w:drawing>
              <wp:anchor distT="0" distB="0" distL="0" distR="0" simplePos="0" relativeHeight="251666944" behindDoc="1" locked="0" layoutInCell="1" allowOverlap="1" wp14:anchorId="36479020" wp14:editId="7EAFB649">
                <wp:simplePos x="0" y="0"/>
                <wp:positionH relativeFrom="page">
                  <wp:posOffset>682625</wp:posOffset>
                </wp:positionH>
                <wp:positionV relativeFrom="paragraph">
                  <wp:posOffset>206375</wp:posOffset>
                </wp:positionV>
                <wp:extent cx="6000115" cy="1487805"/>
                <wp:effectExtent l="15875" t="15875" r="13335" b="10795"/>
                <wp:wrapTopAndBottom/>
                <wp:docPr id="8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115" cy="1487805"/>
                        </a:xfrm>
                        <a:prstGeom prst="rect">
                          <a:avLst/>
                        </a:prstGeom>
                        <a:solidFill>
                          <a:srgbClr val="538DD3"/>
                        </a:solidFill>
                        <a:ln w="18288">
                          <a:solidFill>
                            <a:srgbClr val="C0C0C0"/>
                          </a:solidFill>
                          <a:miter lim="800000"/>
                          <a:headEnd/>
                          <a:tailEnd/>
                        </a:ln>
                      </wps:spPr>
                      <wps:txbx>
                        <w:txbxContent>
                          <w:p w14:paraId="67E3A21A" w14:textId="77777777" w:rsidR="007F6DF7" w:rsidRDefault="002C4268">
                            <w:pPr>
                              <w:spacing w:before="58" w:line="439" w:lineRule="exact"/>
                              <w:ind w:left="2734"/>
                              <w:rPr>
                                <w:b/>
                                <w:sz w:val="36"/>
                              </w:rPr>
                            </w:pPr>
                            <w:r>
                              <w:rPr>
                                <w:b/>
                                <w:color w:val="FFFFFF"/>
                                <w:sz w:val="36"/>
                              </w:rPr>
                              <w:t>Shared Care Guideline</w:t>
                            </w:r>
                          </w:p>
                          <w:p w14:paraId="22CEBBAE" w14:textId="77777777" w:rsidR="007F6DF7" w:rsidRDefault="002C4268">
                            <w:pPr>
                              <w:ind w:left="445" w:right="472"/>
                              <w:jc w:val="center"/>
                              <w:rPr>
                                <w:b/>
                                <w:sz w:val="36"/>
                              </w:rPr>
                            </w:pPr>
                            <w:r>
                              <w:rPr>
                                <w:b/>
                                <w:color w:val="FFFFFF"/>
                                <w:sz w:val="36"/>
                              </w:rPr>
                              <w:t>Methylphenidate (immediate release and long - acting), Lisdexamfetamine, Atomoxetine and</w:t>
                            </w:r>
                          </w:p>
                          <w:p w14:paraId="7002BBD4" w14:textId="77777777" w:rsidR="007F6DF7" w:rsidRDefault="002C4268">
                            <w:pPr>
                              <w:spacing w:before="2"/>
                              <w:ind w:left="445" w:right="489"/>
                              <w:jc w:val="center"/>
                              <w:rPr>
                                <w:b/>
                                <w:sz w:val="36"/>
                              </w:rPr>
                            </w:pPr>
                            <w:r>
                              <w:rPr>
                                <w:b/>
                                <w:color w:val="FFFFFF"/>
                                <w:spacing w:val="26"/>
                                <w:sz w:val="36"/>
                              </w:rPr>
                              <w:t xml:space="preserve">Dexamfetamine </w:t>
                            </w:r>
                            <w:r>
                              <w:rPr>
                                <w:b/>
                                <w:color w:val="FFFFFF"/>
                                <w:spacing w:val="20"/>
                                <w:sz w:val="36"/>
                              </w:rPr>
                              <w:t xml:space="preserve">for </w:t>
                            </w:r>
                            <w:r>
                              <w:rPr>
                                <w:b/>
                                <w:color w:val="FFFFFF"/>
                                <w:spacing w:val="26"/>
                                <w:sz w:val="36"/>
                              </w:rPr>
                              <w:t xml:space="preserve">treatment </w:t>
                            </w:r>
                            <w:r>
                              <w:rPr>
                                <w:b/>
                                <w:color w:val="FFFFFF"/>
                                <w:spacing w:val="14"/>
                                <w:sz w:val="36"/>
                              </w:rPr>
                              <w:t xml:space="preserve">of </w:t>
                            </w:r>
                            <w:r>
                              <w:rPr>
                                <w:b/>
                                <w:color w:val="FFFFFF"/>
                                <w:spacing w:val="23"/>
                                <w:sz w:val="36"/>
                              </w:rPr>
                              <w:t xml:space="preserve">Adult </w:t>
                            </w:r>
                            <w:r>
                              <w:rPr>
                                <w:b/>
                                <w:color w:val="FFFFFF"/>
                                <w:spacing w:val="25"/>
                                <w:sz w:val="36"/>
                              </w:rPr>
                              <w:t xml:space="preserve">Attention Deficit </w:t>
                            </w:r>
                            <w:r>
                              <w:rPr>
                                <w:b/>
                                <w:color w:val="FFFFFF"/>
                                <w:spacing w:val="26"/>
                                <w:sz w:val="36"/>
                              </w:rPr>
                              <w:t xml:space="preserve">Hyperactivity </w:t>
                            </w:r>
                            <w:r>
                              <w:rPr>
                                <w:b/>
                                <w:color w:val="FFFFFF"/>
                                <w:spacing w:val="25"/>
                                <w:sz w:val="36"/>
                              </w:rPr>
                              <w:t xml:space="preserve">Disorder </w:t>
                            </w:r>
                            <w:r>
                              <w:rPr>
                                <w:b/>
                                <w:color w:val="FFFFFF"/>
                                <w:sz w:val="36"/>
                              </w:rPr>
                              <w:t xml:space="preserve">( </w:t>
                            </w:r>
                            <w:r>
                              <w:rPr>
                                <w:b/>
                                <w:color w:val="FFFFFF"/>
                                <w:spacing w:val="23"/>
                                <w:sz w:val="36"/>
                              </w:rPr>
                              <w:t>ADHD)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79020" id="_x0000_t202" coordsize="21600,21600" o:spt="202" path="m,l,21600r21600,l21600,xe">
                <v:stroke joinstyle="miter"/>
                <v:path gradientshapeok="t" o:connecttype="rect"/>
              </v:shapetype>
              <v:shape id="Text Box 72" o:spid="_x0000_s1026" type="#_x0000_t202" style="position:absolute;margin-left:53.75pt;margin-top:16.25pt;width:472.45pt;height:117.1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" fillcolor="#538dd3" strokecolor="silver" strokeweight="1.44pt">
                <v:textbox inset="0,0,0,0">
                  <w:txbxContent>
                    <w:p w14:paraId="67E3A21A" w14:textId="77777777" w:rsidR="007F6DF7" w:rsidRDefault="002C4268">
                      <w:pPr>
                        <w:spacing w:before="58" w:line="439" w:lineRule="exact"/>
                        <w:ind w:left="2734"/>
                        <w:rPr>
                          <w:b/>
                          <w:sz w:val="36"/>
                        </w:rPr>
                      </w:pPr>
                      <w:r>
                        <w:rPr>
                          <w:b/>
                          <w:color w:val="FFFFFF"/>
                          <w:sz w:val="36"/>
                        </w:rPr>
                        <w:t>Shared Care Guideline</w:t>
                      </w:r>
                    </w:p>
                    <w:p w14:paraId="22CEBBAE" w14:textId="77777777" w:rsidR="007F6DF7" w:rsidRDefault="002C4268">
                      <w:pPr>
                        <w:ind w:left="445" w:right="472"/>
                        <w:jc w:val="center"/>
                        <w:rPr>
                          <w:b/>
                          <w:sz w:val="36"/>
                        </w:rPr>
                      </w:pPr>
                      <w:r>
                        <w:rPr>
                          <w:b/>
                          <w:color w:val="FFFFFF"/>
                          <w:sz w:val="36"/>
                        </w:rPr>
                        <w:t>Methylphenidate (immediate release and long - acting), Lisdexamfetamine, Atomoxetine and</w:t>
                      </w:r>
                    </w:p>
                    <w:p w14:paraId="7002BBD4" w14:textId="77777777" w:rsidR="007F6DF7" w:rsidRDefault="002C4268">
                      <w:pPr>
                        <w:spacing w:before="2"/>
                        <w:ind w:left="445" w:right="489"/>
                        <w:jc w:val="center"/>
                        <w:rPr>
                          <w:b/>
                          <w:sz w:val="36"/>
                        </w:rPr>
                      </w:pPr>
                      <w:r>
                        <w:rPr>
                          <w:b/>
                          <w:color w:val="FFFFFF"/>
                          <w:spacing w:val="26"/>
                          <w:sz w:val="36"/>
                        </w:rPr>
                        <w:t xml:space="preserve">Dexamfetamine </w:t>
                      </w:r>
                      <w:r>
                        <w:rPr>
                          <w:b/>
                          <w:color w:val="FFFFFF"/>
                          <w:spacing w:val="20"/>
                          <w:sz w:val="36"/>
                        </w:rPr>
                        <w:t xml:space="preserve">for </w:t>
                      </w:r>
                      <w:r>
                        <w:rPr>
                          <w:b/>
                          <w:color w:val="FFFFFF"/>
                          <w:spacing w:val="26"/>
                          <w:sz w:val="36"/>
                        </w:rPr>
                        <w:t xml:space="preserve">treatment </w:t>
                      </w:r>
                      <w:r>
                        <w:rPr>
                          <w:b/>
                          <w:color w:val="FFFFFF"/>
                          <w:spacing w:val="14"/>
                          <w:sz w:val="36"/>
                        </w:rPr>
                        <w:t xml:space="preserve">of </w:t>
                      </w:r>
                      <w:r>
                        <w:rPr>
                          <w:b/>
                          <w:color w:val="FFFFFF"/>
                          <w:spacing w:val="23"/>
                          <w:sz w:val="36"/>
                        </w:rPr>
                        <w:t xml:space="preserve">Adult </w:t>
                      </w:r>
                      <w:r>
                        <w:rPr>
                          <w:b/>
                          <w:color w:val="FFFFFF"/>
                          <w:spacing w:val="25"/>
                          <w:sz w:val="36"/>
                        </w:rPr>
                        <w:t xml:space="preserve">Attention Deficit </w:t>
                      </w:r>
                      <w:r>
                        <w:rPr>
                          <w:b/>
                          <w:color w:val="FFFFFF"/>
                          <w:spacing w:val="26"/>
                          <w:sz w:val="36"/>
                        </w:rPr>
                        <w:t xml:space="preserve">Hyperactivity </w:t>
                      </w:r>
                      <w:r>
                        <w:rPr>
                          <w:b/>
                          <w:color w:val="FFFFFF"/>
                          <w:spacing w:val="25"/>
                          <w:sz w:val="36"/>
                        </w:rPr>
                        <w:t xml:space="preserve">Disorder </w:t>
                      </w:r>
                      <w:r>
                        <w:rPr>
                          <w:b/>
                          <w:color w:val="FFFFFF"/>
                          <w:sz w:val="36"/>
                        </w:rPr>
                        <w:t xml:space="preserve">( </w:t>
                      </w:r>
                      <w:r>
                        <w:rPr>
                          <w:b/>
                          <w:color w:val="FFFFFF"/>
                          <w:spacing w:val="23"/>
                          <w:sz w:val="36"/>
                        </w:rPr>
                        <w:t>ADHD)</w:t>
                      </w:r>
                    </w:p>
                  </w:txbxContent>
                </v:textbox>
                <w10:wrap type="topAndBottom" anchorx="page"/>
              </v:shape>
            </w:pict>
          </mc:Fallback>
        </mc:AlternateContent>
      </w:r>
    </w:p>
    <w:p w14:paraId="30D0C0DC" w14:textId="77777777" w:rsidR="007F6DF7" w:rsidRDefault="007F6DF7">
      <w:pPr>
        <w:pStyle w:val="BodyText"/>
        <w:rPr>
          <w:rFonts w:ascii="Arial"/>
          <w:b/>
          <w:sz w:val="26"/>
        </w:rPr>
      </w:pPr>
    </w:p>
    <w:p w14:paraId="53838DB7" w14:textId="77777777" w:rsidR="007F6DF7" w:rsidRDefault="007F6DF7">
      <w:pPr>
        <w:pStyle w:val="BodyText"/>
        <w:spacing w:before="6"/>
        <w:rPr>
          <w:rFonts w:ascii="Arial"/>
          <w:b/>
          <w:sz w:val="28"/>
        </w:rPr>
      </w:pPr>
    </w:p>
    <w:p w14:paraId="78E07E7E" w14:textId="77777777" w:rsidR="007F6DF7" w:rsidRDefault="002C4268">
      <w:pPr>
        <w:pStyle w:val="BodyText"/>
        <w:ind w:left="733"/>
      </w:pPr>
      <w:r>
        <w:t>Dear Primary care prescriber,</w:t>
      </w:r>
    </w:p>
    <w:p w14:paraId="57619FE2" w14:textId="77777777" w:rsidR="007F6DF7" w:rsidRDefault="002C4268">
      <w:pPr>
        <w:pStyle w:val="BodyText"/>
        <w:spacing w:before="60"/>
        <w:ind w:left="733" w:right="716"/>
        <w:jc w:val="both"/>
      </w:pPr>
      <w:r>
        <w:t>The information in the shared care guideline (SCG) has been developed in consultation with Primary Care and it has been agreed that it is suitable for shared</w:t>
      </w:r>
      <w:r>
        <w:rPr>
          <w:spacing w:val="-10"/>
        </w:rPr>
        <w:t xml:space="preserve"> </w:t>
      </w:r>
      <w:r>
        <w:t>care.</w:t>
      </w:r>
    </w:p>
    <w:p w14:paraId="573F8188" w14:textId="77777777" w:rsidR="007F6DF7" w:rsidRDefault="002C4268">
      <w:pPr>
        <w:pStyle w:val="BodyText"/>
        <w:spacing w:before="58"/>
        <w:ind w:left="733" w:right="714"/>
        <w:jc w:val="both"/>
      </w:pPr>
      <w:r>
        <w:t xml:space="preserve">Sharing of care assumes good communication between the specialist, primary care prescriber and patient. The intention to share care should be explained to the patient by the specialist when treatment is initiated. It is important that patients are consulted about treatment and are </w:t>
      </w:r>
      <w:proofErr w:type="gramStart"/>
      <w:r>
        <w:t>in  agreement</w:t>
      </w:r>
      <w:proofErr w:type="gramEnd"/>
      <w:r>
        <w:t xml:space="preserve"> with it, and that shared care only takes part when the GP gives willing and informed consent that it can happen safely.</w:t>
      </w:r>
    </w:p>
    <w:p w14:paraId="3A5935D8" w14:textId="77777777" w:rsidR="007F6DF7" w:rsidRDefault="007F6DF7">
      <w:pPr>
        <w:pStyle w:val="BodyText"/>
        <w:rPr>
          <w:sz w:val="32"/>
        </w:rPr>
      </w:pPr>
    </w:p>
    <w:p w14:paraId="0B73677A" w14:textId="77777777" w:rsidR="007F6DF7" w:rsidRDefault="002C4268">
      <w:pPr>
        <w:pStyle w:val="BodyText"/>
        <w:ind w:left="733" w:right="715"/>
        <w:jc w:val="both"/>
      </w:pPr>
      <w:r>
        <w:t>This document uses the words woman/women/she/her when discussing issues of pregnancy and breastfeeding, as these are only relevant to those of the female sex. Sensitivity and preferred pronouns should be used when a patient’s gender identity does not correspond with their sex as registered at birth.</w:t>
      </w:r>
    </w:p>
    <w:p w14:paraId="65557C26" w14:textId="77777777" w:rsidR="007F6DF7" w:rsidRDefault="007F6DF7">
      <w:pPr>
        <w:pStyle w:val="BodyText"/>
        <w:spacing w:before="7"/>
        <w:rPr>
          <w:sz w:val="19"/>
        </w:rPr>
      </w:pPr>
    </w:p>
    <w:p w14:paraId="1B88ACED" w14:textId="77777777" w:rsidR="007F6DF7" w:rsidRDefault="002C4268">
      <w:pPr>
        <w:pStyle w:val="BodyText"/>
        <w:ind w:left="733" w:right="720"/>
        <w:jc w:val="both"/>
      </w:pPr>
      <w:r>
        <w:t>It is not intended that the NCL SCG is used or adopted by any service provider other than the locally commissioned NCL ADHD services.</w:t>
      </w:r>
    </w:p>
    <w:p w14:paraId="655EC1E2" w14:textId="77777777" w:rsidR="007F6DF7" w:rsidRDefault="007F6DF7">
      <w:pPr>
        <w:pStyle w:val="BodyText"/>
      </w:pPr>
    </w:p>
    <w:p w14:paraId="7F40E75F" w14:textId="77777777" w:rsidR="007F6DF7" w:rsidRDefault="007F6DF7">
      <w:pPr>
        <w:pStyle w:val="BodyText"/>
        <w:spacing w:before="8"/>
        <w:rPr>
          <w:sz w:val="17"/>
        </w:rPr>
      </w:pPr>
    </w:p>
    <w:p w14:paraId="77F91368" w14:textId="77777777" w:rsidR="007F6DF7" w:rsidRDefault="002C4268">
      <w:pPr>
        <w:ind w:left="733"/>
        <w:jc w:val="both"/>
        <w:rPr>
          <w:b/>
          <w:sz w:val="28"/>
        </w:rPr>
      </w:pPr>
      <w:r>
        <w:rPr>
          <w:b/>
          <w:sz w:val="28"/>
        </w:rPr>
        <w:t>Contents</w:t>
      </w:r>
    </w:p>
    <w:p w14:paraId="296A6C34" w14:textId="77777777" w:rsidR="007F6DF7" w:rsidRDefault="00A06B9E">
      <w:pPr>
        <w:pStyle w:val="ListParagraph"/>
        <w:numPr>
          <w:ilvl w:val="0"/>
          <w:numId w:val="20"/>
        </w:numPr>
        <w:tabs>
          <w:tab w:val="left" w:pos="1175"/>
          <w:tab w:val="right" w:leader="dot" w:pos="10058"/>
        </w:tabs>
        <w:spacing w:before="289"/>
        <w:ind w:hanging="441"/>
        <w:jc w:val="both"/>
      </w:pPr>
      <w:hyperlink w:anchor="_bookmark0" w:history="1">
        <w:r w:rsidR="002C4268">
          <w:t>Introduction</w:t>
        </w:r>
        <w:r w:rsidR="002C4268">
          <w:rPr>
            <w:spacing w:val="-2"/>
          </w:rPr>
          <w:t xml:space="preserve"> </w:t>
        </w:r>
        <w:r w:rsidR="002C4268">
          <w:t>Target Audience</w:t>
        </w:r>
        <w:r w:rsidR="002C4268">
          <w:tab/>
          <w:t>2</w:t>
        </w:r>
      </w:hyperlink>
    </w:p>
    <w:p w14:paraId="72C5BE43" w14:textId="77777777" w:rsidR="007F6DF7" w:rsidRDefault="00A06B9E">
      <w:pPr>
        <w:pStyle w:val="ListParagraph"/>
        <w:numPr>
          <w:ilvl w:val="0"/>
          <w:numId w:val="20"/>
        </w:numPr>
        <w:tabs>
          <w:tab w:val="left" w:pos="1175"/>
          <w:tab w:val="right" w:leader="dot" w:pos="10058"/>
        </w:tabs>
        <w:spacing w:before="60"/>
        <w:ind w:hanging="441"/>
        <w:jc w:val="both"/>
      </w:pPr>
      <w:hyperlink w:anchor="_bookmark1" w:history="1">
        <w:r w:rsidR="002C4268">
          <w:t>Shared</w:t>
        </w:r>
        <w:r w:rsidR="002C4268">
          <w:rPr>
            <w:spacing w:val="-2"/>
          </w:rPr>
          <w:t xml:space="preserve"> </w:t>
        </w:r>
        <w:r w:rsidR="002C4268">
          <w:t>Care Criteria</w:t>
        </w:r>
        <w:r w:rsidR="002C4268">
          <w:tab/>
          <w:t>3</w:t>
        </w:r>
      </w:hyperlink>
    </w:p>
    <w:p w14:paraId="2720F319" w14:textId="77777777" w:rsidR="007F6DF7" w:rsidRDefault="00A06B9E">
      <w:pPr>
        <w:pStyle w:val="ListParagraph"/>
        <w:numPr>
          <w:ilvl w:val="0"/>
          <w:numId w:val="20"/>
        </w:numPr>
        <w:tabs>
          <w:tab w:val="left" w:pos="1175"/>
          <w:tab w:val="right" w:leader="dot" w:pos="10058"/>
        </w:tabs>
        <w:spacing w:before="60"/>
        <w:ind w:hanging="441"/>
        <w:jc w:val="both"/>
      </w:pPr>
      <w:hyperlink w:anchor="_bookmark2" w:history="1">
        <w:r w:rsidR="002C4268">
          <w:t>Shared</w:t>
        </w:r>
        <w:r w:rsidR="002C4268">
          <w:rPr>
            <w:spacing w:val="-2"/>
          </w:rPr>
          <w:t xml:space="preserve"> </w:t>
        </w:r>
        <w:r w:rsidR="002C4268">
          <w:t>Care Responsibilities</w:t>
        </w:r>
        <w:r w:rsidR="002C4268">
          <w:tab/>
          <w:t>3</w:t>
        </w:r>
      </w:hyperlink>
    </w:p>
    <w:p w14:paraId="361AC925" w14:textId="77777777" w:rsidR="007F6DF7" w:rsidRDefault="00A06B9E">
      <w:pPr>
        <w:pStyle w:val="ListParagraph"/>
        <w:numPr>
          <w:ilvl w:val="1"/>
          <w:numId w:val="20"/>
        </w:numPr>
        <w:tabs>
          <w:tab w:val="left" w:pos="1613"/>
          <w:tab w:val="left" w:pos="1614"/>
          <w:tab w:val="right" w:leader="dot" w:pos="10058"/>
        </w:tabs>
        <w:spacing w:before="60"/>
      </w:pPr>
      <w:hyperlink w:anchor="_bookmark3" w:history="1">
        <w:r w:rsidR="002C4268">
          <w:t>Consultant and</w:t>
        </w:r>
        <w:r w:rsidR="002C4268">
          <w:rPr>
            <w:spacing w:val="-4"/>
          </w:rPr>
          <w:t xml:space="preserve"> </w:t>
        </w:r>
        <w:r w:rsidR="002C4268">
          <w:t>/or Specialist</w:t>
        </w:r>
        <w:r w:rsidR="002C4268">
          <w:tab/>
          <w:t>3</w:t>
        </w:r>
      </w:hyperlink>
    </w:p>
    <w:p w14:paraId="3CA359B9" w14:textId="77777777" w:rsidR="007F6DF7" w:rsidRDefault="00A06B9E">
      <w:pPr>
        <w:pStyle w:val="ListParagraph"/>
        <w:numPr>
          <w:ilvl w:val="1"/>
          <w:numId w:val="20"/>
        </w:numPr>
        <w:tabs>
          <w:tab w:val="left" w:pos="1613"/>
          <w:tab w:val="left" w:pos="1614"/>
          <w:tab w:val="right" w:leader="dot" w:pos="10058"/>
        </w:tabs>
      </w:pPr>
      <w:hyperlink w:anchor="_bookmark4" w:history="1">
        <w:r w:rsidR="002C4268">
          <w:t>Primary Care</w:t>
        </w:r>
        <w:r w:rsidR="002C4268">
          <w:rPr>
            <w:spacing w:val="-2"/>
          </w:rPr>
          <w:t xml:space="preserve"> </w:t>
        </w:r>
        <w:r w:rsidR="002C4268">
          <w:t>Prescriber</w:t>
        </w:r>
        <w:r w:rsidR="002C4268">
          <w:tab/>
          <w:t>4</w:t>
        </w:r>
      </w:hyperlink>
    </w:p>
    <w:p w14:paraId="61B5DA68" w14:textId="77777777" w:rsidR="007F6DF7" w:rsidRDefault="00A06B9E">
      <w:pPr>
        <w:pStyle w:val="ListParagraph"/>
        <w:numPr>
          <w:ilvl w:val="1"/>
          <w:numId w:val="20"/>
        </w:numPr>
        <w:tabs>
          <w:tab w:val="left" w:pos="1613"/>
          <w:tab w:val="left" w:pos="1614"/>
          <w:tab w:val="right" w:leader="dot" w:pos="10058"/>
        </w:tabs>
        <w:spacing w:before="60"/>
      </w:pPr>
      <w:hyperlink w:anchor="_bookmark5" w:history="1">
        <w:r w:rsidR="002C4268">
          <w:t>Patient</w:t>
        </w:r>
        <w:r w:rsidR="002C4268">
          <w:rPr>
            <w:spacing w:val="-4"/>
          </w:rPr>
          <w:t xml:space="preserve"> </w:t>
        </w:r>
        <w:r w:rsidR="002C4268">
          <w:t>Responsibility</w:t>
        </w:r>
        <w:r w:rsidR="002C4268">
          <w:tab/>
          <w:t>4</w:t>
        </w:r>
      </w:hyperlink>
    </w:p>
    <w:p w14:paraId="1888BD92" w14:textId="77777777" w:rsidR="007F6DF7" w:rsidRDefault="00A06B9E">
      <w:pPr>
        <w:pStyle w:val="ListParagraph"/>
        <w:numPr>
          <w:ilvl w:val="1"/>
          <w:numId w:val="20"/>
        </w:numPr>
        <w:tabs>
          <w:tab w:val="left" w:pos="1613"/>
          <w:tab w:val="left" w:pos="1614"/>
          <w:tab w:val="right" w:leader="dot" w:pos="10058"/>
        </w:tabs>
        <w:spacing w:before="58"/>
      </w:pPr>
      <w:hyperlink w:anchor="_bookmark6" w:history="1">
        <w:r w:rsidR="002C4268">
          <w:t>Integrated</w:t>
        </w:r>
        <w:r w:rsidR="002C4268">
          <w:rPr>
            <w:spacing w:val="-1"/>
          </w:rPr>
          <w:t xml:space="preserve"> </w:t>
        </w:r>
        <w:r w:rsidR="002C4268">
          <w:t>Care</w:t>
        </w:r>
        <w:r w:rsidR="002C4268">
          <w:rPr>
            <w:spacing w:val="1"/>
          </w:rPr>
          <w:t xml:space="preserve"> </w:t>
        </w:r>
        <w:r w:rsidR="002C4268">
          <w:t>Board</w:t>
        </w:r>
        <w:r w:rsidR="002C4268">
          <w:tab/>
          <w:t>5</w:t>
        </w:r>
      </w:hyperlink>
    </w:p>
    <w:p w14:paraId="50DD5232" w14:textId="77777777" w:rsidR="007F6DF7" w:rsidRDefault="00A06B9E">
      <w:pPr>
        <w:pStyle w:val="ListParagraph"/>
        <w:numPr>
          <w:ilvl w:val="0"/>
          <w:numId w:val="20"/>
        </w:numPr>
        <w:tabs>
          <w:tab w:val="left" w:pos="1175"/>
          <w:tab w:val="right" w:leader="dot" w:pos="10058"/>
        </w:tabs>
        <w:spacing w:before="60"/>
        <w:ind w:hanging="441"/>
        <w:jc w:val="both"/>
      </w:pPr>
      <w:hyperlink w:anchor="_bookmark7" w:history="1">
        <w:r w:rsidR="002C4268">
          <w:t>Indications</w:t>
        </w:r>
        <w:r w:rsidR="002C4268">
          <w:tab/>
          <w:t>5</w:t>
        </w:r>
      </w:hyperlink>
    </w:p>
    <w:p w14:paraId="55A71EEE" w14:textId="77777777" w:rsidR="007F6DF7" w:rsidRDefault="007F6DF7">
      <w:pPr>
        <w:jc w:val="both"/>
        <w:sectPr w:rsidR="007F6DF7">
          <w:headerReference w:type="default" r:id="rId12"/>
          <w:footerReference w:type="default" r:id="rId13"/>
          <w:type w:val="continuous"/>
          <w:pgSz w:w="11910" w:h="16840"/>
          <w:pgMar w:top="1120" w:right="720" w:bottom="1780" w:left="400" w:header="720" w:footer="1595" w:gutter="0"/>
          <w:pgNumType w:start="1"/>
          <w:cols w:space="720"/>
        </w:sectPr>
      </w:pPr>
    </w:p>
    <w:sdt>
      <w:sdtPr>
        <w:id w:val="444356867"/>
        <w:docPartObj>
          <w:docPartGallery w:val="Table of Contents"/>
          <w:docPartUnique/>
        </w:docPartObj>
      </w:sdtPr>
      <w:sdtEndPr/>
      <w:sdtContent>
        <w:p w14:paraId="075A7757" w14:textId="77777777" w:rsidR="007F6DF7" w:rsidRDefault="002C4268">
          <w:pPr>
            <w:pStyle w:val="TOC1"/>
            <w:numPr>
              <w:ilvl w:val="0"/>
              <w:numId w:val="20"/>
            </w:numPr>
            <w:tabs>
              <w:tab w:val="left" w:pos="1174"/>
              <w:tab w:val="left" w:pos="1175"/>
              <w:tab w:val="right" w:leader="dot" w:pos="10058"/>
            </w:tabs>
            <w:spacing w:before="33"/>
            <w:ind w:hanging="441"/>
          </w:pPr>
          <w:r>
            <w:fldChar w:fldCharType="begin"/>
          </w:r>
          <w:r>
            <w:instrText xml:space="preserve">TOC \o "1-1" \h \z \u </w:instrText>
          </w:r>
          <w:r>
            <w:fldChar w:fldCharType="separate"/>
          </w:r>
          <w:hyperlink w:anchor="_bookmark8" w:history="1">
            <w:r>
              <w:t>Dose and</w:t>
            </w:r>
            <w:r>
              <w:rPr>
                <w:spacing w:val="-1"/>
              </w:rPr>
              <w:t xml:space="preserve"> </w:t>
            </w:r>
            <w:r>
              <w:t>Administration</w:t>
            </w:r>
            <w:r>
              <w:tab/>
              <w:t>5</w:t>
            </w:r>
          </w:hyperlink>
        </w:p>
        <w:p w14:paraId="34A10725" w14:textId="77777777" w:rsidR="007F6DF7" w:rsidRDefault="00A06B9E">
          <w:pPr>
            <w:pStyle w:val="TOC1"/>
            <w:numPr>
              <w:ilvl w:val="0"/>
              <w:numId w:val="20"/>
            </w:numPr>
            <w:tabs>
              <w:tab w:val="left" w:pos="1174"/>
              <w:tab w:val="left" w:pos="1175"/>
              <w:tab w:val="right" w:leader="dot" w:pos="10059"/>
            </w:tabs>
            <w:spacing w:before="61"/>
            <w:ind w:hanging="441"/>
          </w:pPr>
          <w:hyperlink w:anchor="_bookmark9" w:history="1">
            <w:r w:rsidR="002C4268">
              <w:t>Adverse</w:t>
            </w:r>
            <w:r w:rsidR="002C4268">
              <w:rPr>
                <w:spacing w:val="-2"/>
              </w:rPr>
              <w:t xml:space="preserve"> </w:t>
            </w:r>
            <w:r w:rsidR="002C4268">
              <w:t>Effects</w:t>
            </w:r>
            <w:r w:rsidR="002C4268">
              <w:tab/>
              <w:t>10</w:t>
            </w:r>
          </w:hyperlink>
        </w:p>
        <w:p w14:paraId="209BD54F" w14:textId="77777777" w:rsidR="007F6DF7" w:rsidRDefault="00A06B9E">
          <w:pPr>
            <w:pStyle w:val="TOC1"/>
            <w:numPr>
              <w:ilvl w:val="0"/>
              <w:numId w:val="20"/>
            </w:numPr>
            <w:tabs>
              <w:tab w:val="left" w:pos="1174"/>
              <w:tab w:val="left" w:pos="1175"/>
              <w:tab w:val="right" w:leader="dot" w:pos="10059"/>
            </w:tabs>
            <w:ind w:hanging="441"/>
          </w:pPr>
          <w:hyperlink w:anchor="_bookmark10" w:history="1">
            <w:r w:rsidR="002C4268">
              <w:t>Cautions</w:t>
            </w:r>
            <w:r w:rsidR="002C4268">
              <w:tab/>
              <w:t>13</w:t>
            </w:r>
          </w:hyperlink>
        </w:p>
        <w:p w14:paraId="1552FA63" w14:textId="77777777" w:rsidR="007F6DF7" w:rsidRDefault="00A06B9E">
          <w:pPr>
            <w:pStyle w:val="TOC1"/>
            <w:numPr>
              <w:ilvl w:val="0"/>
              <w:numId w:val="20"/>
            </w:numPr>
            <w:tabs>
              <w:tab w:val="left" w:pos="1174"/>
              <w:tab w:val="left" w:pos="1175"/>
              <w:tab w:val="right" w:leader="dot" w:pos="10059"/>
            </w:tabs>
            <w:spacing w:before="61"/>
            <w:ind w:hanging="441"/>
          </w:pPr>
          <w:hyperlink w:anchor="_bookmark11" w:history="1">
            <w:r w:rsidR="002C4268">
              <w:t>Pregnancy, breastfeeding and</w:t>
            </w:r>
            <w:r w:rsidR="002C4268">
              <w:rPr>
                <w:spacing w:val="-3"/>
              </w:rPr>
              <w:t xml:space="preserve"> </w:t>
            </w:r>
            <w:r w:rsidR="002C4268">
              <w:t>paternal</w:t>
            </w:r>
            <w:r w:rsidR="002C4268">
              <w:rPr>
                <w:spacing w:val="-2"/>
              </w:rPr>
              <w:t xml:space="preserve"> </w:t>
            </w:r>
            <w:r w:rsidR="002C4268">
              <w:t>exposure</w:t>
            </w:r>
            <w:r w:rsidR="002C4268">
              <w:tab/>
              <w:t>15</w:t>
            </w:r>
          </w:hyperlink>
        </w:p>
        <w:p w14:paraId="2B5C74C5" w14:textId="77777777" w:rsidR="007F6DF7" w:rsidRDefault="00A06B9E">
          <w:pPr>
            <w:pStyle w:val="TOC1"/>
            <w:numPr>
              <w:ilvl w:val="0"/>
              <w:numId w:val="20"/>
            </w:numPr>
            <w:tabs>
              <w:tab w:val="left" w:pos="1174"/>
              <w:tab w:val="left" w:pos="1175"/>
              <w:tab w:val="right" w:leader="dot" w:pos="10059"/>
            </w:tabs>
            <w:ind w:hanging="441"/>
          </w:pPr>
          <w:hyperlink w:anchor="_bookmark12" w:history="1">
            <w:r w:rsidR="002C4268">
              <w:t>Clinical</w:t>
            </w:r>
            <w:r w:rsidR="002C4268">
              <w:rPr>
                <w:spacing w:val="-1"/>
              </w:rPr>
              <w:t xml:space="preserve"> </w:t>
            </w:r>
            <w:r w:rsidR="002C4268">
              <w:t>Monitoring</w:t>
            </w:r>
            <w:r w:rsidR="002C4268">
              <w:tab/>
              <w:t>17</w:t>
            </w:r>
          </w:hyperlink>
        </w:p>
        <w:p w14:paraId="14F86403" w14:textId="77777777" w:rsidR="007F6DF7" w:rsidRDefault="00A06B9E">
          <w:pPr>
            <w:pStyle w:val="TOC1"/>
            <w:numPr>
              <w:ilvl w:val="0"/>
              <w:numId w:val="20"/>
            </w:numPr>
            <w:tabs>
              <w:tab w:val="left" w:pos="1393"/>
              <w:tab w:val="left" w:pos="1394"/>
              <w:tab w:val="right" w:leader="dot" w:pos="10059"/>
            </w:tabs>
            <w:ind w:left="1393" w:hanging="660"/>
          </w:pPr>
          <w:hyperlink w:anchor="_bookmark13" w:history="1">
            <w:r w:rsidR="002C4268">
              <w:t>Contraindications</w:t>
            </w:r>
            <w:r w:rsidR="002C4268">
              <w:tab/>
              <w:t>19</w:t>
            </w:r>
          </w:hyperlink>
        </w:p>
        <w:p w14:paraId="182194A5" w14:textId="77777777" w:rsidR="007F6DF7" w:rsidRDefault="00A06B9E">
          <w:pPr>
            <w:pStyle w:val="TOC1"/>
            <w:numPr>
              <w:ilvl w:val="0"/>
              <w:numId w:val="20"/>
            </w:numPr>
            <w:tabs>
              <w:tab w:val="left" w:pos="1393"/>
              <w:tab w:val="left" w:pos="1394"/>
              <w:tab w:val="right" w:leader="dot" w:pos="10059"/>
            </w:tabs>
            <w:ind w:left="1393" w:hanging="660"/>
          </w:pPr>
          <w:hyperlink w:anchor="_bookmark14" w:history="1">
            <w:r w:rsidR="002C4268">
              <w:t>Drug</w:t>
            </w:r>
            <w:r w:rsidR="002C4268">
              <w:rPr>
                <w:spacing w:val="-1"/>
              </w:rPr>
              <w:t xml:space="preserve"> </w:t>
            </w:r>
            <w:r w:rsidR="002C4268">
              <w:t>Interactions</w:t>
            </w:r>
            <w:r w:rsidR="002C4268">
              <w:tab/>
              <w:t>19</w:t>
            </w:r>
          </w:hyperlink>
        </w:p>
        <w:p w14:paraId="5B503157" w14:textId="77777777" w:rsidR="007F6DF7" w:rsidRDefault="00A06B9E">
          <w:pPr>
            <w:pStyle w:val="TOC1"/>
            <w:numPr>
              <w:ilvl w:val="0"/>
              <w:numId w:val="20"/>
            </w:numPr>
            <w:tabs>
              <w:tab w:val="left" w:pos="1393"/>
              <w:tab w:val="left" w:pos="1394"/>
              <w:tab w:val="right" w:leader="dot" w:pos="10059"/>
            </w:tabs>
            <w:spacing w:before="61"/>
            <w:ind w:left="1393" w:hanging="660"/>
          </w:pPr>
          <w:hyperlink w:anchor="_bookmark15" w:history="1">
            <w:r w:rsidR="002C4268">
              <w:t>References</w:t>
            </w:r>
            <w:r w:rsidR="002C4268">
              <w:tab/>
              <w:t>22</w:t>
            </w:r>
          </w:hyperlink>
        </w:p>
        <w:p w14:paraId="2E81C7AC" w14:textId="77777777" w:rsidR="007F6DF7" w:rsidRDefault="00A06B9E">
          <w:pPr>
            <w:pStyle w:val="TOC1"/>
            <w:numPr>
              <w:ilvl w:val="0"/>
              <w:numId w:val="20"/>
            </w:numPr>
            <w:tabs>
              <w:tab w:val="left" w:pos="1393"/>
              <w:tab w:val="left" w:pos="1394"/>
              <w:tab w:val="right" w:leader="dot" w:pos="10059"/>
            </w:tabs>
            <w:ind w:left="1393" w:hanging="660"/>
          </w:pPr>
          <w:hyperlink w:anchor="_bookmark16" w:history="1">
            <w:r w:rsidR="002C4268">
              <w:t>Associated documents</w:t>
            </w:r>
            <w:r w:rsidR="002C4268">
              <w:tab/>
              <w:t>23</w:t>
            </w:r>
          </w:hyperlink>
        </w:p>
        <w:p w14:paraId="43D5EEFF" w14:textId="77777777" w:rsidR="007F6DF7" w:rsidRDefault="00A06B9E">
          <w:pPr>
            <w:pStyle w:val="TOC1"/>
            <w:numPr>
              <w:ilvl w:val="0"/>
              <w:numId w:val="20"/>
            </w:numPr>
            <w:tabs>
              <w:tab w:val="left" w:pos="1393"/>
              <w:tab w:val="left" w:pos="1394"/>
              <w:tab w:val="right" w:leader="dot" w:pos="10059"/>
            </w:tabs>
            <w:ind w:left="1393" w:hanging="660"/>
          </w:pPr>
          <w:hyperlink w:anchor="_bookmark17" w:history="1">
            <w:r w:rsidR="002C4268">
              <w:t>Contact</w:t>
            </w:r>
            <w:r w:rsidR="002C4268">
              <w:rPr>
                <w:spacing w:val="-1"/>
              </w:rPr>
              <w:t xml:space="preserve"> </w:t>
            </w:r>
            <w:r w:rsidR="002C4268">
              <w:t>Details</w:t>
            </w:r>
            <w:r w:rsidR="002C4268">
              <w:tab/>
              <w:t>23</w:t>
            </w:r>
          </w:hyperlink>
        </w:p>
        <w:p w14:paraId="013E7A7E" w14:textId="77777777" w:rsidR="007F6DF7" w:rsidRDefault="00A06B9E">
          <w:pPr>
            <w:pStyle w:val="TOC1"/>
            <w:tabs>
              <w:tab w:val="right" w:leader="dot" w:pos="10059"/>
            </w:tabs>
            <w:spacing w:before="58"/>
            <w:ind w:left="733" w:firstLine="0"/>
          </w:pPr>
          <w:hyperlink w:anchor="_bookmark18" w:history="1">
            <w:r w:rsidR="002C4268">
              <w:t>Appendix 1: transfer form: from [Trust] to</w:t>
            </w:r>
            <w:r w:rsidR="002C4268">
              <w:rPr>
                <w:spacing w:val="-14"/>
              </w:rPr>
              <w:t xml:space="preserve"> </w:t>
            </w:r>
            <w:r w:rsidR="002C4268">
              <w:t>GP practice</w:t>
            </w:r>
            <w:r w:rsidR="002C4268">
              <w:tab/>
              <w:t>27</w:t>
            </w:r>
          </w:hyperlink>
        </w:p>
        <w:p w14:paraId="54EDDCAF" w14:textId="77777777" w:rsidR="007F6DF7" w:rsidRDefault="002C4268">
          <w:pPr>
            <w:rPr>
              <w:sz w:val="28"/>
            </w:rPr>
          </w:pPr>
          <w:r>
            <w:fldChar w:fldCharType="end"/>
          </w:r>
        </w:p>
      </w:sdtContent>
    </w:sdt>
    <w:p w14:paraId="44380628" w14:textId="77777777" w:rsidR="007F6DF7" w:rsidRDefault="007F6DF7">
      <w:pPr>
        <w:pStyle w:val="BodyText"/>
        <w:rPr>
          <w:sz w:val="28"/>
        </w:rPr>
      </w:pPr>
    </w:p>
    <w:p w14:paraId="34511701" w14:textId="77777777" w:rsidR="007F6DF7" w:rsidRDefault="002C4268">
      <w:pPr>
        <w:pStyle w:val="ListParagraph"/>
        <w:numPr>
          <w:ilvl w:val="0"/>
          <w:numId w:val="19"/>
        </w:numPr>
        <w:tabs>
          <w:tab w:val="left" w:pos="1299"/>
          <w:tab w:val="left" w:pos="1300"/>
          <w:tab w:val="left" w:pos="10095"/>
        </w:tabs>
        <w:spacing w:before="251"/>
        <w:ind w:hanging="566"/>
        <w:rPr>
          <w:b/>
          <w:sz w:val="28"/>
        </w:rPr>
      </w:pPr>
      <w:bookmarkStart w:id="0" w:name="_bookmark0"/>
      <w:bookmarkEnd w:id="0"/>
      <w:r>
        <w:rPr>
          <w:b/>
          <w:color w:val="FFFFFF"/>
          <w:sz w:val="28"/>
          <w:shd w:val="clear" w:color="auto" w:fill="538DD3"/>
        </w:rPr>
        <w:t>Introduction Target</w:t>
      </w:r>
      <w:r>
        <w:rPr>
          <w:b/>
          <w:color w:val="FFFFFF"/>
          <w:spacing w:val="-8"/>
          <w:sz w:val="28"/>
          <w:shd w:val="clear" w:color="auto" w:fill="538DD3"/>
        </w:rPr>
        <w:t xml:space="preserve"> </w:t>
      </w:r>
      <w:r>
        <w:rPr>
          <w:b/>
          <w:color w:val="FFFFFF"/>
          <w:sz w:val="28"/>
          <w:shd w:val="clear" w:color="auto" w:fill="538DD3"/>
        </w:rPr>
        <w:t>Audience</w:t>
      </w:r>
      <w:r>
        <w:rPr>
          <w:b/>
          <w:color w:val="FFFFFF"/>
          <w:sz w:val="28"/>
          <w:shd w:val="clear" w:color="auto" w:fill="538DD3"/>
        </w:rPr>
        <w:tab/>
      </w:r>
    </w:p>
    <w:p w14:paraId="25EC5F7A" w14:textId="77777777" w:rsidR="007F6DF7" w:rsidRDefault="002C4268">
      <w:pPr>
        <w:pStyle w:val="BodyText"/>
        <w:spacing w:before="119"/>
        <w:ind w:left="733" w:right="717"/>
        <w:jc w:val="both"/>
      </w:pPr>
      <w:r>
        <w:t>This document should provide sufficient information to enable you to make an informed decision regarding the clinical and legal responsibility for prescribing these drugs for the treatment of ADHD in adults.</w:t>
      </w:r>
    </w:p>
    <w:p w14:paraId="78178430" w14:textId="77777777" w:rsidR="007F6DF7" w:rsidRDefault="002C4268">
      <w:pPr>
        <w:pStyle w:val="ListParagraph"/>
        <w:numPr>
          <w:ilvl w:val="1"/>
          <w:numId w:val="19"/>
        </w:numPr>
        <w:tabs>
          <w:tab w:val="left" w:pos="1453"/>
          <w:tab w:val="left" w:pos="1454"/>
        </w:tabs>
      </w:pPr>
      <w:r>
        <w:t>Methylphenidate (immediate release and long</w:t>
      </w:r>
      <w:r>
        <w:rPr>
          <w:spacing w:val="-7"/>
        </w:rPr>
        <w:t xml:space="preserve"> </w:t>
      </w:r>
      <w:r>
        <w:t>acting).</w:t>
      </w:r>
    </w:p>
    <w:p w14:paraId="39372078" w14:textId="77777777" w:rsidR="007F6DF7" w:rsidRDefault="002C4268">
      <w:pPr>
        <w:pStyle w:val="ListParagraph"/>
        <w:numPr>
          <w:ilvl w:val="1"/>
          <w:numId w:val="19"/>
        </w:numPr>
        <w:tabs>
          <w:tab w:val="left" w:pos="1453"/>
          <w:tab w:val="left" w:pos="1454"/>
        </w:tabs>
        <w:spacing w:before="60"/>
      </w:pPr>
      <w:proofErr w:type="spellStart"/>
      <w:r>
        <w:t>Lisdexamfetamine</w:t>
      </w:r>
      <w:proofErr w:type="spellEnd"/>
      <w:r>
        <w:t>.</w:t>
      </w:r>
    </w:p>
    <w:p w14:paraId="12E57F54" w14:textId="77777777" w:rsidR="007F6DF7" w:rsidRDefault="002C4268">
      <w:pPr>
        <w:pStyle w:val="ListParagraph"/>
        <w:numPr>
          <w:ilvl w:val="1"/>
          <w:numId w:val="19"/>
        </w:numPr>
        <w:tabs>
          <w:tab w:val="left" w:pos="1453"/>
          <w:tab w:val="left" w:pos="1454"/>
        </w:tabs>
        <w:spacing w:before="58"/>
      </w:pPr>
      <w:r>
        <w:t>Atomoxetine.</w:t>
      </w:r>
    </w:p>
    <w:p w14:paraId="095263EE" w14:textId="77777777" w:rsidR="007F6DF7" w:rsidRDefault="002C4268">
      <w:pPr>
        <w:pStyle w:val="ListParagraph"/>
        <w:numPr>
          <w:ilvl w:val="1"/>
          <w:numId w:val="19"/>
        </w:numPr>
        <w:tabs>
          <w:tab w:val="left" w:pos="1453"/>
          <w:tab w:val="left" w:pos="1454"/>
        </w:tabs>
      </w:pPr>
      <w:proofErr w:type="spellStart"/>
      <w:r>
        <w:t>Dexamfetamine</w:t>
      </w:r>
      <w:proofErr w:type="spellEnd"/>
      <w:r>
        <w:t>.</w:t>
      </w:r>
    </w:p>
    <w:p w14:paraId="38D04D98" w14:textId="77777777" w:rsidR="007F6DF7" w:rsidRDefault="007F6DF7">
      <w:pPr>
        <w:pStyle w:val="BodyText"/>
        <w:spacing w:before="11"/>
        <w:rPr>
          <w:sz w:val="31"/>
        </w:rPr>
      </w:pPr>
    </w:p>
    <w:p w14:paraId="2A3D9989" w14:textId="77777777" w:rsidR="007F6DF7" w:rsidRDefault="002C4268">
      <w:pPr>
        <w:pStyle w:val="BodyText"/>
        <w:ind w:left="733" w:right="716"/>
        <w:jc w:val="both"/>
      </w:pPr>
      <w:r>
        <w:t xml:space="preserve">Progressing to a stable, optimal dose usually takes approximately 8-12 weeks. Once achieved, a shared care arrangement with you will be requested. It will clarify responsibilities between the specialist and general practitioner (GP) for managing the prescribing and monitoring of methylphenidate (immediate release and long acting), </w:t>
      </w:r>
      <w:proofErr w:type="spellStart"/>
      <w:r>
        <w:t>lisdexamfetamine</w:t>
      </w:r>
      <w:proofErr w:type="spellEnd"/>
      <w:r>
        <w:t xml:space="preserve">, atomoxetine and </w:t>
      </w:r>
      <w:proofErr w:type="spellStart"/>
      <w:r>
        <w:t>dexamfetamine</w:t>
      </w:r>
      <w:proofErr w:type="spellEnd"/>
      <w:r>
        <w:t xml:space="preserve"> such as:</w:t>
      </w:r>
    </w:p>
    <w:p w14:paraId="1837E407" w14:textId="77777777" w:rsidR="007F6DF7" w:rsidRDefault="007F6DF7">
      <w:pPr>
        <w:pStyle w:val="BodyText"/>
        <w:spacing w:before="9"/>
        <w:rPr>
          <w:sz w:val="31"/>
        </w:rPr>
      </w:pPr>
    </w:p>
    <w:p w14:paraId="3333B06B" w14:textId="77777777" w:rsidR="007F6DF7" w:rsidRDefault="002C4268">
      <w:pPr>
        <w:pStyle w:val="ListParagraph"/>
        <w:numPr>
          <w:ilvl w:val="1"/>
          <w:numId w:val="19"/>
        </w:numPr>
        <w:tabs>
          <w:tab w:val="left" w:pos="1453"/>
          <w:tab w:val="left" w:pos="1454"/>
        </w:tabs>
        <w:spacing w:before="0"/>
      </w:pPr>
      <w:r>
        <w:t>Who will</w:t>
      </w:r>
      <w:r>
        <w:rPr>
          <w:spacing w:val="-2"/>
        </w:rPr>
        <w:t xml:space="preserve"> </w:t>
      </w:r>
      <w:proofErr w:type="gramStart"/>
      <w:r>
        <w:t>prescribe;</w:t>
      </w:r>
      <w:proofErr w:type="gramEnd"/>
    </w:p>
    <w:p w14:paraId="6103C479" w14:textId="77777777" w:rsidR="007F6DF7" w:rsidRDefault="002C4268">
      <w:pPr>
        <w:pStyle w:val="ListParagraph"/>
        <w:numPr>
          <w:ilvl w:val="1"/>
          <w:numId w:val="19"/>
        </w:numPr>
        <w:tabs>
          <w:tab w:val="left" w:pos="1453"/>
          <w:tab w:val="left" w:pos="1454"/>
        </w:tabs>
      </w:pPr>
      <w:r>
        <w:t>Who will</w:t>
      </w:r>
      <w:r>
        <w:rPr>
          <w:spacing w:val="-5"/>
        </w:rPr>
        <w:t xml:space="preserve"> </w:t>
      </w:r>
      <w:proofErr w:type="gramStart"/>
      <w:r>
        <w:t>monitor;</w:t>
      </w:r>
      <w:proofErr w:type="gramEnd"/>
    </w:p>
    <w:p w14:paraId="68953A5C" w14:textId="77777777" w:rsidR="007F6DF7" w:rsidRDefault="002C4268">
      <w:pPr>
        <w:pStyle w:val="ListParagraph"/>
        <w:numPr>
          <w:ilvl w:val="1"/>
          <w:numId w:val="19"/>
        </w:numPr>
        <w:tabs>
          <w:tab w:val="left" w:pos="1454"/>
        </w:tabs>
        <w:spacing w:before="60"/>
        <w:ind w:right="716"/>
        <w:jc w:val="both"/>
      </w:pPr>
      <w:r>
        <w:t xml:space="preserve">Any tests required (e.g. ECG), the exact names/nature of the tests, why they are needed, </w:t>
      </w:r>
      <w:r>
        <w:rPr>
          <w:spacing w:val="-2"/>
        </w:rPr>
        <w:t xml:space="preserve">the </w:t>
      </w:r>
      <w:r>
        <w:t>frequency of testing, the location in which these will be carried out and action to be taken for any abnormal</w:t>
      </w:r>
      <w:r>
        <w:rPr>
          <w:spacing w:val="-1"/>
        </w:rPr>
        <w:t xml:space="preserve"> </w:t>
      </w:r>
      <w:proofErr w:type="gramStart"/>
      <w:r>
        <w:t>results</w:t>
      </w:r>
      <w:proofErr w:type="gramEnd"/>
    </w:p>
    <w:p w14:paraId="3FECC48C" w14:textId="77777777" w:rsidR="007F6DF7" w:rsidRDefault="002C4268">
      <w:pPr>
        <w:pStyle w:val="ListParagraph"/>
        <w:numPr>
          <w:ilvl w:val="1"/>
          <w:numId w:val="19"/>
        </w:numPr>
        <w:tabs>
          <w:tab w:val="left" w:pos="1453"/>
          <w:tab w:val="left" w:pos="1454"/>
        </w:tabs>
        <w:spacing w:before="62"/>
      </w:pPr>
      <w:r>
        <w:t>Which clinician will be responsible for receipt and review of the</w:t>
      </w:r>
      <w:r>
        <w:rPr>
          <w:spacing w:val="-9"/>
        </w:rPr>
        <w:t xml:space="preserve"> </w:t>
      </w:r>
      <w:proofErr w:type="gramStart"/>
      <w:r>
        <w:t>results;</w:t>
      </w:r>
      <w:proofErr w:type="gramEnd"/>
    </w:p>
    <w:p w14:paraId="793D02A0" w14:textId="77777777" w:rsidR="007F6DF7" w:rsidRDefault="002C4268">
      <w:pPr>
        <w:pStyle w:val="ListParagraph"/>
        <w:numPr>
          <w:ilvl w:val="1"/>
          <w:numId w:val="19"/>
        </w:numPr>
        <w:tabs>
          <w:tab w:val="left" w:pos="1453"/>
          <w:tab w:val="left" w:pos="1454"/>
        </w:tabs>
        <w:spacing w:before="58"/>
      </w:pPr>
      <w:r>
        <w:t>Who will communicate any necessary changes in dose to the patient and the</w:t>
      </w:r>
      <w:r>
        <w:rPr>
          <w:spacing w:val="-10"/>
        </w:rPr>
        <w:t xml:space="preserve"> </w:t>
      </w:r>
      <w:proofErr w:type="gramStart"/>
      <w:r>
        <w:t>GP;</w:t>
      </w:r>
      <w:proofErr w:type="gramEnd"/>
    </w:p>
    <w:p w14:paraId="349AB72D" w14:textId="77777777" w:rsidR="007F6DF7" w:rsidRDefault="007F6DF7">
      <w:pPr>
        <w:pStyle w:val="BodyText"/>
        <w:spacing w:before="11"/>
        <w:rPr>
          <w:sz w:val="31"/>
        </w:rPr>
      </w:pPr>
    </w:p>
    <w:p w14:paraId="2E720759" w14:textId="77777777" w:rsidR="007F6DF7" w:rsidRDefault="002C4268">
      <w:pPr>
        <w:pStyle w:val="BodyText"/>
        <w:ind w:left="733" w:right="712"/>
        <w:jc w:val="both"/>
      </w:pPr>
      <w:r>
        <w:t xml:space="preserve">ADHD is a neurodevelopmental condition which manifests as cognitive and </w:t>
      </w:r>
      <w:proofErr w:type="spellStart"/>
      <w:r>
        <w:t>behavioural</w:t>
      </w:r>
      <w:proofErr w:type="spellEnd"/>
      <w:r>
        <w:t xml:space="preserve"> deficits. It is </w:t>
      </w:r>
      <w:proofErr w:type="spellStart"/>
      <w:r>
        <w:t>characterised</w:t>
      </w:r>
      <w:proofErr w:type="spellEnd"/>
      <w:r>
        <w:t xml:space="preserve"> by the core symptoms of hyperactivity, </w:t>
      </w:r>
      <w:proofErr w:type="gramStart"/>
      <w:r>
        <w:t>impulsivity</w:t>
      </w:r>
      <w:proofErr w:type="gramEnd"/>
      <w:r>
        <w:t xml:space="preserve"> and inattention. ADHD is thought to be a persistent condition. A diagnosis of adult ADHD should only be made by specialist psychiatrist or appropriately qualified healthcare professional with training and expertise in the diagnosis of adult ADHD.</w:t>
      </w:r>
    </w:p>
    <w:p w14:paraId="6790BE8A" w14:textId="77777777" w:rsidR="007F6DF7" w:rsidRDefault="002C4268">
      <w:pPr>
        <w:pStyle w:val="BodyText"/>
        <w:spacing w:before="61"/>
        <w:ind w:left="733" w:right="716"/>
        <w:jc w:val="both"/>
      </w:pPr>
      <w:r>
        <w:t xml:space="preserve">Drug treatments for adults with ADHD should always form part of a comprehensive treatment </w:t>
      </w:r>
      <w:proofErr w:type="spellStart"/>
      <w:r>
        <w:t>programme</w:t>
      </w:r>
      <w:proofErr w:type="spellEnd"/>
      <w:r>
        <w:t xml:space="preserve"> that focuses on psychological, </w:t>
      </w:r>
      <w:proofErr w:type="spellStart"/>
      <w:proofErr w:type="gramStart"/>
      <w:r>
        <w:t>behavioural</w:t>
      </w:r>
      <w:proofErr w:type="spellEnd"/>
      <w:proofErr w:type="gramEnd"/>
      <w:r>
        <w:t xml:space="preserve"> and educational or occupational needs.</w:t>
      </w:r>
    </w:p>
    <w:p w14:paraId="36EAB2D6" w14:textId="77777777" w:rsidR="007F6DF7" w:rsidRDefault="007F6DF7">
      <w:pPr>
        <w:jc w:val="both"/>
        <w:sectPr w:rsidR="007F6DF7">
          <w:headerReference w:type="default" r:id="rId14"/>
          <w:pgSz w:w="11910" w:h="16840"/>
          <w:pgMar w:top="1080" w:right="720" w:bottom="1880" w:left="400" w:header="0" w:footer="1595" w:gutter="0"/>
          <w:cols w:space="720"/>
        </w:sectPr>
      </w:pPr>
    </w:p>
    <w:p w14:paraId="64DB9B80" w14:textId="77777777" w:rsidR="007F6DF7" w:rsidRDefault="002C4268">
      <w:pPr>
        <w:pStyle w:val="BodyText"/>
        <w:spacing w:before="43"/>
        <w:ind w:left="733" w:right="871"/>
        <w:jc w:val="both"/>
      </w:pPr>
      <w:r>
        <w:lastRenderedPageBreak/>
        <w:t>Where a person with ADHD is treated by a Child and Adolescent Mental Health Service (CAMHS) but is approaching their 18th birthday, it is expected that CAMHS will refer to the appropriate adult service if need for ongoing treatment is anticipated.</w:t>
      </w:r>
    </w:p>
    <w:p w14:paraId="57E95C95" w14:textId="77777777" w:rsidR="007F6DF7" w:rsidRDefault="007F6DF7">
      <w:pPr>
        <w:pStyle w:val="BodyText"/>
        <w:spacing w:before="1"/>
        <w:rPr>
          <w:sz w:val="16"/>
        </w:rPr>
      </w:pPr>
    </w:p>
    <w:p w14:paraId="2E91AD3A" w14:textId="77777777" w:rsidR="007F6DF7" w:rsidRDefault="002C4268">
      <w:pPr>
        <w:pStyle w:val="ListParagraph"/>
        <w:numPr>
          <w:ilvl w:val="0"/>
          <w:numId w:val="19"/>
        </w:numPr>
        <w:tabs>
          <w:tab w:val="left" w:pos="1299"/>
          <w:tab w:val="left" w:pos="1300"/>
          <w:tab w:val="left" w:pos="10095"/>
        </w:tabs>
        <w:spacing w:before="45"/>
        <w:ind w:hanging="566"/>
        <w:rPr>
          <w:b/>
          <w:sz w:val="28"/>
        </w:rPr>
      </w:pPr>
      <w:bookmarkStart w:id="1" w:name="_bookmark1"/>
      <w:bookmarkEnd w:id="1"/>
      <w:r>
        <w:rPr>
          <w:b/>
          <w:color w:val="FFFFFF"/>
          <w:sz w:val="28"/>
          <w:shd w:val="clear" w:color="auto" w:fill="538DD3"/>
        </w:rPr>
        <w:t>Shared Care</w:t>
      </w:r>
      <w:r>
        <w:rPr>
          <w:b/>
          <w:color w:val="FFFFFF"/>
          <w:spacing w:val="-7"/>
          <w:sz w:val="28"/>
          <w:shd w:val="clear" w:color="auto" w:fill="538DD3"/>
        </w:rPr>
        <w:t xml:space="preserve"> </w:t>
      </w:r>
      <w:r>
        <w:rPr>
          <w:b/>
          <w:color w:val="FFFFFF"/>
          <w:sz w:val="28"/>
          <w:shd w:val="clear" w:color="auto" w:fill="538DD3"/>
        </w:rPr>
        <w:t>Criteria</w:t>
      </w:r>
      <w:r>
        <w:rPr>
          <w:b/>
          <w:color w:val="FFFFFF"/>
          <w:sz w:val="28"/>
          <w:shd w:val="clear" w:color="auto" w:fill="538DD3"/>
        </w:rPr>
        <w:tab/>
      </w:r>
    </w:p>
    <w:p w14:paraId="25AF4F88" w14:textId="77777777" w:rsidR="007F6DF7" w:rsidRDefault="002C4268">
      <w:pPr>
        <w:pStyle w:val="BodyText"/>
        <w:spacing w:before="118"/>
        <w:ind w:left="733" w:right="714"/>
        <w:jc w:val="both"/>
      </w:pPr>
      <w:r>
        <w:t>Drug treatments used for ADHD will be prescribed for the treatment of adults with a confirmed diagnosis of moderate to severe ADHD using DSM-V / ICD 11 criteria. Initial dose titration of the chosen medication will take place under the care of specialist mental health services. Once the patient has been titrated to maintenance dose and stable they will be given a further prescription for 28 days of their maintenance dose. Advice will be given in a letter to continue with treatment in primary care and request for shared care by completing Appendix</w:t>
      </w:r>
      <w:r>
        <w:rPr>
          <w:spacing w:val="-6"/>
        </w:rPr>
        <w:t xml:space="preserve"> </w:t>
      </w:r>
      <w:r>
        <w:t>1.</w:t>
      </w:r>
    </w:p>
    <w:p w14:paraId="518AD67E" w14:textId="77777777" w:rsidR="007F6DF7" w:rsidRDefault="007F6DF7">
      <w:pPr>
        <w:pStyle w:val="BodyText"/>
        <w:spacing w:before="3"/>
        <w:rPr>
          <w:sz w:val="16"/>
        </w:rPr>
      </w:pPr>
    </w:p>
    <w:p w14:paraId="5653818E" w14:textId="77777777" w:rsidR="007F6DF7" w:rsidRDefault="002C4268">
      <w:pPr>
        <w:pStyle w:val="ListParagraph"/>
        <w:numPr>
          <w:ilvl w:val="0"/>
          <w:numId w:val="19"/>
        </w:numPr>
        <w:tabs>
          <w:tab w:val="left" w:pos="1299"/>
          <w:tab w:val="left" w:pos="1300"/>
          <w:tab w:val="left" w:pos="10095"/>
        </w:tabs>
        <w:spacing w:before="44"/>
        <w:ind w:hanging="566"/>
        <w:rPr>
          <w:b/>
          <w:sz w:val="28"/>
        </w:rPr>
      </w:pPr>
      <w:bookmarkStart w:id="2" w:name="_bookmark2"/>
      <w:bookmarkEnd w:id="2"/>
      <w:r>
        <w:rPr>
          <w:b/>
          <w:color w:val="FFFFFF"/>
          <w:sz w:val="28"/>
          <w:shd w:val="clear" w:color="auto" w:fill="538DD3"/>
        </w:rPr>
        <w:t>Shared Care</w:t>
      </w:r>
      <w:r>
        <w:rPr>
          <w:b/>
          <w:color w:val="FFFFFF"/>
          <w:spacing w:val="-9"/>
          <w:sz w:val="28"/>
          <w:shd w:val="clear" w:color="auto" w:fill="538DD3"/>
        </w:rPr>
        <w:t xml:space="preserve"> </w:t>
      </w:r>
      <w:r>
        <w:rPr>
          <w:b/>
          <w:color w:val="FFFFFF"/>
          <w:sz w:val="28"/>
          <w:shd w:val="clear" w:color="auto" w:fill="538DD3"/>
        </w:rPr>
        <w:t>Responsibilities</w:t>
      </w:r>
      <w:r>
        <w:rPr>
          <w:b/>
          <w:color w:val="FFFFFF"/>
          <w:sz w:val="28"/>
          <w:shd w:val="clear" w:color="auto" w:fill="538DD3"/>
        </w:rPr>
        <w:tab/>
      </w:r>
    </w:p>
    <w:p w14:paraId="5C9DFFFF" w14:textId="77777777" w:rsidR="007F6DF7" w:rsidRDefault="002C4268">
      <w:pPr>
        <w:pStyle w:val="Heading2"/>
        <w:numPr>
          <w:ilvl w:val="1"/>
          <w:numId w:val="18"/>
        </w:numPr>
        <w:tabs>
          <w:tab w:val="left" w:pos="1453"/>
          <w:tab w:val="left" w:pos="1454"/>
        </w:tabs>
      </w:pPr>
      <w:bookmarkStart w:id="3" w:name="_bookmark3"/>
      <w:bookmarkEnd w:id="3"/>
      <w:r>
        <w:t>Consultant and /or Specialist</w:t>
      </w:r>
    </w:p>
    <w:p w14:paraId="3472CA8E" w14:textId="77777777" w:rsidR="007F6DF7" w:rsidRDefault="007F6DF7">
      <w:pPr>
        <w:pStyle w:val="BodyText"/>
        <w:spacing w:before="4"/>
        <w:rPr>
          <w:b/>
          <w:sz w:val="35"/>
        </w:rPr>
      </w:pPr>
    </w:p>
    <w:p w14:paraId="32D17929" w14:textId="77777777" w:rsidR="007F6DF7" w:rsidRDefault="002C4268">
      <w:pPr>
        <w:pStyle w:val="BodyText"/>
        <w:ind w:left="733" w:right="715"/>
        <w:jc w:val="both"/>
      </w:pPr>
      <w:r>
        <w:t>Send a letter to the GP, with the shared care agreement, at the point where the patient is stable on a set dose of a medication for ADHD. Dose and frequency of medication to be decided by the Adult ADHD service team.</w:t>
      </w:r>
    </w:p>
    <w:p w14:paraId="2921EFFD" w14:textId="77777777" w:rsidR="007F6DF7" w:rsidRDefault="007F6DF7">
      <w:pPr>
        <w:pStyle w:val="BodyText"/>
        <w:spacing w:before="11"/>
        <w:rPr>
          <w:sz w:val="31"/>
        </w:rPr>
      </w:pPr>
    </w:p>
    <w:p w14:paraId="16008B70" w14:textId="0C1FAD6A" w:rsidR="007F6DF7" w:rsidRDefault="002C4268">
      <w:pPr>
        <w:pStyle w:val="ListParagraph"/>
        <w:numPr>
          <w:ilvl w:val="2"/>
          <w:numId w:val="18"/>
        </w:numPr>
        <w:tabs>
          <w:tab w:val="left" w:pos="1813"/>
          <w:tab w:val="left" w:pos="1814"/>
        </w:tabs>
        <w:spacing w:before="1"/>
        <w:ind w:right="714"/>
        <w:jc w:val="both"/>
      </w:pPr>
      <w:r>
        <w:t xml:space="preserve">Before initiating treatment, perform all necessary tests before starting treatment with medication including specialist ADHD assessment, medical assessment (including blood tests, BMI, pulse, </w:t>
      </w:r>
      <w:proofErr w:type="gramStart"/>
      <w:r>
        <w:t>BP</w:t>
      </w:r>
      <w:proofErr w:type="gramEnd"/>
      <w:r>
        <w:t xml:space="preserve"> and ECG where indicated), screen for substance and alcohol misuse. </w:t>
      </w:r>
      <w:r w:rsidR="00F362D3">
        <w:t>Interpret and communicate</w:t>
      </w:r>
      <w:r>
        <w:t xml:space="preserve"> the results of these tests to the patient’s</w:t>
      </w:r>
      <w:r>
        <w:rPr>
          <w:spacing w:val="-11"/>
        </w:rPr>
        <w:t xml:space="preserve"> </w:t>
      </w:r>
      <w:proofErr w:type="gramStart"/>
      <w:r>
        <w:t>GP</w:t>
      </w:r>
      <w:proofErr w:type="gramEnd"/>
    </w:p>
    <w:p w14:paraId="2DF208F4" w14:textId="77777777" w:rsidR="007F6DF7" w:rsidRDefault="002C4268">
      <w:pPr>
        <w:pStyle w:val="ListParagraph"/>
        <w:numPr>
          <w:ilvl w:val="2"/>
          <w:numId w:val="18"/>
        </w:numPr>
        <w:tabs>
          <w:tab w:val="left" w:pos="1813"/>
          <w:tab w:val="left" w:pos="1814"/>
        </w:tabs>
        <w:ind w:right="713"/>
        <w:jc w:val="both"/>
      </w:pPr>
      <w:r>
        <w:t xml:space="preserve">Discuss the benefits and side effects of treatment with the patient. Provide the patient with a Patient Information Leaflet, explain </w:t>
      </w:r>
      <w:proofErr w:type="gramStart"/>
      <w:r>
        <w:t>it</w:t>
      </w:r>
      <w:proofErr w:type="gramEnd"/>
      <w:r>
        <w:t xml:space="preserve"> and ensure that the patient understands the reason for the treatment, and dosing regimen. Inform the patient that treatment is </w:t>
      </w:r>
      <w:proofErr w:type="gramStart"/>
      <w:r>
        <w:t>off-label</w:t>
      </w:r>
      <w:proofErr w:type="gramEnd"/>
      <w:r>
        <w:t>, where applicable.</w:t>
      </w:r>
    </w:p>
    <w:p w14:paraId="394E3422" w14:textId="77777777" w:rsidR="007F6DF7" w:rsidRDefault="002C4268">
      <w:pPr>
        <w:pStyle w:val="ListParagraph"/>
        <w:numPr>
          <w:ilvl w:val="2"/>
          <w:numId w:val="18"/>
        </w:numPr>
        <w:tabs>
          <w:tab w:val="left" w:pos="1813"/>
          <w:tab w:val="left" w:pos="1814"/>
        </w:tabs>
        <w:spacing w:before="58"/>
        <w:ind w:right="716"/>
        <w:jc w:val="both"/>
      </w:pPr>
      <w:r>
        <w:t>Initiate treatment and prescribe in accordance with NICE and locally agreed clinical guidelines until the GP formally agrees to share care. Patients will be seen in the clinic prior to consideration of shared</w:t>
      </w:r>
      <w:r>
        <w:rPr>
          <w:spacing w:val="-7"/>
        </w:rPr>
        <w:t xml:space="preserve"> </w:t>
      </w:r>
      <w:r>
        <w:t>care.</w:t>
      </w:r>
    </w:p>
    <w:p w14:paraId="0832DEBC" w14:textId="77777777" w:rsidR="007F6DF7" w:rsidRDefault="002C4268">
      <w:pPr>
        <w:pStyle w:val="ListParagraph"/>
        <w:numPr>
          <w:ilvl w:val="2"/>
          <w:numId w:val="18"/>
        </w:numPr>
        <w:tabs>
          <w:tab w:val="left" w:pos="1813"/>
          <w:tab w:val="left" w:pos="1814"/>
        </w:tabs>
      </w:pPr>
      <w:r>
        <w:t>Discuss the shared care arrangement with the</w:t>
      </w:r>
      <w:r>
        <w:rPr>
          <w:spacing w:val="-8"/>
        </w:rPr>
        <w:t xml:space="preserve"> </w:t>
      </w:r>
      <w:r>
        <w:t>patient.</w:t>
      </w:r>
    </w:p>
    <w:p w14:paraId="229798BB" w14:textId="77777777" w:rsidR="007F6DF7" w:rsidRDefault="002C4268">
      <w:pPr>
        <w:pStyle w:val="ListParagraph"/>
        <w:numPr>
          <w:ilvl w:val="2"/>
          <w:numId w:val="18"/>
        </w:numPr>
        <w:tabs>
          <w:tab w:val="left" w:pos="1813"/>
          <w:tab w:val="left" w:pos="1814"/>
        </w:tabs>
        <w:spacing w:before="60"/>
        <w:ind w:right="719"/>
        <w:jc w:val="both"/>
      </w:pPr>
      <w:r>
        <w:t>Provide results of baseline tests and recommend frequency of monitoring to GP. The specialist must also explain what the recommended tests are, why they are needed and the location in which these tests will be carried</w:t>
      </w:r>
      <w:r>
        <w:rPr>
          <w:spacing w:val="-10"/>
        </w:rPr>
        <w:t xml:space="preserve"> </w:t>
      </w:r>
      <w:r>
        <w:t>out.</w:t>
      </w:r>
    </w:p>
    <w:p w14:paraId="2CCB0DE2" w14:textId="77777777" w:rsidR="007F6DF7" w:rsidRDefault="002C4268">
      <w:pPr>
        <w:pStyle w:val="ListParagraph"/>
        <w:numPr>
          <w:ilvl w:val="2"/>
          <w:numId w:val="18"/>
        </w:numPr>
        <w:tabs>
          <w:tab w:val="left" w:pos="1813"/>
          <w:tab w:val="left" w:pos="1814"/>
        </w:tabs>
        <w:spacing w:before="64" w:line="237" w:lineRule="auto"/>
        <w:ind w:right="714"/>
        <w:jc w:val="both"/>
      </w:pPr>
      <w:r>
        <w:t>Send a letter to the GP after each clinic attendance ensuring that the current dose, weight, pulse, blood pressure, and frequency of monitoring are</w:t>
      </w:r>
      <w:r>
        <w:rPr>
          <w:spacing w:val="-9"/>
        </w:rPr>
        <w:t xml:space="preserve"> </w:t>
      </w:r>
      <w:r>
        <w:t>stated.</w:t>
      </w:r>
    </w:p>
    <w:p w14:paraId="04E069AD" w14:textId="77777777" w:rsidR="007F6DF7" w:rsidRDefault="002C4268">
      <w:pPr>
        <w:pStyle w:val="ListParagraph"/>
        <w:numPr>
          <w:ilvl w:val="2"/>
          <w:numId w:val="18"/>
        </w:numPr>
        <w:tabs>
          <w:tab w:val="left" w:pos="1813"/>
          <w:tab w:val="left" w:pos="1814"/>
        </w:tabs>
        <w:ind w:right="722"/>
        <w:jc w:val="both"/>
      </w:pPr>
      <w:r>
        <w:t xml:space="preserve">Inform the GP of test results, actions to take in case of abnormal results, and advise the </w:t>
      </w:r>
      <w:r>
        <w:rPr>
          <w:spacing w:val="-3"/>
        </w:rPr>
        <w:t xml:space="preserve">GP </w:t>
      </w:r>
      <w:r>
        <w:t>on any dose adjustments or if the treatment should be</w:t>
      </w:r>
      <w:r>
        <w:rPr>
          <w:spacing w:val="-8"/>
        </w:rPr>
        <w:t xml:space="preserve"> </w:t>
      </w:r>
      <w:r>
        <w:t>stopped.</w:t>
      </w:r>
    </w:p>
    <w:p w14:paraId="3042CBC5" w14:textId="77777777" w:rsidR="007F6DF7" w:rsidRDefault="002C4268">
      <w:pPr>
        <w:pStyle w:val="ListParagraph"/>
        <w:numPr>
          <w:ilvl w:val="2"/>
          <w:numId w:val="18"/>
        </w:numPr>
        <w:tabs>
          <w:tab w:val="left" w:pos="1813"/>
          <w:tab w:val="left" w:pos="1814"/>
        </w:tabs>
      </w:pPr>
      <w:r>
        <w:t>Evaluate adverse effects reported by GP or</w:t>
      </w:r>
      <w:r>
        <w:rPr>
          <w:spacing w:val="-6"/>
        </w:rPr>
        <w:t xml:space="preserve"> </w:t>
      </w:r>
      <w:r>
        <w:t>patient.</w:t>
      </w:r>
    </w:p>
    <w:p w14:paraId="0D9007B5" w14:textId="77777777" w:rsidR="007F6DF7" w:rsidRDefault="002C4268">
      <w:pPr>
        <w:pStyle w:val="ListParagraph"/>
        <w:numPr>
          <w:ilvl w:val="2"/>
          <w:numId w:val="18"/>
        </w:numPr>
        <w:tabs>
          <w:tab w:val="left" w:pos="1813"/>
          <w:tab w:val="left" w:pos="1814"/>
        </w:tabs>
        <w:spacing w:before="60"/>
      </w:pPr>
      <w:r>
        <w:t>Report adverse events to the MHRA (via the yellow card scheme) and</w:t>
      </w:r>
      <w:r>
        <w:rPr>
          <w:spacing w:val="-18"/>
        </w:rPr>
        <w:t xml:space="preserve"> </w:t>
      </w:r>
      <w:r>
        <w:t>GP.</w:t>
      </w:r>
    </w:p>
    <w:p w14:paraId="698454A3" w14:textId="77777777" w:rsidR="007F6DF7" w:rsidRDefault="002C4268">
      <w:pPr>
        <w:pStyle w:val="ListParagraph"/>
        <w:numPr>
          <w:ilvl w:val="2"/>
          <w:numId w:val="18"/>
        </w:numPr>
        <w:tabs>
          <w:tab w:val="left" w:pos="1813"/>
          <w:tab w:val="left" w:pos="1814"/>
        </w:tabs>
        <w:spacing w:before="60"/>
      </w:pPr>
      <w:r>
        <w:t>Inform the GP of patients who do not attend clinic</w:t>
      </w:r>
      <w:r>
        <w:rPr>
          <w:spacing w:val="-6"/>
        </w:rPr>
        <w:t xml:space="preserve"> </w:t>
      </w:r>
      <w:r>
        <w:t>appointments.</w:t>
      </w:r>
    </w:p>
    <w:p w14:paraId="14AFDFAA" w14:textId="77777777" w:rsidR="007F6DF7" w:rsidRDefault="002C4268">
      <w:pPr>
        <w:pStyle w:val="ListParagraph"/>
        <w:numPr>
          <w:ilvl w:val="2"/>
          <w:numId w:val="18"/>
        </w:numPr>
        <w:tabs>
          <w:tab w:val="left" w:pos="1813"/>
          <w:tab w:val="left" w:pos="1814"/>
        </w:tabs>
        <w:spacing w:before="0"/>
        <w:rPr>
          <w:sz w:val="20"/>
        </w:rPr>
      </w:pPr>
      <w:r>
        <w:t>Trial discontinuations should be managed by the</w:t>
      </w:r>
      <w:r>
        <w:rPr>
          <w:spacing w:val="-9"/>
        </w:rPr>
        <w:t xml:space="preserve"> </w:t>
      </w:r>
      <w:r>
        <w:t>specialist.</w:t>
      </w:r>
    </w:p>
    <w:p w14:paraId="3A242632" w14:textId="77777777" w:rsidR="007F6DF7" w:rsidRDefault="002C4268">
      <w:pPr>
        <w:pStyle w:val="ListParagraph"/>
        <w:numPr>
          <w:ilvl w:val="2"/>
          <w:numId w:val="18"/>
        </w:numPr>
        <w:tabs>
          <w:tab w:val="left" w:pos="1813"/>
          <w:tab w:val="left" w:pos="1814"/>
        </w:tabs>
        <w:spacing w:before="121"/>
      </w:pPr>
      <w:r>
        <w:t xml:space="preserve">GPs </w:t>
      </w:r>
      <w:proofErr w:type="gramStart"/>
      <w:r>
        <w:t>are able to</w:t>
      </w:r>
      <w:proofErr w:type="gramEnd"/>
      <w:r>
        <w:t xml:space="preserve"> obtain advice and support from the</w:t>
      </w:r>
      <w:r>
        <w:rPr>
          <w:spacing w:val="-8"/>
        </w:rPr>
        <w:t xml:space="preserve"> </w:t>
      </w:r>
      <w:r>
        <w:t>specialist.</w:t>
      </w:r>
    </w:p>
    <w:p w14:paraId="17DA10CD" w14:textId="77777777" w:rsidR="007F6DF7" w:rsidRDefault="002C4268">
      <w:pPr>
        <w:pStyle w:val="ListParagraph"/>
        <w:numPr>
          <w:ilvl w:val="2"/>
          <w:numId w:val="18"/>
        </w:numPr>
        <w:tabs>
          <w:tab w:val="left" w:pos="1813"/>
          <w:tab w:val="left" w:pos="1814"/>
        </w:tabs>
        <w:spacing w:before="60"/>
      </w:pPr>
      <w:r>
        <w:t xml:space="preserve">Discuss family </w:t>
      </w:r>
      <w:proofErr w:type="gramStart"/>
      <w:r>
        <w:t>planning, when</w:t>
      </w:r>
      <w:proofErr w:type="gramEnd"/>
      <w:r>
        <w:t xml:space="preserve"> the patient is a woman of child-bearing</w:t>
      </w:r>
      <w:r>
        <w:rPr>
          <w:spacing w:val="-9"/>
        </w:rPr>
        <w:t xml:space="preserve"> </w:t>
      </w:r>
      <w:r>
        <w:t>age.</w:t>
      </w:r>
    </w:p>
    <w:p w14:paraId="23C34AA3" w14:textId="77777777" w:rsidR="007F6DF7" w:rsidRDefault="007F6DF7">
      <w:pPr>
        <w:sectPr w:rsidR="007F6DF7">
          <w:headerReference w:type="default" r:id="rId15"/>
          <w:pgSz w:w="11910" w:h="16840"/>
          <w:pgMar w:top="1340" w:right="720" w:bottom="1880" w:left="400" w:header="0" w:footer="1595" w:gutter="0"/>
          <w:cols w:space="720"/>
        </w:sectPr>
      </w:pPr>
    </w:p>
    <w:p w14:paraId="1613119B" w14:textId="77777777" w:rsidR="007F6DF7" w:rsidRDefault="002C4268">
      <w:pPr>
        <w:pStyle w:val="Heading2"/>
        <w:numPr>
          <w:ilvl w:val="1"/>
          <w:numId w:val="18"/>
        </w:numPr>
        <w:tabs>
          <w:tab w:val="left" w:pos="1453"/>
          <w:tab w:val="left" w:pos="1454"/>
        </w:tabs>
        <w:spacing w:before="23"/>
      </w:pPr>
      <w:bookmarkStart w:id="4" w:name="_bookmark4"/>
      <w:bookmarkEnd w:id="4"/>
      <w:r>
        <w:lastRenderedPageBreak/>
        <w:t>Primary Care</w:t>
      </w:r>
      <w:r>
        <w:rPr>
          <w:spacing w:val="-1"/>
        </w:rPr>
        <w:t xml:space="preserve"> </w:t>
      </w:r>
      <w:r>
        <w:t>Prescriber</w:t>
      </w:r>
    </w:p>
    <w:p w14:paraId="7497183C" w14:textId="77777777" w:rsidR="007F6DF7" w:rsidRDefault="002C4268">
      <w:pPr>
        <w:pStyle w:val="BodyText"/>
        <w:spacing w:before="105"/>
        <w:ind w:left="733" w:right="714"/>
        <w:jc w:val="both"/>
      </w:pPr>
      <w:r>
        <w:t>Complete the transfer form and send back to the Adult ADHD service confirming acceptance/ rejection of shared care for the patient. If there are concerns about the treatment, there should be liaison with the specialist to resolve concerns. If the GP is unable to agree to shared care, inform the Adult ADHD service stating reasons within 14 days of receipt of the request. If no response is received within 14 days, the specialist will assume the GP has accepted shared</w:t>
      </w:r>
      <w:r>
        <w:rPr>
          <w:spacing w:val="-10"/>
        </w:rPr>
        <w:t xml:space="preserve"> </w:t>
      </w:r>
      <w:r>
        <w:t>care.</w:t>
      </w:r>
    </w:p>
    <w:p w14:paraId="6389A716" w14:textId="77777777" w:rsidR="007F6DF7" w:rsidRDefault="002C4268">
      <w:pPr>
        <w:pStyle w:val="ListParagraph"/>
        <w:numPr>
          <w:ilvl w:val="2"/>
          <w:numId w:val="18"/>
        </w:numPr>
        <w:tabs>
          <w:tab w:val="left" w:pos="1813"/>
          <w:tab w:val="left" w:pos="1814"/>
        </w:tabs>
        <w:spacing w:before="59"/>
        <w:ind w:right="715"/>
        <w:jc w:val="both"/>
      </w:pPr>
      <w:r>
        <w:t xml:space="preserve">Monitor the patient’s overall health and well-being and offer follow-up and monitoring of BP, </w:t>
      </w:r>
      <w:proofErr w:type="gramStart"/>
      <w:r>
        <w:t>pulse</w:t>
      </w:r>
      <w:proofErr w:type="gramEnd"/>
      <w:r>
        <w:t xml:space="preserve"> and BMI. as recommended by NICE for adults who take ADHD medication (see clinical monitoring section). Do not offer routine blood tests (including liver function tests) or ECGs to people taking medication for ADHD unless there is a clinical</w:t>
      </w:r>
      <w:r>
        <w:rPr>
          <w:spacing w:val="-19"/>
        </w:rPr>
        <w:t xml:space="preserve"> </w:t>
      </w:r>
      <w:r>
        <w:t>indication.</w:t>
      </w:r>
    </w:p>
    <w:p w14:paraId="32DBE969" w14:textId="77777777" w:rsidR="007F6DF7" w:rsidRDefault="002C4268">
      <w:pPr>
        <w:pStyle w:val="ListParagraph"/>
        <w:numPr>
          <w:ilvl w:val="2"/>
          <w:numId w:val="18"/>
        </w:numPr>
        <w:tabs>
          <w:tab w:val="left" w:pos="1813"/>
          <w:tab w:val="left" w:pos="1814"/>
        </w:tabs>
      </w:pPr>
      <w:r>
        <w:t>Prescribe</w:t>
      </w:r>
      <w:r>
        <w:rPr>
          <w:spacing w:val="36"/>
        </w:rPr>
        <w:t xml:space="preserve"> </w:t>
      </w:r>
      <w:r>
        <w:t>the</w:t>
      </w:r>
      <w:r>
        <w:rPr>
          <w:spacing w:val="35"/>
        </w:rPr>
        <w:t xml:space="preserve"> </w:t>
      </w:r>
      <w:r>
        <w:t>drug</w:t>
      </w:r>
      <w:r>
        <w:rPr>
          <w:spacing w:val="35"/>
        </w:rPr>
        <w:t xml:space="preserve"> </w:t>
      </w:r>
      <w:r>
        <w:t>treatment</w:t>
      </w:r>
      <w:r>
        <w:rPr>
          <w:spacing w:val="36"/>
        </w:rPr>
        <w:t xml:space="preserve"> </w:t>
      </w:r>
      <w:r>
        <w:t>as</w:t>
      </w:r>
      <w:r>
        <w:rPr>
          <w:spacing w:val="35"/>
        </w:rPr>
        <w:t xml:space="preserve"> </w:t>
      </w:r>
      <w:r>
        <w:t>described</w:t>
      </w:r>
      <w:r>
        <w:rPr>
          <w:spacing w:val="36"/>
        </w:rPr>
        <w:t xml:space="preserve"> </w:t>
      </w:r>
      <w:r>
        <w:t>(including</w:t>
      </w:r>
      <w:r>
        <w:rPr>
          <w:spacing w:val="34"/>
        </w:rPr>
        <w:t xml:space="preserve"> </w:t>
      </w:r>
      <w:r>
        <w:t>the</w:t>
      </w:r>
      <w:r>
        <w:rPr>
          <w:spacing w:val="35"/>
        </w:rPr>
        <w:t xml:space="preserve"> </w:t>
      </w:r>
      <w:r>
        <w:t>brand</w:t>
      </w:r>
      <w:r>
        <w:rPr>
          <w:spacing w:val="35"/>
        </w:rPr>
        <w:t xml:space="preserve"> </w:t>
      </w:r>
      <w:r>
        <w:t>if</w:t>
      </w:r>
      <w:r>
        <w:rPr>
          <w:spacing w:val="36"/>
        </w:rPr>
        <w:t xml:space="preserve"> </w:t>
      </w:r>
      <w:r>
        <w:t>methylphenidate</w:t>
      </w:r>
      <w:r>
        <w:rPr>
          <w:spacing w:val="36"/>
        </w:rPr>
        <w:t xml:space="preserve"> </w:t>
      </w:r>
      <w:r>
        <w:t>Slow</w:t>
      </w:r>
    </w:p>
    <w:p w14:paraId="399622A2" w14:textId="77777777" w:rsidR="007F6DF7" w:rsidRDefault="002C4268">
      <w:pPr>
        <w:pStyle w:val="BodyText"/>
        <w:spacing w:before="1"/>
        <w:ind w:left="1813"/>
      </w:pPr>
      <w:r>
        <w:t>Release being prescribed). The term “as directed” SHOULD NOT be used.</w:t>
      </w:r>
    </w:p>
    <w:p w14:paraId="4FBB7140" w14:textId="77777777" w:rsidR="007F6DF7" w:rsidRDefault="002C4268">
      <w:pPr>
        <w:pStyle w:val="ListParagraph"/>
        <w:numPr>
          <w:ilvl w:val="2"/>
          <w:numId w:val="18"/>
        </w:numPr>
        <w:tabs>
          <w:tab w:val="left" w:pos="1813"/>
          <w:tab w:val="left" w:pos="1814"/>
        </w:tabs>
        <w:spacing w:before="60"/>
      </w:pPr>
      <w:r>
        <w:t>Ensure that the patient understands the</w:t>
      </w:r>
      <w:r>
        <w:rPr>
          <w:spacing w:val="-5"/>
        </w:rPr>
        <w:t xml:space="preserve"> </w:t>
      </w:r>
      <w:r>
        <w:t>dosing.</w:t>
      </w:r>
    </w:p>
    <w:p w14:paraId="64F47A44" w14:textId="77777777" w:rsidR="007F6DF7" w:rsidRDefault="002C4268">
      <w:pPr>
        <w:pStyle w:val="ListParagraph"/>
        <w:numPr>
          <w:ilvl w:val="2"/>
          <w:numId w:val="18"/>
        </w:numPr>
        <w:tabs>
          <w:tab w:val="left" w:pos="1813"/>
          <w:tab w:val="left" w:pos="1814"/>
        </w:tabs>
        <w:spacing w:before="58"/>
      </w:pPr>
      <w:r>
        <w:t>Ensure</w:t>
      </w:r>
      <w:r>
        <w:rPr>
          <w:spacing w:val="27"/>
        </w:rPr>
        <w:t xml:space="preserve"> </w:t>
      </w:r>
      <w:r>
        <w:t>the</w:t>
      </w:r>
      <w:r>
        <w:rPr>
          <w:spacing w:val="28"/>
        </w:rPr>
        <w:t xml:space="preserve"> </w:t>
      </w:r>
      <w:r>
        <w:t>patient</w:t>
      </w:r>
      <w:r>
        <w:rPr>
          <w:spacing w:val="28"/>
        </w:rPr>
        <w:t xml:space="preserve"> </w:t>
      </w:r>
      <w:r>
        <w:t>understands</w:t>
      </w:r>
      <w:r>
        <w:rPr>
          <w:spacing w:val="28"/>
        </w:rPr>
        <w:t xml:space="preserve"> </w:t>
      </w:r>
      <w:r>
        <w:t>that</w:t>
      </w:r>
      <w:r>
        <w:rPr>
          <w:spacing w:val="28"/>
        </w:rPr>
        <w:t xml:space="preserve"> </w:t>
      </w:r>
      <w:r>
        <w:t>he/she</w:t>
      </w:r>
      <w:r>
        <w:rPr>
          <w:spacing w:val="25"/>
        </w:rPr>
        <w:t xml:space="preserve"> </w:t>
      </w:r>
      <w:r>
        <w:t>must</w:t>
      </w:r>
      <w:r>
        <w:rPr>
          <w:spacing w:val="26"/>
        </w:rPr>
        <w:t xml:space="preserve"> </w:t>
      </w:r>
      <w:r>
        <w:t>report</w:t>
      </w:r>
      <w:r>
        <w:rPr>
          <w:spacing w:val="28"/>
        </w:rPr>
        <w:t xml:space="preserve"> </w:t>
      </w:r>
      <w:r>
        <w:t>the</w:t>
      </w:r>
      <w:r>
        <w:rPr>
          <w:spacing w:val="28"/>
        </w:rPr>
        <w:t xml:space="preserve"> </w:t>
      </w:r>
      <w:r>
        <w:t>warning</w:t>
      </w:r>
      <w:r>
        <w:rPr>
          <w:spacing w:val="27"/>
        </w:rPr>
        <w:t xml:space="preserve"> </w:t>
      </w:r>
      <w:r>
        <w:t>symptoms</w:t>
      </w:r>
      <w:r>
        <w:rPr>
          <w:spacing w:val="28"/>
        </w:rPr>
        <w:t xml:space="preserve"> </w:t>
      </w:r>
      <w:r>
        <w:t>as</w:t>
      </w:r>
      <w:r>
        <w:rPr>
          <w:spacing w:val="28"/>
        </w:rPr>
        <w:t xml:space="preserve"> </w:t>
      </w:r>
      <w:proofErr w:type="gramStart"/>
      <w:r>
        <w:t>listed</w:t>
      </w:r>
      <w:proofErr w:type="gramEnd"/>
    </w:p>
    <w:p w14:paraId="120370A0" w14:textId="77777777" w:rsidR="007F6DF7" w:rsidRDefault="002C4268">
      <w:pPr>
        <w:pStyle w:val="BodyText"/>
        <w:ind w:left="1813"/>
      </w:pPr>
      <w:r>
        <w:t>under “adverse effects”. Ensure compatibility with concomitant medication.</w:t>
      </w:r>
    </w:p>
    <w:p w14:paraId="29046F83" w14:textId="77777777" w:rsidR="007F6DF7" w:rsidRDefault="002C4268">
      <w:pPr>
        <w:pStyle w:val="ListParagraph"/>
        <w:numPr>
          <w:ilvl w:val="2"/>
          <w:numId w:val="18"/>
        </w:numPr>
        <w:tabs>
          <w:tab w:val="left" w:pos="1813"/>
          <w:tab w:val="left" w:pos="1814"/>
        </w:tabs>
        <w:spacing w:before="60"/>
      </w:pPr>
      <w:r>
        <w:t>Monitor results at recommended frequencies as described under “clinical monitoring”</w:t>
      </w:r>
      <w:r>
        <w:rPr>
          <w:spacing w:val="-7"/>
        </w:rPr>
        <w:t xml:space="preserve"> </w:t>
      </w:r>
      <w:r>
        <w:t>and</w:t>
      </w:r>
    </w:p>
    <w:p w14:paraId="2A36AFB6" w14:textId="77777777" w:rsidR="007F6DF7" w:rsidRDefault="002C4268">
      <w:pPr>
        <w:pStyle w:val="BodyText"/>
        <w:spacing w:before="1"/>
        <w:ind w:left="1813"/>
      </w:pPr>
      <w:r>
        <w:t>inform the specialist if abnormal.</w:t>
      </w:r>
    </w:p>
    <w:p w14:paraId="0EFF98A9" w14:textId="77777777" w:rsidR="007F6DF7" w:rsidRDefault="002C4268">
      <w:pPr>
        <w:pStyle w:val="ListParagraph"/>
        <w:numPr>
          <w:ilvl w:val="2"/>
          <w:numId w:val="18"/>
        </w:numPr>
        <w:tabs>
          <w:tab w:val="left" w:pos="1813"/>
          <w:tab w:val="left" w:pos="1814"/>
        </w:tabs>
        <w:spacing w:before="60"/>
      </w:pPr>
      <w:r>
        <w:t>Adjust the dose as advised by the specialist (where</w:t>
      </w:r>
      <w:r>
        <w:rPr>
          <w:spacing w:val="-8"/>
        </w:rPr>
        <w:t xml:space="preserve"> </w:t>
      </w:r>
      <w:r>
        <w:t>applicable).</w:t>
      </w:r>
    </w:p>
    <w:p w14:paraId="7E904011" w14:textId="77777777" w:rsidR="007F6DF7" w:rsidRDefault="002C4268">
      <w:pPr>
        <w:pStyle w:val="ListParagraph"/>
        <w:numPr>
          <w:ilvl w:val="2"/>
          <w:numId w:val="18"/>
        </w:numPr>
        <w:tabs>
          <w:tab w:val="left" w:pos="1813"/>
          <w:tab w:val="left" w:pos="1814"/>
        </w:tabs>
        <w:spacing w:before="60"/>
      </w:pPr>
      <w:r>
        <w:t>Seek</w:t>
      </w:r>
      <w:r>
        <w:rPr>
          <w:spacing w:val="28"/>
        </w:rPr>
        <w:t xml:space="preserve"> </w:t>
      </w:r>
      <w:r>
        <w:t>advice</w:t>
      </w:r>
      <w:r>
        <w:rPr>
          <w:spacing w:val="29"/>
        </w:rPr>
        <w:t xml:space="preserve"> </w:t>
      </w:r>
      <w:r>
        <w:t>(over</w:t>
      </w:r>
      <w:r>
        <w:rPr>
          <w:spacing w:val="28"/>
        </w:rPr>
        <w:t xml:space="preserve"> </w:t>
      </w:r>
      <w:r>
        <w:t>the</w:t>
      </w:r>
      <w:r>
        <w:rPr>
          <w:spacing w:val="29"/>
        </w:rPr>
        <w:t xml:space="preserve"> </w:t>
      </w:r>
      <w:r>
        <w:t>phone</w:t>
      </w:r>
      <w:r>
        <w:rPr>
          <w:spacing w:val="29"/>
        </w:rPr>
        <w:t xml:space="preserve"> </w:t>
      </w:r>
      <w:r>
        <w:t>or</w:t>
      </w:r>
      <w:r>
        <w:rPr>
          <w:spacing w:val="28"/>
        </w:rPr>
        <w:t xml:space="preserve"> </w:t>
      </w:r>
      <w:r>
        <w:t>by</w:t>
      </w:r>
      <w:r>
        <w:rPr>
          <w:spacing w:val="30"/>
        </w:rPr>
        <w:t xml:space="preserve"> </w:t>
      </w:r>
      <w:r>
        <w:t>requesting</w:t>
      </w:r>
      <w:r>
        <w:rPr>
          <w:spacing w:val="27"/>
        </w:rPr>
        <w:t xml:space="preserve"> </w:t>
      </w:r>
      <w:r>
        <w:t>a</w:t>
      </w:r>
      <w:r>
        <w:rPr>
          <w:spacing w:val="28"/>
        </w:rPr>
        <w:t xml:space="preserve"> </w:t>
      </w:r>
      <w:r>
        <w:t>review</w:t>
      </w:r>
      <w:r>
        <w:rPr>
          <w:spacing w:val="30"/>
        </w:rPr>
        <w:t xml:space="preserve"> </w:t>
      </w:r>
      <w:r>
        <w:t>in</w:t>
      </w:r>
      <w:r>
        <w:rPr>
          <w:spacing w:val="27"/>
        </w:rPr>
        <w:t xml:space="preserve"> </w:t>
      </w:r>
      <w:r>
        <w:t>the</w:t>
      </w:r>
      <w:r>
        <w:rPr>
          <w:spacing w:val="28"/>
        </w:rPr>
        <w:t xml:space="preserve"> </w:t>
      </w:r>
      <w:r>
        <w:t>clinic)</w:t>
      </w:r>
      <w:r>
        <w:rPr>
          <w:spacing w:val="29"/>
        </w:rPr>
        <w:t xml:space="preserve"> </w:t>
      </w:r>
      <w:r>
        <w:t>whenever</w:t>
      </w:r>
      <w:r>
        <w:rPr>
          <w:spacing w:val="28"/>
        </w:rPr>
        <w:t xml:space="preserve"> </w:t>
      </w:r>
      <w:r>
        <w:t>there</w:t>
      </w:r>
      <w:r>
        <w:rPr>
          <w:spacing w:val="28"/>
        </w:rPr>
        <w:t xml:space="preserve"> </w:t>
      </w:r>
      <w:proofErr w:type="gramStart"/>
      <w:r>
        <w:t>are</w:t>
      </w:r>
      <w:proofErr w:type="gramEnd"/>
    </w:p>
    <w:p w14:paraId="7EF6C09C" w14:textId="77777777" w:rsidR="007F6DF7" w:rsidRDefault="002C4268">
      <w:pPr>
        <w:pStyle w:val="BodyText"/>
        <w:ind w:left="1813"/>
      </w:pPr>
      <w:r>
        <w:t>concerns or questions about the patient’s ongoing treatment with medication for ADHD.</w:t>
      </w:r>
    </w:p>
    <w:p w14:paraId="5B482B5D" w14:textId="77777777" w:rsidR="007F6DF7" w:rsidRDefault="002C4268">
      <w:pPr>
        <w:pStyle w:val="ListParagraph"/>
        <w:numPr>
          <w:ilvl w:val="2"/>
          <w:numId w:val="18"/>
        </w:numPr>
        <w:tabs>
          <w:tab w:val="left" w:pos="1813"/>
          <w:tab w:val="left" w:pos="1814"/>
        </w:tabs>
        <w:ind w:right="713"/>
        <w:jc w:val="both"/>
      </w:pPr>
      <w:r>
        <w:t xml:space="preserve">Report any known adverse events and non-compliance to the specialist and the </w:t>
      </w:r>
      <w:proofErr w:type="gramStart"/>
      <w:r>
        <w:t>MHRA ,</w:t>
      </w:r>
      <w:proofErr w:type="gramEnd"/>
      <w:r>
        <w:t xml:space="preserve"> where appropriate (See ‘Adverse effects’ section of the document). It is not expected that the GP would actively monitor for adherence, but if it is noticed that prescriptions are </w:t>
      </w:r>
      <w:r>
        <w:rPr>
          <w:spacing w:val="-2"/>
        </w:rPr>
        <w:t xml:space="preserve">not </w:t>
      </w:r>
      <w:r>
        <w:t>being requested as expected or requested too frequently, the GP should inform the specialist.</w:t>
      </w:r>
    </w:p>
    <w:p w14:paraId="7AB47103" w14:textId="77777777" w:rsidR="007F6DF7" w:rsidRDefault="002C4268">
      <w:pPr>
        <w:pStyle w:val="ListParagraph"/>
        <w:numPr>
          <w:ilvl w:val="2"/>
          <w:numId w:val="18"/>
        </w:numPr>
        <w:tabs>
          <w:tab w:val="left" w:pos="1813"/>
          <w:tab w:val="left" w:pos="1814"/>
        </w:tabs>
        <w:spacing w:before="59"/>
        <w:ind w:right="714"/>
        <w:jc w:val="both"/>
      </w:pPr>
      <w:r>
        <w:t xml:space="preserve">Stop treatment on the advice of the specialist or immediately if an urgent need arises and make an urgent referral for appropriate care if cerebral </w:t>
      </w:r>
      <w:proofErr w:type="spellStart"/>
      <w:r>
        <w:t>ischaemia</w:t>
      </w:r>
      <w:proofErr w:type="spellEnd"/>
      <w:r>
        <w:t>, new or worsening seizures, or serotonin syndrome are</w:t>
      </w:r>
      <w:r>
        <w:rPr>
          <w:spacing w:val="-2"/>
        </w:rPr>
        <w:t xml:space="preserve"> </w:t>
      </w:r>
      <w:r>
        <w:t>suspected.</w:t>
      </w:r>
    </w:p>
    <w:p w14:paraId="7760854F" w14:textId="77777777" w:rsidR="007F6DF7" w:rsidRDefault="002C4268">
      <w:pPr>
        <w:pStyle w:val="BodyText"/>
        <w:spacing w:before="60"/>
        <w:ind w:left="733" w:right="704"/>
      </w:pPr>
      <w:r>
        <w:t>Contact the specialist if the patient becomes or plans to become pregnant. Consider referral to the NCL perinatal team.</w:t>
      </w:r>
    </w:p>
    <w:p w14:paraId="4CE72667" w14:textId="77777777" w:rsidR="007F6DF7" w:rsidRDefault="002C4268">
      <w:pPr>
        <w:pStyle w:val="Heading2"/>
        <w:numPr>
          <w:ilvl w:val="1"/>
          <w:numId w:val="18"/>
        </w:numPr>
        <w:tabs>
          <w:tab w:val="left" w:pos="1453"/>
          <w:tab w:val="left" w:pos="1454"/>
        </w:tabs>
        <w:spacing w:before="121"/>
      </w:pPr>
      <w:bookmarkStart w:id="5" w:name="_bookmark5"/>
      <w:bookmarkEnd w:id="5"/>
      <w:r>
        <w:t>Patient</w:t>
      </w:r>
      <w:r>
        <w:rPr>
          <w:spacing w:val="1"/>
        </w:rPr>
        <w:t xml:space="preserve"> </w:t>
      </w:r>
      <w:r>
        <w:t>Responsibility</w:t>
      </w:r>
    </w:p>
    <w:p w14:paraId="5AB91D40" w14:textId="77777777" w:rsidR="007F6DF7" w:rsidRDefault="002C4268">
      <w:pPr>
        <w:pStyle w:val="ListParagraph"/>
        <w:numPr>
          <w:ilvl w:val="0"/>
          <w:numId w:val="17"/>
        </w:numPr>
        <w:tabs>
          <w:tab w:val="left" w:pos="1300"/>
        </w:tabs>
        <w:spacing w:before="103" w:line="276" w:lineRule="auto"/>
        <w:ind w:right="1468" w:hanging="283"/>
      </w:pPr>
      <w:r>
        <w:t xml:space="preserve">Attend all Adult ADHD service and GP appointments. If the patient does not attend their appointment </w:t>
      </w:r>
      <w:proofErr w:type="gramStart"/>
      <w:r>
        <w:t>repeatedly</w:t>
      </w:r>
      <w:proofErr w:type="gramEnd"/>
      <w:r>
        <w:t xml:space="preserve"> they may be discharged from the service and medication may be stopped.</w:t>
      </w:r>
    </w:p>
    <w:p w14:paraId="0AA4064E" w14:textId="77777777" w:rsidR="007F6DF7" w:rsidRDefault="002C4268">
      <w:pPr>
        <w:pStyle w:val="ListParagraph"/>
        <w:numPr>
          <w:ilvl w:val="0"/>
          <w:numId w:val="17"/>
        </w:numPr>
        <w:tabs>
          <w:tab w:val="left" w:pos="1300"/>
        </w:tabs>
        <w:spacing w:before="0"/>
        <w:ind w:hanging="283"/>
      </w:pPr>
      <w:r>
        <w:t>Take medicines as</w:t>
      </w:r>
      <w:r>
        <w:rPr>
          <w:spacing w:val="-3"/>
        </w:rPr>
        <w:t xml:space="preserve"> </w:t>
      </w:r>
      <w:r>
        <w:t>agreed.</w:t>
      </w:r>
    </w:p>
    <w:p w14:paraId="5192A0F2" w14:textId="77777777" w:rsidR="007F6DF7" w:rsidRDefault="002C4268">
      <w:pPr>
        <w:pStyle w:val="ListParagraph"/>
        <w:numPr>
          <w:ilvl w:val="0"/>
          <w:numId w:val="17"/>
        </w:numPr>
        <w:tabs>
          <w:tab w:val="left" w:pos="1300"/>
        </w:tabs>
        <w:spacing w:before="42"/>
        <w:ind w:hanging="283"/>
      </w:pPr>
      <w:r>
        <w:t>Report to the specialist or GP if s/he does not have a clear understanding of the</w:t>
      </w:r>
      <w:r>
        <w:rPr>
          <w:spacing w:val="-17"/>
        </w:rPr>
        <w:t xml:space="preserve"> </w:t>
      </w:r>
      <w:r>
        <w:t>treatment.</w:t>
      </w:r>
    </w:p>
    <w:p w14:paraId="0135501D" w14:textId="77777777" w:rsidR="007F6DF7" w:rsidRDefault="002C4268">
      <w:pPr>
        <w:pStyle w:val="ListParagraph"/>
        <w:numPr>
          <w:ilvl w:val="0"/>
          <w:numId w:val="17"/>
        </w:numPr>
        <w:tabs>
          <w:tab w:val="left" w:pos="1300"/>
        </w:tabs>
        <w:spacing w:before="41" w:line="273" w:lineRule="auto"/>
        <w:ind w:right="1315" w:hanging="283"/>
      </w:pPr>
      <w:r>
        <w:t>Inform the specialist or GP of any other medication being taken, including over-the-counter products.</w:t>
      </w:r>
    </w:p>
    <w:p w14:paraId="754F2719" w14:textId="77777777" w:rsidR="007F6DF7" w:rsidRDefault="002C4268">
      <w:pPr>
        <w:pStyle w:val="ListParagraph"/>
        <w:numPr>
          <w:ilvl w:val="0"/>
          <w:numId w:val="17"/>
        </w:numPr>
        <w:tabs>
          <w:tab w:val="left" w:pos="1300"/>
        </w:tabs>
        <w:spacing w:before="4"/>
        <w:ind w:hanging="283"/>
      </w:pPr>
      <w:r>
        <w:t>Report any adverse effects or warning symptoms to the GP or</w:t>
      </w:r>
      <w:r>
        <w:rPr>
          <w:spacing w:val="-15"/>
        </w:rPr>
        <w:t xml:space="preserve"> </w:t>
      </w:r>
      <w:r>
        <w:t>specialist.</w:t>
      </w:r>
    </w:p>
    <w:p w14:paraId="789BDD9F" w14:textId="77777777" w:rsidR="007F6DF7" w:rsidRDefault="002C4268">
      <w:pPr>
        <w:pStyle w:val="ListParagraph"/>
        <w:numPr>
          <w:ilvl w:val="0"/>
          <w:numId w:val="17"/>
        </w:numPr>
        <w:tabs>
          <w:tab w:val="left" w:pos="1300"/>
        </w:tabs>
        <w:spacing w:before="41"/>
        <w:ind w:hanging="283"/>
      </w:pPr>
      <w:r>
        <w:t>Inform Adult ADHD service and GP of any changes in address or telephone</w:t>
      </w:r>
      <w:r>
        <w:rPr>
          <w:spacing w:val="-12"/>
        </w:rPr>
        <w:t xml:space="preserve"> </w:t>
      </w:r>
      <w:r>
        <w:t>numbers.</w:t>
      </w:r>
    </w:p>
    <w:p w14:paraId="0E920597" w14:textId="77777777" w:rsidR="007F6DF7" w:rsidRDefault="002C4268">
      <w:pPr>
        <w:pStyle w:val="ListParagraph"/>
        <w:numPr>
          <w:ilvl w:val="0"/>
          <w:numId w:val="17"/>
        </w:numPr>
        <w:tabs>
          <w:tab w:val="left" w:pos="1300"/>
        </w:tabs>
        <w:spacing w:before="39" w:line="276" w:lineRule="auto"/>
        <w:ind w:right="798" w:hanging="283"/>
      </w:pPr>
      <w:r>
        <w:t xml:space="preserve">Not to drive or operate heavy machinery if methylphenidate affects their ability to do so </w:t>
      </w:r>
      <w:proofErr w:type="gramStart"/>
      <w:r>
        <w:t>safely, and</w:t>
      </w:r>
      <w:proofErr w:type="gramEnd"/>
      <w:r>
        <w:t xml:space="preserve"> inform the</w:t>
      </w:r>
      <w:r>
        <w:rPr>
          <w:color w:val="0000FF"/>
        </w:rPr>
        <w:t xml:space="preserve"> </w:t>
      </w:r>
      <w:hyperlink r:id="rId16">
        <w:r>
          <w:rPr>
            <w:color w:val="0000FF"/>
            <w:u w:val="single" w:color="0000FF"/>
          </w:rPr>
          <w:t>DVLA</w:t>
        </w:r>
        <w:r>
          <w:rPr>
            <w:color w:val="0000FF"/>
          </w:rPr>
          <w:t xml:space="preserve"> </w:t>
        </w:r>
      </w:hyperlink>
      <w:r>
        <w:t>if their ability to drive safely is affected. To discuss with the specialist if they are not sure if their condition will affect their</w:t>
      </w:r>
      <w:r>
        <w:rPr>
          <w:spacing w:val="-12"/>
        </w:rPr>
        <w:t xml:space="preserve"> </w:t>
      </w:r>
      <w:r>
        <w:t>driving.</w:t>
      </w:r>
    </w:p>
    <w:p w14:paraId="12ED29D4" w14:textId="77777777" w:rsidR="007F6DF7" w:rsidRDefault="007F6DF7">
      <w:pPr>
        <w:spacing w:line="276" w:lineRule="auto"/>
        <w:sectPr w:rsidR="007F6DF7">
          <w:headerReference w:type="default" r:id="rId17"/>
          <w:pgSz w:w="11910" w:h="16840"/>
          <w:pgMar w:top="1480" w:right="720" w:bottom="1880" w:left="400" w:header="0" w:footer="1595" w:gutter="0"/>
          <w:cols w:space="720"/>
        </w:sectPr>
      </w:pPr>
    </w:p>
    <w:p w14:paraId="2F6A77CB" w14:textId="77777777" w:rsidR="007F6DF7" w:rsidRDefault="002C4268">
      <w:pPr>
        <w:pStyle w:val="ListParagraph"/>
        <w:numPr>
          <w:ilvl w:val="0"/>
          <w:numId w:val="17"/>
        </w:numPr>
        <w:tabs>
          <w:tab w:val="left" w:pos="1300"/>
        </w:tabs>
        <w:spacing w:before="33" w:line="276" w:lineRule="auto"/>
        <w:ind w:right="1301" w:hanging="283"/>
      </w:pPr>
      <w:r>
        <w:lastRenderedPageBreak/>
        <w:t>Avoid alcohol during treatment, as it may make some side effects worse. Avoid recreational drugs.</w:t>
      </w:r>
    </w:p>
    <w:p w14:paraId="22826F0E" w14:textId="77777777" w:rsidR="007F6DF7" w:rsidRDefault="002C4268">
      <w:pPr>
        <w:pStyle w:val="ListParagraph"/>
        <w:numPr>
          <w:ilvl w:val="0"/>
          <w:numId w:val="17"/>
        </w:numPr>
        <w:tabs>
          <w:tab w:val="left" w:pos="1300"/>
        </w:tabs>
        <w:spacing w:before="2" w:line="276" w:lineRule="auto"/>
        <w:ind w:right="900" w:hanging="283"/>
        <w:jc w:val="both"/>
      </w:pPr>
      <w:r>
        <w:t xml:space="preserve">Stimulants (methylphenidate, </w:t>
      </w:r>
      <w:proofErr w:type="spellStart"/>
      <w:r>
        <w:t>lisdexamfetamine</w:t>
      </w:r>
      <w:proofErr w:type="spellEnd"/>
      <w:r>
        <w:t xml:space="preserve">, and </w:t>
      </w:r>
      <w:proofErr w:type="spellStart"/>
      <w:r>
        <w:t>dexamfetamine</w:t>
      </w:r>
      <w:proofErr w:type="spellEnd"/>
      <w:r>
        <w:t xml:space="preserve">) are schedule 2 controlled </w:t>
      </w:r>
      <w:proofErr w:type="gramStart"/>
      <w:r>
        <w:t>drug</w:t>
      </w:r>
      <w:proofErr w:type="gramEnd"/>
      <w:r>
        <w:t xml:space="preserve">. Patients may be required to prove their identity when collecting </w:t>
      </w:r>
      <w:proofErr w:type="gramStart"/>
      <w:r>
        <w:t>prescriptions, and</w:t>
      </w:r>
      <w:proofErr w:type="gramEnd"/>
      <w:r>
        <w:t xml:space="preserve"> should store methylphenidate safely and securely. It must not be shared with anyone</w:t>
      </w:r>
      <w:r>
        <w:rPr>
          <w:spacing w:val="-15"/>
        </w:rPr>
        <w:t xml:space="preserve"> </w:t>
      </w:r>
      <w:r>
        <w:t>else.</w:t>
      </w:r>
    </w:p>
    <w:p w14:paraId="00EB2A6E" w14:textId="77777777" w:rsidR="007F6DF7" w:rsidRDefault="002C4268">
      <w:pPr>
        <w:pStyle w:val="ListParagraph"/>
        <w:numPr>
          <w:ilvl w:val="0"/>
          <w:numId w:val="17"/>
        </w:numPr>
        <w:tabs>
          <w:tab w:val="left" w:pos="1454"/>
        </w:tabs>
        <w:spacing w:before="0" w:line="276" w:lineRule="auto"/>
        <w:ind w:right="1352" w:hanging="283"/>
      </w:pPr>
      <w:r>
        <w:t xml:space="preserve">Patients of childbearing potential should take a pregnancy test if they think they could be </w:t>
      </w:r>
      <w:proofErr w:type="gramStart"/>
      <w:r>
        <w:t>pregnant, and</w:t>
      </w:r>
      <w:proofErr w:type="gramEnd"/>
      <w:r>
        <w:t xml:space="preserve"> inform the specialist or GP immediately if they become pregnant or wish to become</w:t>
      </w:r>
      <w:r>
        <w:rPr>
          <w:spacing w:val="-2"/>
        </w:rPr>
        <w:t xml:space="preserve"> </w:t>
      </w:r>
      <w:r>
        <w:t>pregnant.</w:t>
      </w:r>
    </w:p>
    <w:p w14:paraId="58C7763B" w14:textId="77777777" w:rsidR="007F6DF7" w:rsidRDefault="002C4268">
      <w:pPr>
        <w:pStyle w:val="Heading2"/>
        <w:numPr>
          <w:ilvl w:val="1"/>
          <w:numId w:val="18"/>
        </w:numPr>
        <w:tabs>
          <w:tab w:val="left" w:pos="1453"/>
          <w:tab w:val="left" w:pos="1454"/>
        </w:tabs>
        <w:spacing w:before="120"/>
      </w:pPr>
      <w:bookmarkStart w:id="6" w:name="_bookmark6"/>
      <w:bookmarkEnd w:id="6"/>
      <w:r>
        <w:t>Integrated Care</w:t>
      </w:r>
      <w:r>
        <w:rPr>
          <w:spacing w:val="-1"/>
        </w:rPr>
        <w:t xml:space="preserve"> </w:t>
      </w:r>
      <w:r>
        <w:t>Board</w:t>
      </w:r>
    </w:p>
    <w:p w14:paraId="770F9F15" w14:textId="77777777" w:rsidR="007F6DF7" w:rsidRDefault="002C4268">
      <w:pPr>
        <w:pStyle w:val="ListParagraph"/>
        <w:numPr>
          <w:ilvl w:val="0"/>
          <w:numId w:val="16"/>
        </w:numPr>
        <w:tabs>
          <w:tab w:val="left" w:pos="1300"/>
        </w:tabs>
        <w:spacing w:before="103"/>
        <w:ind w:hanging="283"/>
      </w:pPr>
      <w:r>
        <w:t>To provide feedback to Trusts from the standard letter, via the shared care</w:t>
      </w:r>
      <w:r>
        <w:rPr>
          <w:spacing w:val="-12"/>
        </w:rPr>
        <w:t xml:space="preserve"> </w:t>
      </w:r>
      <w:r>
        <w:t>forum.</w:t>
      </w:r>
    </w:p>
    <w:p w14:paraId="2D56D247" w14:textId="77777777" w:rsidR="007F6DF7" w:rsidRDefault="002C4268">
      <w:pPr>
        <w:pStyle w:val="BodyText"/>
        <w:spacing w:before="41" w:line="276" w:lineRule="auto"/>
        <w:ind w:left="733" w:right="709"/>
      </w:pPr>
      <w:r>
        <w:t xml:space="preserve">To support GPs to make the decision </w:t>
      </w:r>
      <w:proofErr w:type="gramStart"/>
      <w:r>
        <w:t>whether or not</w:t>
      </w:r>
      <w:proofErr w:type="gramEnd"/>
      <w:r>
        <w:t xml:space="preserve"> to accept clinical responsibility for prescribing. Shared care can be declined if not appropriate with reasons provided in response to shared care request (Appendix 1</w:t>
      </w:r>
      <w:proofErr w:type="gramStart"/>
      <w:r>
        <w:t>) .</w:t>
      </w:r>
      <w:proofErr w:type="gramEnd"/>
    </w:p>
    <w:p w14:paraId="76CDCC20" w14:textId="77777777" w:rsidR="007F6DF7" w:rsidRDefault="002C4268">
      <w:pPr>
        <w:pStyle w:val="ListParagraph"/>
        <w:numPr>
          <w:ilvl w:val="0"/>
          <w:numId w:val="16"/>
        </w:numPr>
        <w:tabs>
          <w:tab w:val="left" w:pos="1300"/>
        </w:tabs>
        <w:spacing w:before="1"/>
        <w:ind w:hanging="283"/>
      </w:pPr>
      <w:r>
        <w:t xml:space="preserve">To support Trusts and GPs in resolving issues that may arise </w:t>
      </w:r>
      <w:proofErr w:type="gramStart"/>
      <w:r>
        <w:t>as a result of</w:t>
      </w:r>
      <w:proofErr w:type="gramEnd"/>
      <w:r>
        <w:t xml:space="preserve"> shared</w:t>
      </w:r>
      <w:r>
        <w:rPr>
          <w:spacing w:val="-22"/>
        </w:rPr>
        <w:t xml:space="preserve"> </w:t>
      </w:r>
      <w:r>
        <w:t>care.</w:t>
      </w:r>
    </w:p>
    <w:p w14:paraId="501CDBC3" w14:textId="77777777" w:rsidR="007F6DF7" w:rsidRDefault="007F6DF7">
      <w:pPr>
        <w:pStyle w:val="BodyText"/>
        <w:spacing w:before="6"/>
        <w:rPr>
          <w:sz w:val="28"/>
        </w:rPr>
      </w:pPr>
    </w:p>
    <w:p w14:paraId="7E27B6A8" w14:textId="77777777" w:rsidR="007F6DF7" w:rsidRDefault="002C4268">
      <w:pPr>
        <w:pStyle w:val="Heading3"/>
        <w:ind w:left="1016"/>
      </w:pPr>
      <w:r>
        <w:t>SUPPORTING INFORMATION</w:t>
      </w:r>
    </w:p>
    <w:p w14:paraId="492ACC84" w14:textId="1014759A" w:rsidR="007F6DF7" w:rsidRDefault="002C4268" w:rsidP="004E71E8">
      <w:pPr>
        <w:pStyle w:val="BodyText"/>
        <w:spacing w:before="41" w:line="276" w:lineRule="auto"/>
        <w:ind w:left="1016" w:right="962"/>
      </w:pPr>
      <w:r>
        <w:t xml:space="preserve">For further details refer to the manufacturer’s </w:t>
      </w:r>
      <w:hyperlink r:id="rId18">
        <w:r>
          <w:rPr>
            <w:color w:val="0000FF"/>
            <w:u w:val="single" w:color="0000FF"/>
          </w:rPr>
          <w:t xml:space="preserve">Summary of Product Characteristics (SmPC) </w:t>
        </w:r>
      </w:hyperlink>
      <w:r>
        <w:t xml:space="preserve">and the current </w:t>
      </w:r>
      <w:hyperlink r:id="rId19">
        <w:r>
          <w:rPr>
            <w:color w:val="0000FF"/>
            <w:u w:val="single" w:color="0000FF"/>
          </w:rPr>
          <w:t>BNF</w:t>
        </w:r>
        <w:r>
          <w:t>.</w:t>
        </w:r>
      </w:hyperlink>
    </w:p>
    <w:p w14:paraId="4A457DDB" w14:textId="77777777" w:rsidR="004E71E8" w:rsidRDefault="004E71E8" w:rsidP="004E71E8">
      <w:pPr>
        <w:pStyle w:val="BodyText"/>
        <w:spacing w:before="41" w:line="276" w:lineRule="auto"/>
        <w:ind w:left="1016" w:right="962"/>
      </w:pPr>
    </w:p>
    <w:p w14:paraId="09F4B2DB" w14:textId="77777777" w:rsidR="007F6DF7" w:rsidRDefault="002C4268">
      <w:pPr>
        <w:pStyle w:val="ListParagraph"/>
        <w:numPr>
          <w:ilvl w:val="0"/>
          <w:numId w:val="19"/>
        </w:numPr>
        <w:tabs>
          <w:tab w:val="left" w:pos="1299"/>
          <w:tab w:val="left" w:pos="1300"/>
          <w:tab w:val="left" w:pos="10095"/>
        </w:tabs>
        <w:spacing w:before="44"/>
        <w:ind w:hanging="566"/>
        <w:rPr>
          <w:b/>
          <w:sz w:val="28"/>
        </w:rPr>
      </w:pPr>
      <w:bookmarkStart w:id="7" w:name="_bookmark7"/>
      <w:bookmarkEnd w:id="7"/>
      <w:r>
        <w:rPr>
          <w:b/>
          <w:color w:val="FFFFFF"/>
          <w:sz w:val="28"/>
          <w:shd w:val="clear" w:color="auto" w:fill="538DD3"/>
        </w:rPr>
        <w:t>Indications</w:t>
      </w:r>
      <w:r>
        <w:rPr>
          <w:b/>
          <w:color w:val="FFFFFF"/>
          <w:sz w:val="28"/>
          <w:shd w:val="clear" w:color="auto" w:fill="538DD3"/>
        </w:rPr>
        <w:tab/>
      </w:r>
    </w:p>
    <w:p w14:paraId="0B7E394E" w14:textId="77777777" w:rsidR="007F6DF7" w:rsidRDefault="007F6DF7">
      <w:pPr>
        <w:pStyle w:val="BodyText"/>
        <w:spacing w:before="10"/>
        <w:rPr>
          <w:b/>
          <w:sz w:val="36"/>
        </w:rPr>
      </w:pPr>
    </w:p>
    <w:p w14:paraId="4D06CAF6" w14:textId="494EFFA8" w:rsidR="007F6DF7" w:rsidRPr="004E71E8" w:rsidRDefault="002C4268" w:rsidP="004E71E8">
      <w:pPr>
        <w:pStyle w:val="BodyText"/>
        <w:spacing w:before="1" w:after="240"/>
        <w:ind w:left="733" w:right="715"/>
        <w:jc w:val="both"/>
      </w:pPr>
      <w:r>
        <w:t xml:space="preserve">Currently, most methylphenidate and all </w:t>
      </w:r>
      <w:proofErr w:type="spellStart"/>
      <w:r>
        <w:t>dexamfetamine</w:t>
      </w:r>
      <w:proofErr w:type="spellEnd"/>
      <w:r>
        <w:t xml:space="preserve"> preparations do not have UK marketing </w:t>
      </w:r>
      <w:proofErr w:type="spellStart"/>
      <w:r>
        <w:t>authorisation</w:t>
      </w:r>
      <w:proofErr w:type="spellEnd"/>
      <w:r>
        <w:t xml:space="preserve"> for use in adults with ADHD. Hence, the prescription of methylphenidate and </w:t>
      </w:r>
      <w:proofErr w:type="spellStart"/>
      <w:r>
        <w:t>dexamfetamine</w:t>
      </w:r>
      <w:proofErr w:type="spellEnd"/>
      <w:r>
        <w:t xml:space="preserve"> after the age of 18 years is considered ‘off-label’. However, its use for the indications below are established and supported by various sources and bodies including the BNF and NICE. Adults with ADHD who have shown clear benefit from methylphenidate in childhood or adolescence may continue treatment into adulthood at the same daily dose. Informed consent should be obtained and documented.</w:t>
      </w:r>
    </w:p>
    <w:p w14:paraId="10F8959A" w14:textId="7FCE8B6D" w:rsidR="007F6DF7" w:rsidRPr="004E71E8" w:rsidRDefault="002C4268" w:rsidP="004E71E8">
      <w:pPr>
        <w:pStyle w:val="BodyText"/>
        <w:spacing w:after="240"/>
        <w:ind w:left="733" w:right="717"/>
        <w:jc w:val="both"/>
      </w:pPr>
      <w:r>
        <w:t xml:space="preserve">Atomoxetine and </w:t>
      </w:r>
      <w:proofErr w:type="spellStart"/>
      <w:r>
        <w:t>lisdexamfetamine</w:t>
      </w:r>
      <w:proofErr w:type="spellEnd"/>
      <w:r>
        <w:t xml:space="preserve"> are licensed for the treatment of ADHD in adult patients when the presence of the condition in childhood can be confirmed.</w:t>
      </w:r>
    </w:p>
    <w:p w14:paraId="2B8FEA85" w14:textId="77777777" w:rsidR="007F6DF7" w:rsidRDefault="002C4268">
      <w:pPr>
        <w:pStyle w:val="BodyText"/>
        <w:ind w:left="733" w:right="716"/>
        <w:jc w:val="both"/>
      </w:pPr>
      <w:r>
        <w:t xml:space="preserve">NICE guidance recommends medication as the first choice in the treatment of adults with moderate/severe ADHD. Consult the </w:t>
      </w:r>
      <w:hyperlink r:id="rId20">
        <w:r>
          <w:rPr>
            <w:color w:val="0000FF"/>
            <w:u w:val="single" w:color="0000FF"/>
          </w:rPr>
          <w:t>SmPC</w:t>
        </w:r>
        <w:r>
          <w:rPr>
            <w:color w:val="0000FF"/>
          </w:rPr>
          <w:t xml:space="preserve"> </w:t>
        </w:r>
      </w:hyperlink>
      <w:r>
        <w:t>for the prescribed brand for more information.</w:t>
      </w:r>
    </w:p>
    <w:p w14:paraId="4B24C549" w14:textId="77777777" w:rsidR="007F6DF7" w:rsidRDefault="007F6DF7">
      <w:pPr>
        <w:pStyle w:val="BodyText"/>
        <w:spacing w:before="2"/>
        <w:rPr>
          <w:sz w:val="16"/>
        </w:rPr>
      </w:pPr>
    </w:p>
    <w:p w14:paraId="5CB15A9C" w14:textId="77777777" w:rsidR="007F6DF7" w:rsidRDefault="002C4268">
      <w:pPr>
        <w:pStyle w:val="Heading1"/>
        <w:numPr>
          <w:ilvl w:val="0"/>
          <w:numId w:val="19"/>
        </w:numPr>
        <w:tabs>
          <w:tab w:val="left" w:pos="1299"/>
          <w:tab w:val="left" w:pos="1300"/>
          <w:tab w:val="left" w:pos="10095"/>
        </w:tabs>
        <w:ind w:hanging="566"/>
      </w:pPr>
      <w:bookmarkStart w:id="8" w:name="_bookmark8"/>
      <w:bookmarkEnd w:id="8"/>
      <w:r>
        <w:rPr>
          <w:color w:val="FFFFFF"/>
          <w:shd w:val="clear" w:color="auto" w:fill="538DD3"/>
        </w:rPr>
        <w:t>Dose and</w:t>
      </w:r>
      <w:r>
        <w:rPr>
          <w:color w:val="FFFFFF"/>
          <w:spacing w:val="-11"/>
          <w:shd w:val="clear" w:color="auto" w:fill="538DD3"/>
        </w:rPr>
        <w:t xml:space="preserve"> </w:t>
      </w:r>
      <w:r>
        <w:rPr>
          <w:color w:val="FFFFFF"/>
          <w:shd w:val="clear" w:color="auto" w:fill="538DD3"/>
        </w:rPr>
        <w:t>Administration</w:t>
      </w:r>
      <w:r>
        <w:rPr>
          <w:color w:val="FFFFFF"/>
          <w:shd w:val="clear" w:color="auto" w:fill="538DD3"/>
        </w:rPr>
        <w:tab/>
      </w:r>
    </w:p>
    <w:p w14:paraId="12E1BA7C" w14:textId="68DE1DDE" w:rsidR="004E71E8" w:rsidRPr="004E71E8" w:rsidRDefault="002C4268" w:rsidP="00A25F02">
      <w:pPr>
        <w:pStyle w:val="BodyText"/>
        <w:spacing w:before="121"/>
        <w:ind w:left="733" w:right="725"/>
      </w:pPr>
      <w:r>
        <w:t xml:space="preserve">Refer to the current </w:t>
      </w:r>
      <w:hyperlink r:id="rId21">
        <w:r>
          <w:rPr>
            <w:color w:val="0000FF"/>
            <w:u w:val="single" w:color="0000FF"/>
          </w:rPr>
          <w:t>SmPC</w:t>
        </w:r>
      </w:hyperlink>
      <w:r>
        <w:rPr>
          <w:color w:val="0000FF"/>
        </w:rPr>
        <w:t xml:space="preserve"> </w:t>
      </w:r>
      <w:r>
        <w:t>for the most recent information.</w:t>
      </w:r>
      <w:r w:rsidR="00F362D3">
        <w:t xml:space="preserve"> </w:t>
      </w:r>
      <w:r w:rsidR="00F362D3" w:rsidRPr="00F362D3">
        <w:t xml:space="preserve">ADHD medication has faced significant supply chain problems recently. Further information on supply chain can be found </w:t>
      </w:r>
      <w:r w:rsidR="00F362D3">
        <w:t>on the</w:t>
      </w:r>
      <w:hyperlink r:id="rId22" w:history="1">
        <w:r w:rsidR="00F362D3" w:rsidRPr="003A2310">
          <w:rPr>
            <w:rStyle w:val="Hyperlink"/>
          </w:rPr>
          <w:t xml:space="preserve"> SPS website</w:t>
        </w:r>
      </w:hyperlink>
      <w:r w:rsidR="00F362D3">
        <w:t xml:space="preserve">. Information on switching between products is available on the </w:t>
      </w:r>
      <w:hyperlink r:id="rId23" w:history="1">
        <w:r w:rsidR="00F362D3" w:rsidRPr="00F362D3">
          <w:rPr>
            <w:rStyle w:val="Hyperlink"/>
          </w:rPr>
          <w:t>NCL GP website</w:t>
        </w:r>
      </w:hyperlink>
      <w:r w:rsidR="00F362D3">
        <w:t>.</w:t>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3455"/>
        <w:gridCol w:w="1479"/>
        <w:gridCol w:w="2381"/>
      </w:tblGrid>
      <w:tr w:rsidR="007F6DF7" w14:paraId="5205DF4E" w14:textId="77777777">
        <w:trPr>
          <w:trHeight w:val="863"/>
        </w:trPr>
        <w:tc>
          <w:tcPr>
            <w:tcW w:w="2072" w:type="dxa"/>
          </w:tcPr>
          <w:p w14:paraId="30DCC25F" w14:textId="77777777" w:rsidR="007F6DF7" w:rsidRDefault="002C4268">
            <w:pPr>
              <w:pStyle w:val="TableParagraph"/>
              <w:spacing w:before="59"/>
              <w:ind w:left="108" w:right="353"/>
              <w:rPr>
                <w:b/>
              </w:rPr>
            </w:pPr>
            <w:r>
              <w:rPr>
                <w:b/>
              </w:rPr>
              <w:t>Drugs covered by this SCG</w:t>
            </w:r>
          </w:p>
        </w:tc>
        <w:tc>
          <w:tcPr>
            <w:tcW w:w="3455" w:type="dxa"/>
          </w:tcPr>
          <w:p w14:paraId="20197F1F" w14:textId="77777777" w:rsidR="007F6DF7" w:rsidRDefault="002C4268">
            <w:pPr>
              <w:pStyle w:val="TableParagraph"/>
              <w:spacing w:before="59"/>
              <w:ind w:left="109" w:right="511"/>
              <w:rPr>
                <w:b/>
              </w:rPr>
            </w:pPr>
            <w:r>
              <w:rPr>
                <w:b/>
              </w:rPr>
              <w:t>Brand, formulation, administration, and conditions</w:t>
            </w:r>
          </w:p>
          <w:p w14:paraId="0D2E7C1E" w14:textId="77777777" w:rsidR="007F6DF7" w:rsidRDefault="002C4268">
            <w:pPr>
              <w:pStyle w:val="TableParagraph"/>
              <w:spacing w:line="247" w:lineRule="exact"/>
              <w:ind w:left="109"/>
              <w:rPr>
                <w:b/>
              </w:rPr>
            </w:pPr>
            <w:r>
              <w:rPr>
                <w:b/>
              </w:rPr>
              <w:t>requiring dose adjustment</w:t>
            </w:r>
          </w:p>
        </w:tc>
        <w:tc>
          <w:tcPr>
            <w:tcW w:w="1479" w:type="dxa"/>
          </w:tcPr>
          <w:p w14:paraId="4B5C32AF" w14:textId="77777777" w:rsidR="007F6DF7" w:rsidRDefault="002C4268">
            <w:pPr>
              <w:pStyle w:val="TableParagraph"/>
              <w:spacing w:before="59"/>
              <w:ind w:left="106"/>
              <w:rPr>
                <w:b/>
              </w:rPr>
            </w:pPr>
            <w:r>
              <w:rPr>
                <w:b/>
              </w:rPr>
              <w:t>Action</w:t>
            </w:r>
          </w:p>
        </w:tc>
        <w:tc>
          <w:tcPr>
            <w:tcW w:w="2381" w:type="dxa"/>
          </w:tcPr>
          <w:p w14:paraId="2B114EB9" w14:textId="77777777" w:rsidR="007F6DF7" w:rsidRDefault="002C4268">
            <w:pPr>
              <w:pStyle w:val="TableParagraph"/>
              <w:spacing w:before="59"/>
              <w:ind w:left="106"/>
              <w:rPr>
                <w:b/>
              </w:rPr>
            </w:pPr>
            <w:r>
              <w:rPr>
                <w:b/>
              </w:rPr>
              <w:t>Dosage</w:t>
            </w:r>
          </w:p>
        </w:tc>
      </w:tr>
      <w:tr w:rsidR="007F6DF7" w14:paraId="1E72F657" w14:textId="77777777">
        <w:trPr>
          <w:trHeight w:val="660"/>
        </w:trPr>
        <w:tc>
          <w:tcPr>
            <w:tcW w:w="2072" w:type="dxa"/>
          </w:tcPr>
          <w:p w14:paraId="465493D8" w14:textId="77777777" w:rsidR="007F6DF7" w:rsidRDefault="002C4268">
            <w:pPr>
              <w:pStyle w:val="TableParagraph"/>
              <w:spacing w:before="59"/>
              <w:ind w:left="108" w:right="223"/>
            </w:pPr>
            <w:r>
              <w:t>Methylphenidate Immediate Release</w:t>
            </w:r>
          </w:p>
        </w:tc>
        <w:tc>
          <w:tcPr>
            <w:tcW w:w="3455" w:type="dxa"/>
          </w:tcPr>
          <w:p w14:paraId="35B89D83" w14:textId="77777777" w:rsidR="007F6DF7" w:rsidRDefault="002C4268">
            <w:pPr>
              <w:pStyle w:val="TableParagraph"/>
              <w:spacing w:before="6" w:line="328" w:lineRule="exact"/>
              <w:ind w:left="109" w:right="467"/>
            </w:pPr>
            <w:proofErr w:type="spellStart"/>
            <w:r>
              <w:t>Medikinet</w:t>
            </w:r>
            <w:proofErr w:type="spellEnd"/>
            <w:r>
              <w:t>®: 5mg, 10mg, 20mg Methylphenidate hydrochloride</w:t>
            </w:r>
          </w:p>
        </w:tc>
        <w:tc>
          <w:tcPr>
            <w:tcW w:w="1479" w:type="dxa"/>
          </w:tcPr>
          <w:p w14:paraId="067F6E7B" w14:textId="77777777" w:rsidR="007F6DF7" w:rsidRDefault="002C4268">
            <w:pPr>
              <w:pStyle w:val="TableParagraph"/>
              <w:spacing w:before="59"/>
              <w:ind w:left="106"/>
            </w:pPr>
            <w:r>
              <w:t>CNS stimulant</w:t>
            </w:r>
          </w:p>
          <w:p w14:paraId="61BE0786" w14:textId="77777777" w:rsidR="007F6DF7" w:rsidRDefault="002C4268">
            <w:pPr>
              <w:pStyle w:val="TableParagraph"/>
              <w:spacing w:before="60" w:line="252" w:lineRule="exact"/>
              <w:ind w:left="106"/>
              <w:rPr>
                <w:b/>
                <w:i/>
              </w:rPr>
            </w:pPr>
            <w:r>
              <w:rPr>
                <w:b/>
                <w:i/>
              </w:rPr>
              <w:t>Schedule 2</w:t>
            </w:r>
          </w:p>
        </w:tc>
        <w:tc>
          <w:tcPr>
            <w:tcW w:w="2381" w:type="dxa"/>
          </w:tcPr>
          <w:p w14:paraId="52338B47" w14:textId="77777777" w:rsidR="007F6DF7" w:rsidRDefault="002C4268">
            <w:pPr>
              <w:pStyle w:val="TableParagraph"/>
              <w:spacing w:before="59"/>
              <w:ind w:left="106" w:right="155"/>
            </w:pPr>
            <w:r>
              <w:t>Recommended starting dose: 5 mg, given 2-3</w:t>
            </w:r>
          </w:p>
        </w:tc>
      </w:tr>
    </w:tbl>
    <w:p w14:paraId="3B612F63" w14:textId="77777777" w:rsidR="007F6DF7" w:rsidRDefault="007F6DF7">
      <w:pPr>
        <w:sectPr w:rsidR="007F6DF7">
          <w:headerReference w:type="default" r:id="rId24"/>
          <w:pgSz w:w="11910" w:h="16840"/>
          <w:pgMar w:top="1080" w:right="720" w:bottom="1880" w:left="400" w:header="0" w:footer="1595"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3455"/>
        <w:gridCol w:w="1479"/>
        <w:gridCol w:w="2381"/>
      </w:tblGrid>
      <w:tr w:rsidR="007F6DF7" w14:paraId="6DD6EED9" w14:textId="77777777">
        <w:trPr>
          <w:trHeight w:val="2599"/>
        </w:trPr>
        <w:tc>
          <w:tcPr>
            <w:tcW w:w="2072" w:type="dxa"/>
          </w:tcPr>
          <w:p w14:paraId="1A63C342" w14:textId="77777777" w:rsidR="007F6DF7" w:rsidRDefault="002C4268">
            <w:pPr>
              <w:pStyle w:val="TableParagraph"/>
              <w:spacing w:before="56"/>
              <w:ind w:left="108"/>
            </w:pPr>
            <w:r>
              <w:lastRenderedPageBreak/>
              <w:t>(1</w:t>
            </w:r>
            <w:r>
              <w:rPr>
                <w:vertAlign w:val="superscript"/>
              </w:rPr>
              <w:t>st</w:t>
            </w:r>
            <w:r>
              <w:t xml:space="preserve"> line treatment)</w:t>
            </w:r>
          </w:p>
        </w:tc>
        <w:tc>
          <w:tcPr>
            <w:tcW w:w="3455" w:type="dxa"/>
          </w:tcPr>
          <w:p w14:paraId="004669BC" w14:textId="77777777" w:rsidR="007F6DF7" w:rsidRDefault="002C4268">
            <w:pPr>
              <w:pStyle w:val="TableParagraph"/>
              <w:spacing w:line="292" w:lineRule="auto"/>
              <w:ind w:left="109" w:right="811"/>
            </w:pPr>
            <w:r>
              <w:t>(generic): 5mg, 10mg, 20mg Ritalin®: 10mg</w:t>
            </w:r>
          </w:p>
          <w:p w14:paraId="285311F6" w14:textId="77777777" w:rsidR="007F6DF7" w:rsidRDefault="002C4268">
            <w:pPr>
              <w:pStyle w:val="TableParagraph"/>
              <w:ind w:left="109"/>
            </w:pPr>
            <w:proofErr w:type="spellStart"/>
            <w:r>
              <w:t>Tranquilyn</w:t>
            </w:r>
            <w:proofErr w:type="spellEnd"/>
            <w:r>
              <w:t>®: 5mg, 10mg, 20mg</w:t>
            </w:r>
          </w:p>
          <w:p w14:paraId="15E4DAD8" w14:textId="77777777" w:rsidR="007F6DF7" w:rsidRDefault="002C4268">
            <w:pPr>
              <w:pStyle w:val="TableParagraph"/>
              <w:spacing w:before="55" w:line="270" w:lineRule="atLeast"/>
              <w:ind w:left="109" w:right="142"/>
              <w:rPr>
                <w:i/>
              </w:rPr>
            </w:pPr>
            <w:r>
              <w:rPr>
                <w:i/>
              </w:rPr>
              <w:t>NB: Methylphenidate standard release tablets are not licensed for use in adults. Use is considered ‘off- label’. Brand name prescribing is not necessary for standard release tablets.</w:t>
            </w:r>
          </w:p>
        </w:tc>
        <w:tc>
          <w:tcPr>
            <w:tcW w:w="1479" w:type="dxa"/>
          </w:tcPr>
          <w:p w14:paraId="07AC557B" w14:textId="77777777" w:rsidR="007F6DF7" w:rsidRDefault="002C4268">
            <w:pPr>
              <w:pStyle w:val="TableParagraph"/>
              <w:spacing w:line="237" w:lineRule="auto"/>
              <w:ind w:left="106" w:right="418"/>
              <w:rPr>
                <w:b/>
                <w:i/>
              </w:rPr>
            </w:pPr>
            <w:r>
              <w:rPr>
                <w:b/>
                <w:i/>
              </w:rPr>
              <w:t>controlled drug</w:t>
            </w:r>
          </w:p>
        </w:tc>
        <w:tc>
          <w:tcPr>
            <w:tcW w:w="2381" w:type="dxa"/>
          </w:tcPr>
          <w:p w14:paraId="79580E52" w14:textId="77777777" w:rsidR="007F6DF7" w:rsidRDefault="002C4268">
            <w:pPr>
              <w:pStyle w:val="TableParagraph"/>
              <w:ind w:left="106" w:right="363"/>
            </w:pPr>
            <w:r>
              <w:t>times daily. The dose should be titrated to response, usually at weekly intervals.</w:t>
            </w:r>
          </w:p>
          <w:p w14:paraId="422A5A4C" w14:textId="77777777" w:rsidR="007F6DF7" w:rsidRDefault="002C4268">
            <w:pPr>
              <w:pStyle w:val="TableParagraph"/>
              <w:spacing w:before="55"/>
              <w:ind w:left="106" w:right="282"/>
            </w:pPr>
            <w:r>
              <w:t>Maximum dose: up to 100 mg daily in 2-3 divided doses</w:t>
            </w:r>
          </w:p>
        </w:tc>
      </w:tr>
      <w:tr w:rsidR="007F6DF7" w14:paraId="4D034202" w14:textId="77777777">
        <w:trPr>
          <w:trHeight w:val="10957"/>
        </w:trPr>
        <w:tc>
          <w:tcPr>
            <w:tcW w:w="2072" w:type="dxa"/>
          </w:tcPr>
          <w:p w14:paraId="6995E17B" w14:textId="77777777" w:rsidR="007F6DF7" w:rsidRDefault="002C4268">
            <w:pPr>
              <w:pStyle w:val="TableParagraph"/>
              <w:spacing w:before="53"/>
              <w:ind w:left="108" w:right="381"/>
            </w:pPr>
            <w:r>
              <w:t>Methylphenidate Modified Release</w:t>
            </w:r>
          </w:p>
          <w:p w14:paraId="35F82631" w14:textId="77777777" w:rsidR="007F6DF7" w:rsidRDefault="002C4268">
            <w:pPr>
              <w:pStyle w:val="TableParagraph"/>
              <w:spacing w:before="61"/>
              <w:ind w:left="108"/>
            </w:pPr>
            <w:r>
              <w:t>(1</w:t>
            </w:r>
            <w:r>
              <w:rPr>
                <w:vertAlign w:val="superscript"/>
              </w:rPr>
              <w:t>st</w:t>
            </w:r>
            <w:r>
              <w:t xml:space="preserve"> line treatment)</w:t>
            </w:r>
          </w:p>
        </w:tc>
        <w:tc>
          <w:tcPr>
            <w:tcW w:w="3455" w:type="dxa"/>
          </w:tcPr>
          <w:p w14:paraId="0BDDFEF8" w14:textId="77777777" w:rsidR="007F6DF7" w:rsidRDefault="002C4268">
            <w:pPr>
              <w:pStyle w:val="TableParagraph"/>
              <w:spacing w:before="53"/>
              <w:ind w:left="109" w:right="104"/>
              <w:rPr>
                <w:b/>
              </w:rPr>
            </w:pPr>
            <w:r>
              <w:t>Modified released preparations vary in their release characteristics and must be prescribed by brand name (</w:t>
            </w:r>
            <w:hyperlink r:id="rId25">
              <w:r>
                <w:rPr>
                  <w:color w:val="0000FF"/>
                  <w:u w:val="single" w:color="0000FF"/>
                </w:rPr>
                <w:t>MHRA Alert 2022</w:t>
              </w:r>
            </w:hyperlink>
            <w:r>
              <w:t xml:space="preserve">). </w:t>
            </w:r>
            <w:r>
              <w:rPr>
                <w:b/>
              </w:rPr>
              <w:t>The specialist must specify the brand</w:t>
            </w:r>
            <w:r>
              <w:rPr>
                <w:b/>
                <w:spacing w:val="-16"/>
              </w:rPr>
              <w:t xml:space="preserve"> </w:t>
            </w:r>
            <w:r>
              <w:rPr>
                <w:b/>
              </w:rPr>
              <w:t>to be</w:t>
            </w:r>
            <w:r>
              <w:rPr>
                <w:b/>
                <w:spacing w:val="-2"/>
              </w:rPr>
              <w:t xml:space="preserve"> </w:t>
            </w:r>
            <w:r>
              <w:rPr>
                <w:b/>
              </w:rPr>
              <w:t>prescribed.</w:t>
            </w:r>
          </w:p>
          <w:p w14:paraId="5E8B296A" w14:textId="77777777" w:rsidR="007F6DF7" w:rsidRDefault="007F6DF7">
            <w:pPr>
              <w:pStyle w:val="TableParagraph"/>
              <w:spacing w:before="10"/>
              <w:rPr>
                <w:sz w:val="31"/>
              </w:rPr>
            </w:pPr>
          </w:p>
          <w:p w14:paraId="1BC09FA0" w14:textId="77777777" w:rsidR="007F6DF7" w:rsidRDefault="002C4268">
            <w:pPr>
              <w:pStyle w:val="TableParagraph"/>
              <w:ind w:left="109"/>
              <w:rPr>
                <w:b/>
              </w:rPr>
            </w:pPr>
            <w:r>
              <w:rPr>
                <w:b/>
              </w:rPr>
              <w:t>Prolonged-release TABLETS:</w:t>
            </w:r>
          </w:p>
          <w:p w14:paraId="47B887FA" w14:textId="77777777" w:rsidR="007F6DF7" w:rsidRDefault="002C4268">
            <w:pPr>
              <w:pStyle w:val="TableParagraph"/>
              <w:spacing w:before="61"/>
              <w:ind w:left="109" w:right="415"/>
            </w:pPr>
            <w:proofErr w:type="spellStart"/>
            <w:r>
              <w:t>Affenid</w:t>
            </w:r>
            <w:proofErr w:type="spellEnd"/>
            <w:r>
              <w:t xml:space="preserve"> XL®: 18mg, 27mg, 36mg, 54mg</w:t>
            </w:r>
          </w:p>
          <w:p w14:paraId="0D456D45" w14:textId="77777777" w:rsidR="007F6DF7" w:rsidRDefault="002C4268">
            <w:pPr>
              <w:pStyle w:val="TableParagraph"/>
              <w:spacing w:before="60"/>
              <w:ind w:left="109" w:right="261"/>
            </w:pPr>
            <w:proofErr w:type="spellStart"/>
            <w:r>
              <w:t>Concerta</w:t>
            </w:r>
            <w:proofErr w:type="spellEnd"/>
            <w:r>
              <w:t xml:space="preserve"> XL®: 18mg, 27mg, 36mg, 54mg</w:t>
            </w:r>
          </w:p>
          <w:p w14:paraId="3B7DB5AD" w14:textId="77777777" w:rsidR="007F6DF7" w:rsidRDefault="002C4268">
            <w:pPr>
              <w:pStyle w:val="TableParagraph"/>
              <w:spacing w:before="63" w:line="237" w:lineRule="auto"/>
              <w:ind w:left="109" w:right="395"/>
            </w:pPr>
            <w:proofErr w:type="spellStart"/>
            <w:r>
              <w:t>Delmosart</w:t>
            </w:r>
            <w:proofErr w:type="spellEnd"/>
            <w:r>
              <w:t>®: 18mg, 27mg, 36mg, 54mg</w:t>
            </w:r>
          </w:p>
          <w:p w14:paraId="60AF7DDF" w14:textId="77777777" w:rsidR="007F6DF7" w:rsidRDefault="002C4268">
            <w:pPr>
              <w:pStyle w:val="TableParagraph"/>
              <w:spacing w:before="61"/>
              <w:ind w:left="109"/>
            </w:pPr>
            <w:proofErr w:type="spellStart"/>
            <w:r>
              <w:t>Matoride</w:t>
            </w:r>
            <w:proofErr w:type="spellEnd"/>
            <w:r>
              <w:t xml:space="preserve"> XL®: 18mg, 36mg, 54mg</w:t>
            </w:r>
          </w:p>
          <w:p w14:paraId="477CAD8D" w14:textId="77777777" w:rsidR="007F6DF7" w:rsidRDefault="002C4268">
            <w:pPr>
              <w:pStyle w:val="TableParagraph"/>
              <w:spacing w:before="61"/>
              <w:ind w:left="109" w:right="351"/>
            </w:pPr>
            <w:proofErr w:type="spellStart"/>
            <w:r>
              <w:t>Xaggitin</w:t>
            </w:r>
            <w:proofErr w:type="spellEnd"/>
            <w:r>
              <w:t xml:space="preserve"> XL®: 18mg, 27mg, 36mg, 54mg</w:t>
            </w:r>
          </w:p>
          <w:p w14:paraId="151AD663" w14:textId="77777777" w:rsidR="007F6DF7" w:rsidRDefault="002C4268">
            <w:pPr>
              <w:pStyle w:val="TableParagraph"/>
              <w:spacing w:before="60"/>
              <w:ind w:left="109" w:right="274"/>
            </w:pPr>
            <w:proofErr w:type="spellStart"/>
            <w:r>
              <w:t>Xenidate</w:t>
            </w:r>
            <w:proofErr w:type="spellEnd"/>
            <w:r>
              <w:t xml:space="preserve"> XL®: 18mg, 27mg, 36mg, 54mg</w:t>
            </w:r>
          </w:p>
          <w:p w14:paraId="419F577A" w14:textId="77777777" w:rsidR="007F6DF7" w:rsidRDefault="002C4268">
            <w:pPr>
              <w:pStyle w:val="TableParagraph"/>
              <w:spacing w:before="61"/>
              <w:ind w:left="109" w:right="135"/>
              <w:rPr>
                <w:i/>
              </w:rPr>
            </w:pPr>
            <w:r>
              <w:rPr>
                <w:i/>
              </w:rPr>
              <w:t>NB: Methylphenidate prolonged- release tablets are licensed for continuation in adults who have shown clear benefit from treatment in childhood and/or adolescence.</w:t>
            </w:r>
          </w:p>
          <w:p w14:paraId="18EBB00D" w14:textId="77777777" w:rsidR="007F6DF7" w:rsidRDefault="002C4268">
            <w:pPr>
              <w:pStyle w:val="TableParagraph"/>
              <w:ind w:left="109" w:right="278"/>
              <w:rPr>
                <w:i/>
              </w:rPr>
            </w:pPr>
            <w:r>
              <w:rPr>
                <w:i/>
              </w:rPr>
              <w:t>They are not licensed for initiation in adults. Use in this way is considered ‘off-label’.</w:t>
            </w:r>
          </w:p>
          <w:p w14:paraId="24CD9633" w14:textId="77777777" w:rsidR="007F6DF7" w:rsidRDefault="007F6DF7">
            <w:pPr>
              <w:pStyle w:val="TableParagraph"/>
              <w:spacing w:before="10"/>
              <w:rPr>
                <w:sz w:val="31"/>
              </w:rPr>
            </w:pPr>
          </w:p>
          <w:p w14:paraId="7E07F432" w14:textId="77777777" w:rsidR="007F6DF7" w:rsidRDefault="002C4268">
            <w:pPr>
              <w:pStyle w:val="TableParagraph"/>
              <w:ind w:left="109"/>
              <w:rPr>
                <w:b/>
              </w:rPr>
            </w:pPr>
            <w:r>
              <w:rPr>
                <w:b/>
              </w:rPr>
              <w:t>Modified-release CAPSULES:</w:t>
            </w:r>
          </w:p>
          <w:p w14:paraId="123021EC" w14:textId="77777777" w:rsidR="007F6DF7" w:rsidRDefault="002C4268">
            <w:pPr>
              <w:pStyle w:val="TableParagraph"/>
              <w:spacing w:before="60"/>
              <w:ind w:left="109"/>
            </w:pPr>
            <w:proofErr w:type="spellStart"/>
            <w:r>
              <w:t>Equasym</w:t>
            </w:r>
            <w:proofErr w:type="spellEnd"/>
            <w:r>
              <w:t xml:space="preserve"> XL®: 10mg, 20mg, 30mg</w:t>
            </w:r>
          </w:p>
          <w:p w14:paraId="5B9202AB" w14:textId="77777777" w:rsidR="007F6DF7" w:rsidRDefault="002C4268">
            <w:pPr>
              <w:pStyle w:val="TableParagraph"/>
              <w:spacing w:before="61"/>
              <w:ind w:left="109" w:right="385"/>
            </w:pPr>
            <w:proofErr w:type="spellStart"/>
            <w:r>
              <w:t>Medikinet</w:t>
            </w:r>
            <w:proofErr w:type="spellEnd"/>
            <w:r>
              <w:t xml:space="preserve"> XL®</w:t>
            </w:r>
            <w:r>
              <w:rPr>
                <w:rFonts w:ascii="Arial" w:hAnsi="Arial"/>
              </w:rPr>
              <w:t>▼</w:t>
            </w:r>
            <w:r>
              <w:t>: 5mg, 10mg, 20mg, 30mg, 40mg, 50mg, 60mg</w:t>
            </w:r>
          </w:p>
          <w:p w14:paraId="0B7D5335" w14:textId="77777777" w:rsidR="007F6DF7" w:rsidRDefault="002C4268">
            <w:pPr>
              <w:pStyle w:val="TableParagraph"/>
              <w:spacing w:before="62" w:line="237" w:lineRule="auto"/>
              <w:ind w:left="109" w:right="354"/>
            </w:pPr>
            <w:proofErr w:type="spellStart"/>
            <w:r>
              <w:t>Metyrol</w:t>
            </w:r>
            <w:proofErr w:type="spellEnd"/>
            <w:r>
              <w:t xml:space="preserve"> XL®: 10mg, 20mg, 30mg, 40mg,</w:t>
            </w:r>
            <w:r>
              <w:rPr>
                <w:spacing w:val="-3"/>
              </w:rPr>
              <w:t xml:space="preserve"> </w:t>
            </w:r>
            <w:r>
              <w:t>60mg</w:t>
            </w:r>
          </w:p>
          <w:p w14:paraId="61EDE01C" w14:textId="77777777" w:rsidR="007F6DF7" w:rsidRDefault="002C4268">
            <w:pPr>
              <w:pStyle w:val="TableParagraph"/>
              <w:spacing w:before="62"/>
              <w:ind w:left="109" w:right="502"/>
            </w:pPr>
            <w:r>
              <w:t>Ritalin XL®: 10mg, 20mg, 30mg, 40mg,</w:t>
            </w:r>
            <w:r>
              <w:rPr>
                <w:spacing w:val="-3"/>
              </w:rPr>
              <w:t xml:space="preserve"> </w:t>
            </w:r>
            <w:r>
              <w:t>60mg</w:t>
            </w:r>
          </w:p>
          <w:p w14:paraId="7DBB736D" w14:textId="77777777" w:rsidR="007F6DF7" w:rsidRDefault="002C4268">
            <w:pPr>
              <w:pStyle w:val="TableParagraph"/>
              <w:spacing w:before="60" w:line="255" w:lineRule="exact"/>
              <w:ind w:left="109"/>
            </w:pPr>
            <w:r>
              <w:t xml:space="preserve">NB: Ritalin XL®, </w:t>
            </w:r>
            <w:proofErr w:type="spellStart"/>
            <w:r>
              <w:t>Metyrol</w:t>
            </w:r>
            <w:proofErr w:type="spellEnd"/>
            <w:r>
              <w:t xml:space="preserve"> XL® and</w:t>
            </w:r>
          </w:p>
        </w:tc>
        <w:tc>
          <w:tcPr>
            <w:tcW w:w="1479" w:type="dxa"/>
          </w:tcPr>
          <w:p w14:paraId="1B4813F6" w14:textId="77777777" w:rsidR="007F6DF7" w:rsidRDefault="002C4268">
            <w:pPr>
              <w:pStyle w:val="TableParagraph"/>
              <w:spacing w:before="53"/>
              <w:ind w:left="106"/>
            </w:pPr>
            <w:r>
              <w:t>CNS stimulant</w:t>
            </w:r>
          </w:p>
          <w:p w14:paraId="3732857B" w14:textId="77777777" w:rsidR="007F6DF7" w:rsidRDefault="002C4268">
            <w:pPr>
              <w:pStyle w:val="TableParagraph"/>
              <w:spacing w:before="60"/>
              <w:ind w:left="106" w:right="387"/>
              <w:jc w:val="both"/>
              <w:rPr>
                <w:b/>
                <w:i/>
              </w:rPr>
            </w:pPr>
            <w:r>
              <w:rPr>
                <w:b/>
                <w:i/>
              </w:rPr>
              <w:t>Schedule 2 controlled drug</w:t>
            </w:r>
          </w:p>
        </w:tc>
        <w:tc>
          <w:tcPr>
            <w:tcW w:w="2381" w:type="dxa"/>
          </w:tcPr>
          <w:p w14:paraId="2837939B" w14:textId="77777777" w:rsidR="007F6DF7" w:rsidRDefault="002C4268">
            <w:pPr>
              <w:pStyle w:val="TableParagraph"/>
              <w:spacing w:before="53"/>
              <w:ind w:left="106" w:right="113"/>
              <w:rPr>
                <w:b/>
              </w:rPr>
            </w:pPr>
            <w:r>
              <w:rPr>
                <w:b/>
              </w:rPr>
              <w:t xml:space="preserve">Recommended starting </w:t>
            </w:r>
            <w:proofErr w:type="gramStart"/>
            <w:r>
              <w:rPr>
                <w:b/>
              </w:rPr>
              <w:t>dose :</w:t>
            </w:r>
            <w:proofErr w:type="gramEnd"/>
          </w:p>
          <w:p w14:paraId="77266591" w14:textId="77777777" w:rsidR="007F6DF7" w:rsidRDefault="002C4268">
            <w:pPr>
              <w:pStyle w:val="TableParagraph"/>
              <w:numPr>
                <w:ilvl w:val="0"/>
                <w:numId w:val="15"/>
              </w:numPr>
              <w:tabs>
                <w:tab w:val="left" w:pos="826"/>
                <w:tab w:val="left" w:pos="827"/>
              </w:tabs>
              <w:spacing w:before="61"/>
              <w:ind w:right="147" w:firstLine="0"/>
            </w:pPr>
            <w:r>
              <w:t xml:space="preserve">Modified release </w:t>
            </w:r>
            <w:r>
              <w:rPr>
                <w:b/>
              </w:rPr>
              <w:t>tablets</w:t>
            </w:r>
            <w:r>
              <w:t xml:space="preserve">: 18 mg daily, given in the morning. Dose should be titrated to </w:t>
            </w:r>
            <w:r>
              <w:rPr>
                <w:spacing w:val="-3"/>
              </w:rPr>
              <w:t xml:space="preserve">response, </w:t>
            </w:r>
            <w:r>
              <w:t>usually at weekly intervals.</w:t>
            </w:r>
          </w:p>
          <w:p w14:paraId="171357BA" w14:textId="77777777" w:rsidR="007F6DF7" w:rsidRDefault="002C4268">
            <w:pPr>
              <w:pStyle w:val="TableParagraph"/>
              <w:numPr>
                <w:ilvl w:val="0"/>
                <w:numId w:val="15"/>
              </w:numPr>
              <w:tabs>
                <w:tab w:val="left" w:pos="826"/>
                <w:tab w:val="left" w:pos="827"/>
              </w:tabs>
              <w:spacing w:before="60"/>
              <w:ind w:right="147" w:firstLine="0"/>
            </w:pPr>
            <w:r>
              <w:t xml:space="preserve">Modified release </w:t>
            </w:r>
            <w:r>
              <w:rPr>
                <w:b/>
              </w:rPr>
              <w:t>capsules</w:t>
            </w:r>
            <w:r>
              <w:t xml:space="preserve">: 10-20 mg daily. Dose should be titrated to </w:t>
            </w:r>
            <w:r>
              <w:rPr>
                <w:spacing w:val="-3"/>
              </w:rPr>
              <w:t xml:space="preserve">response, </w:t>
            </w:r>
            <w:r>
              <w:t>usually at weekly intervals.</w:t>
            </w:r>
          </w:p>
          <w:p w14:paraId="5C192B59" w14:textId="77777777" w:rsidR="007F6DF7" w:rsidRDefault="007F6DF7">
            <w:pPr>
              <w:pStyle w:val="TableParagraph"/>
              <w:spacing w:before="9"/>
              <w:rPr>
                <w:sz w:val="31"/>
              </w:rPr>
            </w:pPr>
          </w:p>
          <w:p w14:paraId="4CA0D8B0" w14:textId="77777777" w:rsidR="007F6DF7" w:rsidRDefault="002C4268">
            <w:pPr>
              <w:pStyle w:val="TableParagraph"/>
              <w:ind w:left="106"/>
              <w:rPr>
                <w:b/>
              </w:rPr>
            </w:pPr>
            <w:r>
              <w:rPr>
                <w:b/>
              </w:rPr>
              <w:t>Maximum</w:t>
            </w:r>
            <w:r>
              <w:rPr>
                <w:b/>
                <w:spacing w:val="-5"/>
              </w:rPr>
              <w:t xml:space="preserve"> </w:t>
            </w:r>
            <w:r>
              <w:rPr>
                <w:b/>
              </w:rPr>
              <w:t>dose:</w:t>
            </w:r>
          </w:p>
          <w:p w14:paraId="51A5AC3B" w14:textId="77777777" w:rsidR="007F6DF7" w:rsidRDefault="002C4268">
            <w:pPr>
              <w:pStyle w:val="TableParagraph"/>
              <w:numPr>
                <w:ilvl w:val="0"/>
                <w:numId w:val="15"/>
              </w:numPr>
              <w:tabs>
                <w:tab w:val="left" w:pos="826"/>
                <w:tab w:val="left" w:pos="827"/>
              </w:tabs>
              <w:spacing w:before="61"/>
              <w:ind w:right="352" w:firstLine="0"/>
            </w:pPr>
            <w:r>
              <w:t xml:space="preserve">Modified release </w:t>
            </w:r>
            <w:r>
              <w:rPr>
                <w:b/>
              </w:rPr>
              <w:t>tablets</w:t>
            </w:r>
            <w:r>
              <w:t xml:space="preserve">: up </w:t>
            </w:r>
            <w:r>
              <w:rPr>
                <w:spacing w:val="-10"/>
              </w:rPr>
              <w:t xml:space="preserve">to </w:t>
            </w:r>
            <w:r>
              <w:t>108 mg once daily, given in the</w:t>
            </w:r>
            <w:r>
              <w:rPr>
                <w:spacing w:val="-3"/>
              </w:rPr>
              <w:t xml:space="preserve"> </w:t>
            </w:r>
            <w:proofErr w:type="gramStart"/>
            <w:r>
              <w:t>morning</w:t>
            </w:r>
            <w:proofErr w:type="gramEnd"/>
          </w:p>
          <w:p w14:paraId="5BCD3A89" w14:textId="77777777" w:rsidR="007F6DF7" w:rsidRDefault="002C4268">
            <w:pPr>
              <w:pStyle w:val="TableParagraph"/>
              <w:numPr>
                <w:ilvl w:val="0"/>
                <w:numId w:val="15"/>
              </w:numPr>
              <w:tabs>
                <w:tab w:val="left" w:pos="826"/>
                <w:tab w:val="left" w:pos="827"/>
              </w:tabs>
              <w:spacing w:before="61"/>
              <w:ind w:right="124" w:firstLine="0"/>
            </w:pPr>
            <w:r>
              <w:t xml:space="preserve">Modified release </w:t>
            </w:r>
            <w:r>
              <w:rPr>
                <w:b/>
              </w:rPr>
              <w:t>capsules</w:t>
            </w:r>
            <w:r>
              <w:t xml:space="preserve">: up to 100 mg daily. May be given as a single dose in the morning or in divided doses in the morning and at </w:t>
            </w:r>
            <w:r>
              <w:rPr>
                <w:spacing w:val="-3"/>
              </w:rPr>
              <w:t xml:space="preserve">midday, </w:t>
            </w:r>
            <w:r>
              <w:t>depending on</w:t>
            </w:r>
            <w:r>
              <w:rPr>
                <w:spacing w:val="-3"/>
              </w:rPr>
              <w:t xml:space="preserve"> </w:t>
            </w:r>
            <w:r>
              <w:t>brand.</w:t>
            </w:r>
          </w:p>
          <w:p w14:paraId="6B4B7135" w14:textId="77777777" w:rsidR="007F6DF7" w:rsidRDefault="007F6DF7">
            <w:pPr>
              <w:pStyle w:val="TableParagraph"/>
              <w:spacing w:before="10"/>
              <w:rPr>
                <w:sz w:val="31"/>
              </w:rPr>
            </w:pPr>
          </w:p>
          <w:p w14:paraId="4842FD7B" w14:textId="77777777" w:rsidR="007F6DF7" w:rsidRDefault="002C4268">
            <w:pPr>
              <w:pStyle w:val="TableParagraph"/>
              <w:ind w:left="106" w:right="166"/>
              <w:rPr>
                <w:i/>
              </w:rPr>
            </w:pPr>
            <w:r>
              <w:rPr>
                <w:i/>
              </w:rPr>
              <w:t xml:space="preserve">NB. The maximum licensed daily dose varies with formulation and brand; consult </w:t>
            </w:r>
            <w:hyperlink r:id="rId26">
              <w:r>
                <w:rPr>
                  <w:i/>
                  <w:color w:val="0000FF"/>
                  <w:u w:val="single" w:color="0000FF"/>
                </w:rPr>
                <w:t>BNF</w:t>
              </w:r>
            </w:hyperlink>
            <w:r>
              <w:rPr>
                <w:i/>
                <w:color w:val="0000FF"/>
              </w:rPr>
              <w:t xml:space="preserve"> </w:t>
            </w:r>
            <w:r>
              <w:rPr>
                <w:i/>
              </w:rPr>
              <w:t xml:space="preserve">and </w:t>
            </w:r>
            <w:hyperlink r:id="rId27">
              <w:r>
                <w:rPr>
                  <w:i/>
                  <w:color w:val="0000FF"/>
                  <w:u w:val="single" w:color="0000FF"/>
                </w:rPr>
                <w:t>SmPC</w:t>
              </w:r>
              <w:r>
                <w:rPr>
                  <w:i/>
                </w:rPr>
                <w:t>.</w:t>
              </w:r>
            </w:hyperlink>
          </w:p>
        </w:tc>
      </w:tr>
    </w:tbl>
    <w:p w14:paraId="110816E7" w14:textId="77777777" w:rsidR="007F6DF7" w:rsidRDefault="007F6DF7">
      <w:pPr>
        <w:sectPr w:rsidR="007F6DF7">
          <w:headerReference w:type="default" r:id="rId28"/>
          <w:pgSz w:w="11910" w:h="16840"/>
          <w:pgMar w:top="1120" w:right="720" w:bottom="1780" w:left="400" w:header="0" w:footer="1595"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3455"/>
        <w:gridCol w:w="1479"/>
        <w:gridCol w:w="2381"/>
      </w:tblGrid>
      <w:tr w:rsidR="007F6DF7" w14:paraId="05E4BD4E" w14:textId="77777777">
        <w:trPr>
          <w:trHeight w:val="8122"/>
        </w:trPr>
        <w:tc>
          <w:tcPr>
            <w:tcW w:w="2072" w:type="dxa"/>
          </w:tcPr>
          <w:p w14:paraId="7E635D07" w14:textId="77777777" w:rsidR="007F6DF7" w:rsidRDefault="007F6DF7">
            <w:pPr>
              <w:pStyle w:val="TableParagraph"/>
              <w:rPr>
                <w:rFonts w:ascii="Times New Roman"/>
                <w:sz w:val="20"/>
              </w:rPr>
            </w:pPr>
          </w:p>
        </w:tc>
        <w:tc>
          <w:tcPr>
            <w:tcW w:w="3455" w:type="dxa"/>
          </w:tcPr>
          <w:p w14:paraId="44F4CFD3" w14:textId="77777777" w:rsidR="007F6DF7" w:rsidRDefault="002C4268">
            <w:pPr>
              <w:pStyle w:val="TableParagraph"/>
              <w:ind w:left="109" w:right="271"/>
            </w:pPr>
            <w:proofErr w:type="spellStart"/>
            <w:r>
              <w:t>Medikinet</w:t>
            </w:r>
            <w:proofErr w:type="spellEnd"/>
            <w:r>
              <w:t xml:space="preserve"> XL® modified release capsules are licensed for initiation and continuation in adults.</w:t>
            </w:r>
          </w:p>
          <w:p w14:paraId="7ED5BC46" w14:textId="77777777" w:rsidR="007F6DF7" w:rsidRDefault="002C4268">
            <w:pPr>
              <w:pStyle w:val="TableParagraph"/>
              <w:ind w:left="109" w:right="151"/>
            </w:pPr>
            <w:proofErr w:type="spellStart"/>
            <w:r>
              <w:t>Equasym</w:t>
            </w:r>
            <w:proofErr w:type="spellEnd"/>
            <w:r>
              <w:t xml:space="preserve"> XL® is not licensed for use in adults.</w:t>
            </w:r>
          </w:p>
          <w:p w14:paraId="68A4B579" w14:textId="77777777" w:rsidR="007F6DF7" w:rsidRDefault="007F6DF7">
            <w:pPr>
              <w:pStyle w:val="TableParagraph"/>
              <w:spacing w:before="5"/>
              <w:rPr>
                <w:sz w:val="31"/>
              </w:rPr>
            </w:pPr>
          </w:p>
          <w:p w14:paraId="11D2E077" w14:textId="77777777" w:rsidR="007F6DF7" w:rsidRDefault="002C4268">
            <w:pPr>
              <w:pStyle w:val="TableParagraph"/>
              <w:ind w:left="109"/>
              <w:rPr>
                <w:b/>
              </w:rPr>
            </w:pPr>
            <w:r>
              <w:rPr>
                <w:b/>
              </w:rPr>
              <w:t>Administration:</w:t>
            </w:r>
          </w:p>
          <w:p w14:paraId="61F9F238" w14:textId="77777777" w:rsidR="007F6DF7" w:rsidRDefault="002C4268">
            <w:pPr>
              <w:pStyle w:val="TableParagraph"/>
              <w:spacing w:before="60"/>
              <w:ind w:left="109" w:right="207"/>
            </w:pPr>
            <w:r>
              <w:rPr>
                <w:b/>
              </w:rPr>
              <w:t>Administration requirements vary by formulation and brand</w:t>
            </w:r>
            <w:r>
              <w:t>.</w:t>
            </w:r>
          </w:p>
          <w:p w14:paraId="4CCE4900" w14:textId="77777777" w:rsidR="007F6DF7" w:rsidRDefault="007F6DF7">
            <w:pPr>
              <w:pStyle w:val="TableParagraph"/>
              <w:spacing w:before="11"/>
              <w:rPr>
                <w:sz w:val="31"/>
              </w:rPr>
            </w:pPr>
          </w:p>
          <w:p w14:paraId="20D36C1B" w14:textId="77777777" w:rsidR="007F6DF7" w:rsidRDefault="002C4268">
            <w:pPr>
              <w:pStyle w:val="TableParagraph"/>
              <w:ind w:left="109" w:right="115"/>
            </w:pPr>
            <w:r>
              <w:t xml:space="preserve">Methylphenidate can be taken with or without food, but patients should </w:t>
            </w:r>
            <w:proofErr w:type="spellStart"/>
            <w:r>
              <w:t>standardise</w:t>
            </w:r>
            <w:proofErr w:type="spellEnd"/>
            <w:r>
              <w:t xml:space="preserve"> which method is chosen.</w:t>
            </w:r>
          </w:p>
          <w:p w14:paraId="69E6F8E2" w14:textId="77777777" w:rsidR="007F6DF7" w:rsidRDefault="007F6DF7">
            <w:pPr>
              <w:pStyle w:val="TableParagraph"/>
              <w:spacing w:before="10"/>
              <w:rPr>
                <w:sz w:val="31"/>
              </w:rPr>
            </w:pPr>
          </w:p>
          <w:p w14:paraId="5CE6F554" w14:textId="77777777" w:rsidR="007F6DF7" w:rsidRDefault="002C4268">
            <w:pPr>
              <w:pStyle w:val="TableParagraph"/>
              <w:ind w:left="109" w:right="276"/>
            </w:pPr>
            <w:proofErr w:type="spellStart"/>
            <w:r>
              <w:t>Dependant</w:t>
            </w:r>
            <w:proofErr w:type="spellEnd"/>
            <w:r>
              <w:t xml:space="preserve"> on the brand, methylphenidate capsules can be opened and sprinkled on a small amount of soft food for administration. Please consult the relevant </w:t>
            </w:r>
            <w:hyperlink r:id="rId29">
              <w:r>
                <w:rPr>
                  <w:color w:val="0000FF"/>
                  <w:u w:val="single" w:color="0000FF"/>
                </w:rPr>
                <w:t>SmPC</w:t>
              </w:r>
              <w:r>
                <w:rPr>
                  <w:color w:val="0000FF"/>
                </w:rPr>
                <w:t xml:space="preserve"> </w:t>
              </w:r>
            </w:hyperlink>
            <w:r>
              <w:t>for brand-specific information.</w:t>
            </w:r>
          </w:p>
          <w:p w14:paraId="235E81B1" w14:textId="77777777" w:rsidR="007F6DF7" w:rsidRDefault="007F6DF7">
            <w:pPr>
              <w:pStyle w:val="TableParagraph"/>
              <w:spacing w:before="10"/>
              <w:rPr>
                <w:sz w:val="31"/>
              </w:rPr>
            </w:pPr>
          </w:p>
          <w:p w14:paraId="7BA22589" w14:textId="77777777" w:rsidR="007F6DF7" w:rsidRDefault="002C4268">
            <w:pPr>
              <w:pStyle w:val="TableParagraph"/>
              <w:ind w:left="109" w:right="81"/>
            </w:pPr>
            <w:r>
              <w:t xml:space="preserve">If a dose is </w:t>
            </w:r>
            <w:proofErr w:type="gramStart"/>
            <w:r>
              <w:t>missed</w:t>
            </w:r>
            <w:proofErr w:type="gramEnd"/>
            <w:r>
              <w:t xml:space="preserve"> then the next scheduled dose should be taken as usual; a double dose should not be taken to make up for a missed dose.</w:t>
            </w:r>
          </w:p>
        </w:tc>
        <w:tc>
          <w:tcPr>
            <w:tcW w:w="1479" w:type="dxa"/>
          </w:tcPr>
          <w:p w14:paraId="1686E87E" w14:textId="77777777" w:rsidR="007F6DF7" w:rsidRDefault="007F6DF7">
            <w:pPr>
              <w:pStyle w:val="TableParagraph"/>
              <w:rPr>
                <w:rFonts w:ascii="Times New Roman"/>
                <w:sz w:val="20"/>
              </w:rPr>
            </w:pPr>
          </w:p>
        </w:tc>
        <w:tc>
          <w:tcPr>
            <w:tcW w:w="2381" w:type="dxa"/>
          </w:tcPr>
          <w:p w14:paraId="5091D6A8" w14:textId="77777777" w:rsidR="007F6DF7" w:rsidRDefault="007F6DF7">
            <w:pPr>
              <w:pStyle w:val="TableParagraph"/>
              <w:rPr>
                <w:rFonts w:ascii="Times New Roman"/>
                <w:sz w:val="20"/>
              </w:rPr>
            </w:pPr>
          </w:p>
        </w:tc>
      </w:tr>
      <w:tr w:rsidR="007F6DF7" w14:paraId="1F20C9B1" w14:textId="77777777">
        <w:trPr>
          <w:trHeight w:val="5522"/>
        </w:trPr>
        <w:tc>
          <w:tcPr>
            <w:tcW w:w="2072" w:type="dxa"/>
          </w:tcPr>
          <w:p w14:paraId="333F1DBF" w14:textId="77777777" w:rsidR="007F6DF7" w:rsidRDefault="002C4268">
            <w:pPr>
              <w:pStyle w:val="TableParagraph"/>
              <w:spacing w:before="53" w:line="292" w:lineRule="auto"/>
              <w:ind w:left="108" w:right="78"/>
            </w:pPr>
            <w:proofErr w:type="spellStart"/>
            <w:r>
              <w:t>Lisdexamfetamine</w:t>
            </w:r>
            <w:proofErr w:type="spellEnd"/>
            <w:r>
              <w:rPr>
                <w:rFonts w:ascii="Arial" w:hAnsi="Arial"/>
              </w:rPr>
              <w:t xml:space="preserve">▼ </w:t>
            </w:r>
            <w:r>
              <w:t>(1</w:t>
            </w:r>
            <w:r>
              <w:rPr>
                <w:vertAlign w:val="superscript"/>
              </w:rPr>
              <w:t>st</w:t>
            </w:r>
            <w:r>
              <w:t xml:space="preserve"> line treatment)</w:t>
            </w:r>
          </w:p>
        </w:tc>
        <w:tc>
          <w:tcPr>
            <w:tcW w:w="3455" w:type="dxa"/>
          </w:tcPr>
          <w:p w14:paraId="1764FC02" w14:textId="77777777" w:rsidR="007F6DF7" w:rsidRDefault="002C4268">
            <w:pPr>
              <w:pStyle w:val="TableParagraph"/>
              <w:spacing w:before="53"/>
              <w:ind w:left="109" w:right="246"/>
              <w:jc w:val="both"/>
            </w:pPr>
            <w:proofErr w:type="spellStart"/>
            <w:r>
              <w:t>Elvanse</w:t>
            </w:r>
            <w:proofErr w:type="spellEnd"/>
            <w:r>
              <w:t xml:space="preserve"> Adult® (</w:t>
            </w:r>
            <w:proofErr w:type="spellStart"/>
            <w:r>
              <w:t>lisdexamfetamine</w:t>
            </w:r>
            <w:proofErr w:type="spellEnd"/>
            <w:r>
              <w:t xml:space="preserve"> </w:t>
            </w:r>
            <w:proofErr w:type="spellStart"/>
            <w:r>
              <w:t>dimesylate</w:t>
            </w:r>
            <w:proofErr w:type="spellEnd"/>
            <w:r>
              <w:t>) 30mg 50mg and 70mg hard capsules (</w:t>
            </w:r>
          </w:p>
          <w:p w14:paraId="1824A77B" w14:textId="77777777" w:rsidR="007F6DF7" w:rsidRDefault="002C4268">
            <w:pPr>
              <w:pStyle w:val="TableParagraph"/>
              <w:spacing w:before="61"/>
              <w:ind w:left="109" w:right="452"/>
            </w:pPr>
            <w:proofErr w:type="spellStart"/>
            <w:r>
              <w:t>Elvanse</w:t>
            </w:r>
            <w:proofErr w:type="spellEnd"/>
            <w:r>
              <w:t>® (</w:t>
            </w:r>
            <w:proofErr w:type="spellStart"/>
            <w:r>
              <w:t>lisdexamfetamine</w:t>
            </w:r>
            <w:proofErr w:type="spellEnd"/>
            <w:r>
              <w:t xml:space="preserve"> </w:t>
            </w:r>
            <w:proofErr w:type="spellStart"/>
            <w:r>
              <w:t>dimesylate</w:t>
            </w:r>
            <w:proofErr w:type="spellEnd"/>
            <w:r>
              <w:t>) 20mg, 30mg, 40mg, 50mg, 60mg and 70mg hard capsules – use in adults may be considered ‘off-label’.</w:t>
            </w:r>
          </w:p>
          <w:p w14:paraId="5139C97D" w14:textId="77777777" w:rsidR="007F6DF7" w:rsidRDefault="007F6DF7">
            <w:pPr>
              <w:pStyle w:val="TableParagraph"/>
              <w:spacing w:before="10"/>
              <w:rPr>
                <w:sz w:val="31"/>
              </w:rPr>
            </w:pPr>
          </w:p>
          <w:p w14:paraId="30F395E8" w14:textId="77777777" w:rsidR="007F6DF7" w:rsidRDefault="002C4268">
            <w:pPr>
              <w:pStyle w:val="TableParagraph"/>
              <w:ind w:left="109"/>
              <w:rPr>
                <w:b/>
              </w:rPr>
            </w:pPr>
            <w:r>
              <w:rPr>
                <w:b/>
              </w:rPr>
              <w:t>Administration:</w:t>
            </w:r>
          </w:p>
          <w:p w14:paraId="0BCAA26D" w14:textId="77777777" w:rsidR="007F6DF7" w:rsidRDefault="002C4268">
            <w:pPr>
              <w:pStyle w:val="TableParagraph"/>
              <w:spacing w:before="60"/>
              <w:ind w:left="109" w:right="558"/>
            </w:pPr>
            <w:r>
              <w:t>The dose may be taken with or without food.</w:t>
            </w:r>
          </w:p>
          <w:p w14:paraId="77C5EB76" w14:textId="77777777" w:rsidR="007F6DF7" w:rsidRDefault="007F6DF7">
            <w:pPr>
              <w:pStyle w:val="TableParagraph"/>
              <w:spacing w:before="11"/>
              <w:rPr>
                <w:sz w:val="31"/>
              </w:rPr>
            </w:pPr>
          </w:p>
          <w:p w14:paraId="7EE71316" w14:textId="77777777" w:rsidR="007F6DF7" w:rsidRDefault="002C4268">
            <w:pPr>
              <w:pStyle w:val="TableParagraph"/>
              <w:ind w:left="109" w:right="124"/>
            </w:pPr>
            <w:proofErr w:type="spellStart"/>
            <w:r>
              <w:t>Lisdexamfetamine</w:t>
            </w:r>
            <w:proofErr w:type="spellEnd"/>
            <w:r>
              <w:t xml:space="preserve"> capsules may be swallowed whole, or the capsule </w:t>
            </w:r>
            <w:proofErr w:type="gramStart"/>
            <w:r>
              <w:t>opened</w:t>
            </w:r>
            <w:proofErr w:type="gramEnd"/>
            <w:r>
              <w:t xml:space="preserve"> and the entire contents emptied and mixed with a soft food such as yogurt or in a glass of water</w:t>
            </w:r>
          </w:p>
          <w:p w14:paraId="01D431B3" w14:textId="77777777" w:rsidR="007F6DF7" w:rsidRDefault="002C4268">
            <w:pPr>
              <w:pStyle w:val="TableParagraph"/>
              <w:spacing w:line="254" w:lineRule="exact"/>
              <w:ind w:left="109"/>
            </w:pPr>
            <w:r>
              <w:t>or orange juice. Please consult the</w:t>
            </w:r>
          </w:p>
        </w:tc>
        <w:tc>
          <w:tcPr>
            <w:tcW w:w="1479" w:type="dxa"/>
          </w:tcPr>
          <w:p w14:paraId="4483597F" w14:textId="77777777" w:rsidR="007F6DF7" w:rsidRDefault="002C4268">
            <w:pPr>
              <w:pStyle w:val="TableParagraph"/>
              <w:spacing w:before="53"/>
              <w:ind w:left="106"/>
            </w:pPr>
            <w:r>
              <w:t>CNS stimulant</w:t>
            </w:r>
          </w:p>
          <w:p w14:paraId="7E0D4330" w14:textId="77777777" w:rsidR="007F6DF7" w:rsidRDefault="002C4268">
            <w:pPr>
              <w:pStyle w:val="TableParagraph"/>
              <w:spacing w:before="60"/>
              <w:ind w:left="106" w:right="387"/>
              <w:jc w:val="both"/>
              <w:rPr>
                <w:b/>
                <w:i/>
              </w:rPr>
            </w:pPr>
            <w:r>
              <w:rPr>
                <w:b/>
                <w:i/>
              </w:rPr>
              <w:t>Schedule 2 controlled drug</w:t>
            </w:r>
          </w:p>
        </w:tc>
        <w:tc>
          <w:tcPr>
            <w:tcW w:w="2381" w:type="dxa"/>
          </w:tcPr>
          <w:p w14:paraId="5DD7886A" w14:textId="77777777" w:rsidR="007F6DF7" w:rsidRDefault="002C4268">
            <w:pPr>
              <w:pStyle w:val="TableParagraph"/>
              <w:spacing w:before="53"/>
              <w:ind w:left="106"/>
              <w:rPr>
                <w:b/>
              </w:rPr>
            </w:pPr>
            <w:r>
              <w:rPr>
                <w:b/>
              </w:rPr>
              <w:t xml:space="preserve">Initial </w:t>
            </w:r>
            <w:proofErr w:type="spellStart"/>
            <w:r>
              <w:rPr>
                <w:b/>
              </w:rPr>
              <w:t>stabilisation</w:t>
            </w:r>
            <w:proofErr w:type="spellEnd"/>
            <w:r>
              <w:rPr>
                <w:b/>
              </w:rPr>
              <w:t>:</w:t>
            </w:r>
          </w:p>
          <w:p w14:paraId="30992DA4" w14:textId="77777777" w:rsidR="007F6DF7" w:rsidRDefault="002C4268">
            <w:pPr>
              <w:pStyle w:val="TableParagraph"/>
              <w:spacing w:before="60"/>
              <w:ind w:left="106" w:right="111"/>
            </w:pPr>
            <w:r>
              <w:t>30 mg taken once daily in the morning, increased in increments of 20 mg at intervals no shorter than 1 week.</w:t>
            </w:r>
          </w:p>
          <w:p w14:paraId="7F78ABF7" w14:textId="77777777" w:rsidR="007F6DF7" w:rsidRDefault="002C4268">
            <w:pPr>
              <w:pStyle w:val="TableParagraph"/>
              <w:ind w:left="106" w:right="136"/>
            </w:pPr>
            <w:r>
              <w:t>Lower starting doses may be used if clinically appropriate (‘off-label’ use).</w:t>
            </w:r>
          </w:p>
          <w:p w14:paraId="536A1632" w14:textId="77777777" w:rsidR="007F6DF7" w:rsidRDefault="007F6DF7">
            <w:pPr>
              <w:pStyle w:val="TableParagraph"/>
              <w:spacing w:before="11"/>
              <w:rPr>
                <w:sz w:val="31"/>
              </w:rPr>
            </w:pPr>
          </w:p>
          <w:p w14:paraId="27E2528F" w14:textId="77777777" w:rsidR="007F6DF7" w:rsidRDefault="002C4268">
            <w:pPr>
              <w:pStyle w:val="TableParagraph"/>
              <w:ind w:left="106" w:right="552"/>
            </w:pPr>
            <w:r>
              <w:rPr>
                <w:b/>
              </w:rPr>
              <w:t xml:space="preserve">Maintenance dose </w:t>
            </w:r>
            <w:r>
              <w:t xml:space="preserve">(following initial </w:t>
            </w:r>
            <w:proofErr w:type="spellStart"/>
            <w:r>
              <w:t>stabilisation</w:t>
            </w:r>
            <w:proofErr w:type="spellEnd"/>
            <w:r>
              <w:t>):</w:t>
            </w:r>
          </w:p>
          <w:p w14:paraId="3085FBFC" w14:textId="77777777" w:rsidR="007F6DF7" w:rsidRDefault="002C4268">
            <w:pPr>
              <w:pStyle w:val="TableParagraph"/>
              <w:spacing w:before="59"/>
              <w:ind w:left="106" w:right="385"/>
            </w:pPr>
            <w:r>
              <w:t>Maximum 70 mg per day.</w:t>
            </w:r>
          </w:p>
        </w:tc>
      </w:tr>
    </w:tbl>
    <w:p w14:paraId="47E6484B" w14:textId="77777777" w:rsidR="007F6DF7" w:rsidRDefault="007F6DF7">
      <w:pPr>
        <w:sectPr w:rsidR="007F6DF7">
          <w:headerReference w:type="default" r:id="rId30"/>
          <w:pgSz w:w="11910" w:h="16840"/>
          <w:pgMar w:top="1120" w:right="720" w:bottom="1780" w:left="400" w:header="0" w:footer="1595"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3455"/>
        <w:gridCol w:w="1479"/>
        <w:gridCol w:w="2381"/>
      </w:tblGrid>
      <w:tr w:rsidR="007F6DF7" w14:paraId="614B1750" w14:textId="77777777">
        <w:trPr>
          <w:trHeight w:val="4867"/>
        </w:trPr>
        <w:tc>
          <w:tcPr>
            <w:tcW w:w="2072" w:type="dxa"/>
          </w:tcPr>
          <w:p w14:paraId="6870398A" w14:textId="77777777" w:rsidR="007F6DF7" w:rsidRDefault="007F6DF7">
            <w:pPr>
              <w:pStyle w:val="TableParagraph"/>
              <w:rPr>
                <w:rFonts w:ascii="Times New Roman"/>
                <w:sz w:val="20"/>
              </w:rPr>
            </w:pPr>
          </w:p>
        </w:tc>
        <w:tc>
          <w:tcPr>
            <w:tcW w:w="3455" w:type="dxa"/>
          </w:tcPr>
          <w:p w14:paraId="345C4A3C" w14:textId="77777777" w:rsidR="007F6DF7" w:rsidRDefault="002C4268">
            <w:pPr>
              <w:pStyle w:val="TableParagraph"/>
              <w:spacing w:line="237" w:lineRule="auto"/>
              <w:ind w:left="109" w:right="1024"/>
            </w:pPr>
            <w:r>
              <w:t xml:space="preserve">relevant </w:t>
            </w:r>
            <w:hyperlink r:id="rId31">
              <w:r>
                <w:rPr>
                  <w:color w:val="0000FF"/>
                  <w:u w:val="single" w:color="0000FF"/>
                </w:rPr>
                <w:t>SmPC</w:t>
              </w:r>
              <w:r>
                <w:rPr>
                  <w:color w:val="0000FF"/>
                </w:rPr>
                <w:t xml:space="preserve"> </w:t>
              </w:r>
            </w:hyperlink>
            <w:r>
              <w:t>for further information.</w:t>
            </w:r>
          </w:p>
          <w:p w14:paraId="5398B73D" w14:textId="77777777" w:rsidR="007F6DF7" w:rsidRDefault="007F6DF7">
            <w:pPr>
              <w:pStyle w:val="TableParagraph"/>
              <w:spacing w:before="10"/>
              <w:rPr>
                <w:sz w:val="31"/>
              </w:rPr>
            </w:pPr>
          </w:p>
          <w:p w14:paraId="24BA7807" w14:textId="77777777" w:rsidR="007F6DF7" w:rsidRDefault="002C4268">
            <w:pPr>
              <w:pStyle w:val="TableParagraph"/>
              <w:ind w:left="109" w:right="81"/>
            </w:pPr>
            <w:r>
              <w:t xml:space="preserve">If a dose is </w:t>
            </w:r>
            <w:proofErr w:type="gramStart"/>
            <w:r>
              <w:t>missed</w:t>
            </w:r>
            <w:proofErr w:type="gramEnd"/>
            <w:r>
              <w:t xml:space="preserve"> then the next scheduled dose should be taken as usual; a double dose should not be taken to make up for a missed dose. Afternoon doses should be avoided because of the potential for insomnia.</w:t>
            </w:r>
          </w:p>
          <w:p w14:paraId="209B685B" w14:textId="77777777" w:rsidR="007F6DF7" w:rsidRDefault="007F6DF7">
            <w:pPr>
              <w:pStyle w:val="TableParagraph"/>
              <w:spacing w:before="9"/>
              <w:rPr>
                <w:sz w:val="31"/>
              </w:rPr>
            </w:pPr>
          </w:p>
          <w:p w14:paraId="04FF2D4D" w14:textId="77777777" w:rsidR="007F6DF7" w:rsidRDefault="002C4268">
            <w:pPr>
              <w:pStyle w:val="TableParagraph"/>
              <w:spacing w:before="1"/>
              <w:ind w:left="109" w:right="968"/>
              <w:rPr>
                <w:b/>
              </w:rPr>
            </w:pPr>
            <w:r>
              <w:rPr>
                <w:b/>
              </w:rPr>
              <w:t>Conditions requiring dose adjustment:</w:t>
            </w:r>
          </w:p>
          <w:p w14:paraId="4C7985F7" w14:textId="77777777" w:rsidR="007F6DF7" w:rsidRDefault="002C4268">
            <w:pPr>
              <w:pStyle w:val="TableParagraph"/>
              <w:spacing w:before="59" w:line="270" w:lineRule="atLeast"/>
              <w:ind w:left="109" w:right="82"/>
            </w:pPr>
            <w:r>
              <w:t>In severe renal impairment (GFR 15- 30mL/min/1.73m</w:t>
            </w:r>
            <w:r>
              <w:rPr>
                <w:vertAlign w:val="superscript"/>
              </w:rPr>
              <w:t>2</w:t>
            </w:r>
            <w:r>
              <w:t xml:space="preserve"> or </w:t>
            </w:r>
            <w:proofErr w:type="spellStart"/>
            <w:r>
              <w:t>CrCl</w:t>
            </w:r>
            <w:proofErr w:type="spellEnd"/>
            <w:r>
              <w:t xml:space="preserve"> &lt; 30mL/min), the recommended maximum dose is 50 mg per day.</w:t>
            </w:r>
          </w:p>
        </w:tc>
        <w:tc>
          <w:tcPr>
            <w:tcW w:w="1479" w:type="dxa"/>
          </w:tcPr>
          <w:p w14:paraId="6D1527E6" w14:textId="77777777" w:rsidR="007F6DF7" w:rsidRDefault="007F6DF7">
            <w:pPr>
              <w:pStyle w:val="TableParagraph"/>
              <w:rPr>
                <w:rFonts w:ascii="Times New Roman"/>
                <w:sz w:val="20"/>
              </w:rPr>
            </w:pPr>
          </w:p>
        </w:tc>
        <w:tc>
          <w:tcPr>
            <w:tcW w:w="2381" w:type="dxa"/>
          </w:tcPr>
          <w:p w14:paraId="5FA89438" w14:textId="77777777" w:rsidR="007F6DF7" w:rsidRDefault="007F6DF7">
            <w:pPr>
              <w:pStyle w:val="TableParagraph"/>
              <w:rPr>
                <w:rFonts w:ascii="Times New Roman"/>
                <w:sz w:val="20"/>
              </w:rPr>
            </w:pPr>
          </w:p>
        </w:tc>
      </w:tr>
      <w:tr w:rsidR="007F6DF7" w14:paraId="38F7C2FA" w14:textId="77777777">
        <w:trPr>
          <w:trHeight w:val="6509"/>
        </w:trPr>
        <w:tc>
          <w:tcPr>
            <w:tcW w:w="2072" w:type="dxa"/>
          </w:tcPr>
          <w:p w14:paraId="18CA3247" w14:textId="77777777" w:rsidR="007F6DF7" w:rsidRDefault="002C4268">
            <w:pPr>
              <w:pStyle w:val="TableParagraph"/>
              <w:spacing w:before="53" w:line="292" w:lineRule="auto"/>
              <w:ind w:left="108" w:right="199"/>
            </w:pPr>
            <w:proofErr w:type="spellStart"/>
            <w:r>
              <w:t>Dexamfetamine</w:t>
            </w:r>
            <w:proofErr w:type="spellEnd"/>
            <w:r>
              <w:t xml:space="preserve"> (2</w:t>
            </w:r>
            <w:r>
              <w:rPr>
                <w:vertAlign w:val="superscript"/>
              </w:rPr>
              <w:t>nd</w:t>
            </w:r>
            <w:r>
              <w:t xml:space="preserve"> line treatment)</w:t>
            </w:r>
          </w:p>
          <w:p w14:paraId="1FF79BF2" w14:textId="77777777" w:rsidR="007F6DF7" w:rsidRDefault="002C4268">
            <w:pPr>
              <w:pStyle w:val="TableParagraph"/>
              <w:spacing w:before="3"/>
              <w:ind w:left="108" w:right="168"/>
            </w:pPr>
            <w:r>
              <w:t xml:space="preserve">Consider </w:t>
            </w:r>
            <w:proofErr w:type="spellStart"/>
            <w:r>
              <w:t>dexamfetamine</w:t>
            </w:r>
            <w:proofErr w:type="spellEnd"/>
            <w:r>
              <w:t xml:space="preserve"> for adults whose ADHD symptoms are responding to </w:t>
            </w:r>
            <w:proofErr w:type="spellStart"/>
            <w:r>
              <w:t>lisdexamfetamine</w:t>
            </w:r>
            <w:proofErr w:type="spellEnd"/>
            <w:r>
              <w:t xml:space="preserve"> but who cannot tolerate the longer effect profile.</w:t>
            </w:r>
          </w:p>
        </w:tc>
        <w:tc>
          <w:tcPr>
            <w:tcW w:w="3455" w:type="dxa"/>
          </w:tcPr>
          <w:p w14:paraId="792657B2" w14:textId="77777777" w:rsidR="007F6DF7" w:rsidRDefault="002C4268">
            <w:pPr>
              <w:pStyle w:val="TableParagraph"/>
              <w:spacing w:before="53"/>
              <w:ind w:left="109" w:right="275"/>
            </w:pPr>
            <w:proofErr w:type="spellStart"/>
            <w:r>
              <w:t>Amfexa</w:t>
            </w:r>
            <w:proofErr w:type="spellEnd"/>
            <w:r>
              <w:t>® (</w:t>
            </w:r>
            <w:proofErr w:type="spellStart"/>
            <w:r>
              <w:t>dexamfetamine</w:t>
            </w:r>
            <w:proofErr w:type="spellEnd"/>
            <w:r>
              <w:t xml:space="preserve"> sulfate) 5mg, 10mg,20mg immediate release tablets (</w:t>
            </w:r>
          </w:p>
          <w:p w14:paraId="4EFF3E20" w14:textId="77777777" w:rsidR="007F6DF7" w:rsidRDefault="002C4268">
            <w:pPr>
              <w:pStyle w:val="TableParagraph"/>
              <w:spacing w:before="61"/>
              <w:ind w:left="109" w:right="789"/>
            </w:pPr>
            <w:proofErr w:type="spellStart"/>
            <w:r>
              <w:t>Dexamfetamine</w:t>
            </w:r>
            <w:proofErr w:type="spellEnd"/>
            <w:r>
              <w:t xml:space="preserve"> sulfate 5mg immediate release tablets</w:t>
            </w:r>
          </w:p>
          <w:p w14:paraId="30FF3235" w14:textId="77777777" w:rsidR="007F6DF7" w:rsidRDefault="002C4268">
            <w:pPr>
              <w:pStyle w:val="TableParagraph"/>
              <w:spacing w:before="58"/>
              <w:ind w:left="109" w:right="341"/>
            </w:pPr>
            <w:proofErr w:type="spellStart"/>
            <w:r>
              <w:t>Dexamfetamine</w:t>
            </w:r>
            <w:proofErr w:type="spellEnd"/>
            <w:r>
              <w:t xml:space="preserve"> sulfate 5mg/5mL sugar-free oral solution</w:t>
            </w:r>
          </w:p>
          <w:p w14:paraId="4935FA43" w14:textId="77777777" w:rsidR="007F6DF7" w:rsidRDefault="007F6DF7">
            <w:pPr>
              <w:pStyle w:val="TableParagraph"/>
              <w:spacing w:before="11"/>
              <w:rPr>
                <w:sz w:val="31"/>
              </w:rPr>
            </w:pPr>
          </w:p>
          <w:p w14:paraId="36CEC278" w14:textId="77777777" w:rsidR="007F6DF7" w:rsidRDefault="002C4268">
            <w:pPr>
              <w:pStyle w:val="TableParagraph"/>
              <w:ind w:left="109"/>
              <w:rPr>
                <w:b/>
              </w:rPr>
            </w:pPr>
            <w:r>
              <w:rPr>
                <w:b/>
              </w:rPr>
              <w:t>Administration:</w:t>
            </w:r>
          </w:p>
          <w:p w14:paraId="35073F2D" w14:textId="77777777" w:rsidR="007F6DF7" w:rsidRDefault="002C4268">
            <w:pPr>
              <w:pStyle w:val="TableParagraph"/>
              <w:spacing w:before="61"/>
              <w:ind w:left="109" w:right="320"/>
            </w:pPr>
            <w:r>
              <w:t xml:space="preserve">Tablets can be divided for ease of swallowing. Please consult the relevant </w:t>
            </w:r>
            <w:hyperlink r:id="rId32">
              <w:r>
                <w:rPr>
                  <w:color w:val="0000FF"/>
                  <w:u w:val="single" w:color="0000FF"/>
                </w:rPr>
                <w:t>SmPC</w:t>
              </w:r>
              <w:r>
                <w:rPr>
                  <w:color w:val="0000FF"/>
                </w:rPr>
                <w:t xml:space="preserve"> </w:t>
              </w:r>
            </w:hyperlink>
            <w:r>
              <w:t>for specific information.</w:t>
            </w:r>
          </w:p>
          <w:p w14:paraId="720F630F" w14:textId="77777777" w:rsidR="007F6DF7" w:rsidRDefault="007F6DF7">
            <w:pPr>
              <w:pStyle w:val="TableParagraph"/>
              <w:spacing w:before="11"/>
              <w:rPr>
                <w:sz w:val="31"/>
              </w:rPr>
            </w:pPr>
          </w:p>
          <w:p w14:paraId="53581BC0" w14:textId="77777777" w:rsidR="007F6DF7" w:rsidRDefault="002C4268">
            <w:pPr>
              <w:pStyle w:val="TableParagraph"/>
              <w:ind w:left="109" w:right="346"/>
            </w:pPr>
            <w:proofErr w:type="spellStart"/>
            <w:r>
              <w:t>Dexamfetamine</w:t>
            </w:r>
            <w:proofErr w:type="spellEnd"/>
            <w:r>
              <w:t xml:space="preserve"> should not be taken too late after lunch time to avoid disturbances of sleep.</w:t>
            </w:r>
          </w:p>
          <w:p w14:paraId="762D84C4" w14:textId="77777777" w:rsidR="007F6DF7" w:rsidRDefault="007F6DF7">
            <w:pPr>
              <w:pStyle w:val="TableParagraph"/>
              <w:spacing w:before="8"/>
              <w:rPr>
                <w:sz w:val="31"/>
              </w:rPr>
            </w:pPr>
          </w:p>
          <w:p w14:paraId="4B4B423F" w14:textId="77777777" w:rsidR="007F6DF7" w:rsidRDefault="002C4268">
            <w:pPr>
              <w:pStyle w:val="TableParagraph"/>
              <w:spacing w:line="270" w:lineRule="atLeast"/>
              <w:ind w:left="109" w:right="81"/>
            </w:pPr>
            <w:r>
              <w:t xml:space="preserve">If a dose is </w:t>
            </w:r>
            <w:proofErr w:type="gramStart"/>
            <w:r>
              <w:t>missed</w:t>
            </w:r>
            <w:proofErr w:type="gramEnd"/>
            <w:r>
              <w:t xml:space="preserve"> then the next scheduled dose should be taken as usual; a double dose should not be taken to make up for a missed dose.</w:t>
            </w:r>
          </w:p>
        </w:tc>
        <w:tc>
          <w:tcPr>
            <w:tcW w:w="1479" w:type="dxa"/>
          </w:tcPr>
          <w:p w14:paraId="21394C39" w14:textId="77777777" w:rsidR="007F6DF7" w:rsidRDefault="002C4268">
            <w:pPr>
              <w:pStyle w:val="TableParagraph"/>
              <w:spacing w:before="53"/>
              <w:ind w:left="106"/>
            </w:pPr>
            <w:r>
              <w:t>CNS stimulant</w:t>
            </w:r>
          </w:p>
          <w:p w14:paraId="2E2DD850" w14:textId="77777777" w:rsidR="007F6DF7" w:rsidRDefault="002C4268">
            <w:pPr>
              <w:pStyle w:val="TableParagraph"/>
              <w:spacing w:before="60"/>
              <w:ind w:left="106" w:right="387"/>
              <w:jc w:val="both"/>
              <w:rPr>
                <w:b/>
                <w:i/>
              </w:rPr>
            </w:pPr>
            <w:r>
              <w:rPr>
                <w:b/>
                <w:i/>
              </w:rPr>
              <w:t>Schedule 2 controlled drug</w:t>
            </w:r>
          </w:p>
        </w:tc>
        <w:tc>
          <w:tcPr>
            <w:tcW w:w="2381" w:type="dxa"/>
          </w:tcPr>
          <w:p w14:paraId="2FD031FB" w14:textId="77777777" w:rsidR="007F6DF7" w:rsidRDefault="002C4268">
            <w:pPr>
              <w:pStyle w:val="TableParagraph"/>
              <w:spacing w:before="53"/>
              <w:ind w:left="106"/>
              <w:rPr>
                <w:b/>
              </w:rPr>
            </w:pPr>
            <w:r>
              <w:rPr>
                <w:b/>
              </w:rPr>
              <w:t xml:space="preserve">Initial </w:t>
            </w:r>
            <w:proofErr w:type="spellStart"/>
            <w:r>
              <w:rPr>
                <w:b/>
              </w:rPr>
              <w:t>stabilisation</w:t>
            </w:r>
            <w:proofErr w:type="spellEnd"/>
            <w:r>
              <w:rPr>
                <w:b/>
              </w:rPr>
              <w:t>:</w:t>
            </w:r>
          </w:p>
          <w:p w14:paraId="611A3782" w14:textId="77777777" w:rsidR="007F6DF7" w:rsidRDefault="002C4268">
            <w:pPr>
              <w:pStyle w:val="TableParagraph"/>
              <w:spacing w:before="60"/>
              <w:ind w:left="106" w:right="113"/>
            </w:pPr>
            <w:r>
              <w:t>Initially 5 mg twice daily, dose should be increased according to response at intervals no shorter than 1 week.</w:t>
            </w:r>
          </w:p>
          <w:p w14:paraId="45D06173" w14:textId="77777777" w:rsidR="007F6DF7" w:rsidRDefault="007F6DF7">
            <w:pPr>
              <w:pStyle w:val="TableParagraph"/>
              <w:spacing w:before="10"/>
              <w:rPr>
                <w:sz w:val="31"/>
              </w:rPr>
            </w:pPr>
          </w:p>
          <w:p w14:paraId="66374FD8" w14:textId="77777777" w:rsidR="007F6DF7" w:rsidRDefault="002C4268">
            <w:pPr>
              <w:pStyle w:val="TableParagraph"/>
              <w:ind w:left="106" w:right="552"/>
            </w:pPr>
            <w:r>
              <w:rPr>
                <w:b/>
              </w:rPr>
              <w:t xml:space="preserve">Maintenance dose </w:t>
            </w:r>
            <w:r>
              <w:t xml:space="preserve">(following initial </w:t>
            </w:r>
            <w:proofErr w:type="spellStart"/>
            <w:r>
              <w:t>stabilisation</w:t>
            </w:r>
            <w:proofErr w:type="spellEnd"/>
            <w:r>
              <w:t>):</w:t>
            </w:r>
          </w:p>
          <w:p w14:paraId="72FEEDDA" w14:textId="77777777" w:rsidR="007F6DF7" w:rsidRDefault="002C4268">
            <w:pPr>
              <w:pStyle w:val="TableParagraph"/>
              <w:spacing w:before="61"/>
              <w:ind w:left="106" w:right="283"/>
            </w:pPr>
            <w:r>
              <w:t xml:space="preserve">Maximum 60 mg per day to be given in 2–4 divided </w:t>
            </w:r>
            <w:proofErr w:type="gramStart"/>
            <w:r>
              <w:t>doses;</w:t>
            </w:r>
            <w:proofErr w:type="gramEnd"/>
          </w:p>
        </w:tc>
      </w:tr>
      <w:tr w:rsidR="007F6DF7" w14:paraId="3D46ACD3" w14:textId="77777777">
        <w:trPr>
          <w:trHeight w:val="2119"/>
        </w:trPr>
        <w:tc>
          <w:tcPr>
            <w:tcW w:w="2072" w:type="dxa"/>
          </w:tcPr>
          <w:p w14:paraId="13FFB130" w14:textId="77777777" w:rsidR="007F6DF7" w:rsidRDefault="002C4268">
            <w:pPr>
              <w:pStyle w:val="TableParagraph"/>
              <w:spacing w:before="53"/>
              <w:ind w:left="108"/>
            </w:pPr>
            <w:r>
              <w:t>Atomoxetine</w:t>
            </w:r>
          </w:p>
          <w:p w14:paraId="533D3309" w14:textId="77777777" w:rsidR="007F6DF7" w:rsidRDefault="002C4268">
            <w:pPr>
              <w:pStyle w:val="TableParagraph"/>
              <w:spacing w:before="60"/>
              <w:ind w:left="108"/>
            </w:pPr>
            <w:r>
              <w:t>(2</w:t>
            </w:r>
            <w:r>
              <w:rPr>
                <w:vertAlign w:val="superscript"/>
              </w:rPr>
              <w:t>nd</w:t>
            </w:r>
            <w:r>
              <w:t xml:space="preserve"> line treatment)</w:t>
            </w:r>
          </w:p>
          <w:p w14:paraId="6DDBCDBD" w14:textId="77777777" w:rsidR="007F6DF7" w:rsidRDefault="002C4268">
            <w:pPr>
              <w:pStyle w:val="TableParagraph"/>
              <w:spacing w:before="61"/>
              <w:ind w:left="108" w:right="277"/>
            </w:pPr>
            <w:r>
              <w:t>Offer atomoxetine to adults if:</w:t>
            </w:r>
          </w:p>
          <w:p w14:paraId="2470B3F6" w14:textId="77777777" w:rsidR="007F6DF7" w:rsidRDefault="002C4268">
            <w:pPr>
              <w:pStyle w:val="TableParagraph"/>
              <w:numPr>
                <w:ilvl w:val="0"/>
                <w:numId w:val="14"/>
              </w:numPr>
              <w:tabs>
                <w:tab w:val="left" w:pos="269"/>
              </w:tabs>
              <w:spacing w:before="60" w:line="268" w:lineRule="exact"/>
              <w:ind w:hanging="160"/>
            </w:pPr>
            <w:r>
              <w:t>they</w:t>
            </w:r>
            <w:r>
              <w:rPr>
                <w:spacing w:val="-1"/>
              </w:rPr>
              <w:t xml:space="preserve"> </w:t>
            </w:r>
            <w:r>
              <w:t>cannot</w:t>
            </w:r>
          </w:p>
          <w:p w14:paraId="12B4B837" w14:textId="77777777" w:rsidR="007F6DF7" w:rsidRDefault="002C4268">
            <w:pPr>
              <w:pStyle w:val="TableParagraph"/>
              <w:spacing w:line="268" w:lineRule="exact"/>
              <w:ind w:left="108"/>
            </w:pPr>
            <w:r>
              <w:t>tolerate</w:t>
            </w:r>
          </w:p>
          <w:p w14:paraId="3A0BD346" w14:textId="77777777" w:rsidR="007F6DF7" w:rsidRDefault="002C4268">
            <w:pPr>
              <w:pStyle w:val="TableParagraph"/>
              <w:spacing w:line="255" w:lineRule="exact"/>
              <w:ind w:left="108"/>
            </w:pPr>
            <w:proofErr w:type="spellStart"/>
            <w:r>
              <w:t>lisdexamfetamine</w:t>
            </w:r>
            <w:proofErr w:type="spellEnd"/>
            <w:r>
              <w:t xml:space="preserve"> or</w:t>
            </w:r>
          </w:p>
        </w:tc>
        <w:tc>
          <w:tcPr>
            <w:tcW w:w="3455" w:type="dxa"/>
          </w:tcPr>
          <w:p w14:paraId="72B4EE3B" w14:textId="77777777" w:rsidR="007F6DF7" w:rsidRDefault="002C4268">
            <w:pPr>
              <w:pStyle w:val="TableParagraph"/>
              <w:spacing w:before="53"/>
              <w:ind w:left="109" w:right="252"/>
            </w:pPr>
            <w:r>
              <w:t>Atomoxetine hydrochloride hard capsules: 10 mg, 18 mg, 25 mg, 40</w:t>
            </w:r>
          </w:p>
          <w:p w14:paraId="22244A6B" w14:textId="77777777" w:rsidR="007F6DF7" w:rsidRDefault="002C4268">
            <w:pPr>
              <w:pStyle w:val="TableParagraph"/>
              <w:spacing w:before="1"/>
              <w:ind w:left="109"/>
            </w:pPr>
            <w:r>
              <w:t>mg, 60 mg, 80 mg, 100 mg</w:t>
            </w:r>
          </w:p>
          <w:p w14:paraId="65479D72" w14:textId="77777777" w:rsidR="007F6DF7" w:rsidRDefault="002C4268">
            <w:pPr>
              <w:pStyle w:val="TableParagraph"/>
              <w:spacing w:before="60"/>
              <w:ind w:left="109" w:right="562"/>
            </w:pPr>
            <w:r>
              <w:t>Atomoxetine hydrochloride 4 mg/mL sugar free oral solution</w:t>
            </w:r>
          </w:p>
          <w:p w14:paraId="07700F8F" w14:textId="77777777" w:rsidR="007F6DF7" w:rsidRDefault="007F6DF7">
            <w:pPr>
              <w:pStyle w:val="TableParagraph"/>
              <w:spacing w:before="9"/>
              <w:rPr>
                <w:sz w:val="31"/>
              </w:rPr>
            </w:pPr>
          </w:p>
          <w:p w14:paraId="71119F10" w14:textId="77777777" w:rsidR="007F6DF7" w:rsidRDefault="002C4268">
            <w:pPr>
              <w:pStyle w:val="TableParagraph"/>
              <w:spacing w:line="255" w:lineRule="exact"/>
              <w:ind w:left="109"/>
              <w:rPr>
                <w:b/>
              </w:rPr>
            </w:pPr>
            <w:r>
              <w:rPr>
                <w:b/>
              </w:rPr>
              <w:t>Administration:</w:t>
            </w:r>
          </w:p>
        </w:tc>
        <w:tc>
          <w:tcPr>
            <w:tcW w:w="1479" w:type="dxa"/>
          </w:tcPr>
          <w:p w14:paraId="4C1018E8" w14:textId="77777777" w:rsidR="007F6DF7" w:rsidRDefault="002C4268">
            <w:pPr>
              <w:pStyle w:val="TableParagraph"/>
              <w:spacing w:before="53"/>
              <w:ind w:left="106" w:right="80"/>
            </w:pPr>
            <w:r>
              <w:t>Selective noradrenaline reuptake inhibitor</w:t>
            </w:r>
          </w:p>
          <w:p w14:paraId="20984BEF" w14:textId="77777777" w:rsidR="007F6DF7" w:rsidRDefault="002C4268">
            <w:pPr>
              <w:pStyle w:val="TableParagraph"/>
              <w:spacing w:before="61"/>
              <w:ind w:left="106" w:right="418"/>
              <w:rPr>
                <w:b/>
              </w:rPr>
            </w:pPr>
            <w:r>
              <w:rPr>
                <w:b/>
              </w:rPr>
              <w:t>(</w:t>
            </w:r>
            <w:r>
              <w:rPr>
                <w:b/>
                <w:i/>
              </w:rPr>
              <w:t>not a controlled drug</w:t>
            </w:r>
            <w:r>
              <w:rPr>
                <w:b/>
              </w:rPr>
              <w:t>)</w:t>
            </w:r>
          </w:p>
        </w:tc>
        <w:tc>
          <w:tcPr>
            <w:tcW w:w="2381" w:type="dxa"/>
          </w:tcPr>
          <w:p w14:paraId="0DA5C686" w14:textId="77777777" w:rsidR="007F6DF7" w:rsidRDefault="002C4268">
            <w:pPr>
              <w:pStyle w:val="TableParagraph"/>
              <w:spacing w:before="53"/>
              <w:ind w:left="106"/>
              <w:rPr>
                <w:b/>
              </w:rPr>
            </w:pPr>
            <w:r>
              <w:rPr>
                <w:b/>
              </w:rPr>
              <w:t xml:space="preserve">Initial </w:t>
            </w:r>
            <w:proofErr w:type="spellStart"/>
            <w:r>
              <w:rPr>
                <w:b/>
              </w:rPr>
              <w:t>stabilisation</w:t>
            </w:r>
            <w:proofErr w:type="spellEnd"/>
            <w:r>
              <w:rPr>
                <w:b/>
              </w:rPr>
              <w:t>:</w:t>
            </w:r>
          </w:p>
          <w:p w14:paraId="2BBDCD16" w14:textId="77777777" w:rsidR="007F6DF7" w:rsidRDefault="002C4268">
            <w:pPr>
              <w:pStyle w:val="TableParagraph"/>
              <w:numPr>
                <w:ilvl w:val="0"/>
                <w:numId w:val="13"/>
              </w:numPr>
              <w:tabs>
                <w:tab w:val="left" w:pos="826"/>
                <w:tab w:val="left" w:pos="827"/>
              </w:tabs>
              <w:spacing w:before="60"/>
              <w:ind w:right="114" w:firstLine="0"/>
            </w:pPr>
            <w:r>
              <w:t xml:space="preserve">Adults </w:t>
            </w:r>
            <w:r>
              <w:rPr>
                <w:spacing w:val="-3"/>
              </w:rPr>
              <w:t xml:space="preserve">weighing </w:t>
            </w:r>
            <w:r>
              <w:t>70 kg or above: 40 mg daily for at least 7</w:t>
            </w:r>
            <w:r>
              <w:rPr>
                <w:spacing w:val="-7"/>
              </w:rPr>
              <w:t xml:space="preserve"> </w:t>
            </w:r>
            <w:proofErr w:type="gramStart"/>
            <w:r>
              <w:t>days</w:t>
            </w:r>
            <w:proofErr w:type="gramEnd"/>
          </w:p>
          <w:p w14:paraId="2B7186A2" w14:textId="77777777" w:rsidR="007F6DF7" w:rsidRDefault="002C4268">
            <w:pPr>
              <w:pStyle w:val="TableParagraph"/>
              <w:numPr>
                <w:ilvl w:val="0"/>
                <w:numId w:val="13"/>
              </w:numPr>
              <w:tabs>
                <w:tab w:val="left" w:pos="826"/>
                <w:tab w:val="left" w:pos="827"/>
              </w:tabs>
              <w:spacing w:before="61"/>
              <w:ind w:right="114" w:firstLine="0"/>
            </w:pPr>
            <w:r>
              <w:t xml:space="preserve">Adults </w:t>
            </w:r>
            <w:r>
              <w:rPr>
                <w:spacing w:val="-3"/>
              </w:rPr>
              <w:t xml:space="preserve">weighing </w:t>
            </w:r>
            <w:r>
              <w:t>up to 70 kg: 500 micrograms/kg daily</w:t>
            </w:r>
            <w:r>
              <w:rPr>
                <w:spacing w:val="-5"/>
              </w:rPr>
              <w:t xml:space="preserve"> </w:t>
            </w:r>
            <w:r>
              <w:t>for</w:t>
            </w:r>
          </w:p>
        </w:tc>
      </w:tr>
    </w:tbl>
    <w:p w14:paraId="5B60E86D" w14:textId="77777777" w:rsidR="007F6DF7" w:rsidRDefault="007F6DF7">
      <w:pPr>
        <w:sectPr w:rsidR="007F6DF7">
          <w:headerReference w:type="default" r:id="rId33"/>
          <w:pgSz w:w="11910" w:h="16840"/>
          <w:pgMar w:top="1120" w:right="720" w:bottom="1780" w:left="400" w:header="0" w:footer="1595"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3455"/>
        <w:gridCol w:w="1479"/>
        <w:gridCol w:w="2381"/>
      </w:tblGrid>
      <w:tr w:rsidR="007F6DF7" w14:paraId="17680734" w14:textId="77777777">
        <w:trPr>
          <w:trHeight w:val="13706"/>
        </w:trPr>
        <w:tc>
          <w:tcPr>
            <w:tcW w:w="2072" w:type="dxa"/>
          </w:tcPr>
          <w:p w14:paraId="2FC18C45" w14:textId="77777777" w:rsidR="007F6DF7" w:rsidRDefault="002C4268">
            <w:pPr>
              <w:pStyle w:val="TableParagraph"/>
              <w:spacing w:line="264" w:lineRule="exact"/>
              <w:ind w:left="108"/>
            </w:pPr>
            <w:r>
              <w:lastRenderedPageBreak/>
              <w:t>methylphenidate or</w:t>
            </w:r>
          </w:p>
          <w:p w14:paraId="2F2EF168" w14:textId="77777777" w:rsidR="007F6DF7" w:rsidRDefault="002C4268">
            <w:pPr>
              <w:pStyle w:val="TableParagraph"/>
              <w:numPr>
                <w:ilvl w:val="0"/>
                <w:numId w:val="12"/>
              </w:numPr>
              <w:tabs>
                <w:tab w:val="left" w:pos="269"/>
              </w:tabs>
              <w:spacing w:before="58"/>
              <w:ind w:right="153" w:firstLine="0"/>
            </w:pPr>
            <w:r>
              <w:t xml:space="preserve">their symptoms have not </w:t>
            </w:r>
            <w:r>
              <w:rPr>
                <w:spacing w:val="-3"/>
              </w:rPr>
              <w:t xml:space="preserve">responded </w:t>
            </w:r>
            <w:r>
              <w:t>to separate 6-week trials of</w:t>
            </w:r>
          </w:p>
          <w:p w14:paraId="36F0016B" w14:textId="77777777" w:rsidR="007F6DF7" w:rsidRDefault="002C4268">
            <w:pPr>
              <w:pStyle w:val="TableParagraph"/>
              <w:spacing w:before="61"/>
              <w:ind w:left="108" w:right="306"/>
            </w:pPr>
            <w:proofErr w:type="spellStart"/>
            <w:r>
              <w:t>lisdexamfetamine</w:t>
            </w:r>
            <w:proofErr w:type="spellEnd"/>
            <w:r>
              <w:t xml:space="preserve"> and methylphenidate, having considered </w:t>
            </w:r>
            <w:proofErr w:type="gramStart"/>
            <w:r>
              <w:t>alternative</w:t>
            </w:r>
            <w:proofErr w:type="gramEnd"/>
          </w:p>
          <w:p w14:paraId="30732928" w14:textId="77777777" w:rsidR="007F6DF7" w:rsidRDefault="002C4268">
            <w:pPr>
              <w:pStyle w:val="TableParagraph"/>
              <w:spacing w:before="63" w:line="237" w:lineRule="auto"/>
              <w:ind w:left="108" w:right="401"/>
            </w:pPr>
            <w:r>
              <w:t>preparations and adequate doses.</w:t>
            </w:r>
          </w:p>
        </w:tc>
        <w:tc>
          <w:tcPr>
            <w:tcW w:w="3455" w:type="dxa"/>
          </w:tcPr>
          <w:p w14:paraId="4CFEC1B7" w14:textId="77777777" w:rsidR="007F6DF7" w:rsidRDefault="002C4268">
            <w:pPr>
              <w:pStyle w:val="TableParagraph"/>
              <w:spacing w:before="56"/>
              <w:ind w:left="109" w:right="271"/>
            </w:pPr>
            <w:r>
              <w:t>Atomoxetine can be taken with or without food.</w:t>
            </w:r>
          </w:p>
          <w:p w14:paraId="645A6FAE" w14:textId="77777777" w:rsidR="007F6DF7" w:rsidRDefault="007F6DF7">
            <w:pPr>
              <w:pStyle w:val="TableParagraph"/>
              <w:spacing w:before="8"/>
              <w:rPr>
                <w:sz w:val="31"/>
              </w:rPr>
            </w:pPr>
          </w:p>
          <w:p w14:paraId="7C7B5D1E" w14:textId="77777777" w:rsidR="007F6DF7" w:rsidRDefault="002C4268">
            <w:pPr>
              <w:pStyle w:val="TableParagraph"/>
              <w:ind w:left="109" w:right="210"/>
            </w:pPr>
            <w:r>
              <w:t>Capsules should not be opened for administration: risk of irritation.</w:t>
            </w:r>
          </w:p>
          <w:p w14:paraId="23B05238" w14:textId="77777777" w:rsidR="007F6DF7" w:rsidRDefault="007F6DF7">
            <w:pPr>
              <w:pStyle w:val="TableParagraph"/>
              <w:spacing w:before="11"/>
              <w:rPr>
                <w:sz w:val="31"/>
              </w:rPr>
            </w:pPr>
          </w:p>
          <w:p w14:paraId="3E4EEDCF" w14:textId="77777777" w:rsidR="007F6DF7" w:rsidRDefault="002C4268">
            <w:pPr>
              <w:pStyle w:val="TableParagraph"/>
              <w:ind w:left="109" w:right="181"/>
            </w:pPr>
            <w:r>
              <w:t>Oral solution should not be mixed with food or water; it can prevent the full dose being administered and can negatively affect the taste.</w:t>
            </w:r>
          </w:p>
          <w:p w14:paraId="7505F244" w14:textId="77777777" w:rsidR="007F6DF7" w:rsidRDefault="007F6DF7">
            <w:pPr>
              <w:pStyle w:val="TableParagraph"/>
              <w:spacing w:before="9"/>
              <w:rPr>
                <w:sz w:val="31"/>
              </w:rPr>
            </w:pPr>
          </w:p>
          <w:p w14:paraId="002C1344" w14:textId="77777777" w:rsidR="007F6DF7" w:rsidRDefault="002C4268">
            <w:pPr>
              <w:pStyle w:val="TableParagraph"/>
              <w:ind w:left="109" w:right="101"/>
            </w:pPr>
            <w:r>
              <w:t>If a dose is missed then take it as soon as possible, but no later than the early evening. Do not take more than the usual total daily dose in any 24-hour period. A double dose should not be taken to make up for a missed dose.</w:t>
            </w:r>
          </w:p>
          <w:p w14:paraId="35EBD538" w14:textId="77777777" w:rsidR="007F6DF7" w:rsidRDefault="007F6DF7">
            <w:pPr>
              <w:pStyle w:val="TableParagraph"/>
              <w:spacing w:before="1"/>
              <w:rPr>
                <w:sz w:val="32"/>
              </w:rPr>
            </w:pPr>
          </w:p>
          <w:p w14:paraId="335FA40E" w14:textId="77777777" w:rsidR="007F6DF7" w:rsidRDefault="002C4268">
            <w:pPr>
              <w:pStyle w:val="TableParagraph"/>
              <w:ind w:left="109" w:right="968"/>
              <w:rPr>
                <w:b/>
              </w:rPr>
            </w:pPr>
            <w:r>
              <w:rPr>
                <w:b/>
              </w:rPr>
              <w:t>Conditions requiring dose adjustment:</w:t>
            </w:r>
          </w:p>
          <w:p w14:paraId="772585B9" w14:textId="77777777" w:rsidR="007F6DF7" w:rsidRDefault="002C4268">
            <w:pPr>
              <w:pStyle w:val="TableParagraph"/>
              <w:spacing w:before="58"/>
              <w:ind w:left="109"/>
            </w:pPr>
            <w:r>
              <w:t>Hepatic insufficiency:</w:t>
            </w:r>
          </w:p>
          <w:p w14:paraId="758805D6" w14:textId="77777777" w:rsidR="007F6DF7" w:rsidRDefault="002C4268">
            <w:pPr>
              <w:pStyle w:val="TableParagraph"/>
              <w:numPr>
                <w:ilvl w:val="0"/>
                <w:numId w:val="11"/>
              </w:numPr>
              <w:tabs>
                <w:tab w:val="left" w:pos="830"/>
                <w:tab w:val="left" w:pos="831"/>
              </w:tabs>
              <w:spacing w:before="60"/>
              <w:ind w:right="196" w:firstLine="0"/>
            </w:pPr>
            <w:r>
              <w:t xml:space="preserve">moderate hepatic insufficiency (Child-Pugh Class B) </w:t>
            </w:r>
            <w:proofErr w:type="gramStart"/>
            <w:r>
              <w:t>reduce</w:t>
            </w:r>
            <w:proofErr w:type="gramEnd"/>
            <w:r>
              <w:t xml:space="preserve"> starting and target doses to 50% of usual dose (reduce dose by half, i.e. starting dose should be 20mg daily, and total daily dose should not exceed 50mg</w:t>
            </w:r>
            <w:r>
              <w:rPr>
                <w:spacing w:val="-10"/>
              </w:rPr>
              <w:t xml:space="preserve"> </w:t>
            </w:r>
            <w:r>
              <w:t>daily).</w:t>
            </w:r>
          </w:p>
          <w:p w14:paraId="7E54D7DA" w14:textId="77777777" w:rsidR="007F6DF7" w:rsidRDefault="002C4268">
            <w:pPr>
              <w:pStyle w:val="TableParagraph"/>
              <w:numPr>
                <w:ilvl w:val="0"/>
                <w:numId w:val="11"/>
              </w:numPr>
              <w:tabs>
                <w:tab w:val="left" w:pos="830"/>
                <w:tab w:val="left" w:pos="831"/>
              </w:tabs>
              <w:spacing w:before="62"/>
              <w:ind w:right="146" w:firstLine="0"/>
            </w:pPr>
            <w:r>
              <w:t xml:space="preserve">severe hepatic insufficiency (Child-Pugh Class C) </w:t>
            </w:r>
            <w:proofErr w:type="gramStart"/>
            <w:r>
              <w:t>reduce</w:t>
            </w:r>
            <w:proofErr w:type="gramEnd"/>
            <w:r>
              <w:t xml:space="preserve"> starting and target doses to 25% of usual dose (reduce dose by three quarters, i.e. starting dose should be 10mg daily, and total daily dose should not exceed 25mg</w:t>
            </w:r>
            <w:r>
              <w:rPr>
                <w:spacing w:val="-10"/>
              </w:rPr>
              <w:t xml:space="preserve"> </w:t>
            </w:r>
            <w:r>
              <w:t>daily).</w:t>
            </w:r>
          </w:p>
          <w:p w14:paraId="17E9C2CE" w14:textId="77777777" w:rsidR="007F6DF7" w:rsidRDefault="007F6DF7">
            <w:pPr>
              <w:pStyle w:val="TableParagraph"/>
              <w:spacing w:before="10"/>
              <w:rPr>
                <w:sz w:val="31"/>
              </w:rPr>
            </w:pPr>
          </w:p>
          <w:p w14:paraId="7DE30F01" w14:textId="77777777" w:rsidR="007F6DF7" w:rsidRDefault="002C4268">
            <w:pPr>
              <w:pStyle w:val="TableParagraph"/>
              <w:spacing w:before="1"/>
              <w:ind w:left="109"/>
            </w:pPr>
            <w:r>
              <w:t>Renal insufficiency:</w:t>
            </w:r>
          </w:p>
          <w:p w14:paraId="0AC3A615" w14:textId="77777777" w:rsidR="007F6DF7" w:rsidRDefault="002C4268">
            <w:pPr>
              <w:pStyle w:val="TableParagraph"/>
              <w:spacing w:before="60"/>
              <w:ind w:left="109" w:right="93"/>
            </w:pPr>
            <w:r>
              <w:t xml:space="preserve">No adjustment is </w:t>
            </w:r>
            <w:proofErr w:type="gramStart"/>
            <w:r>
              <w:t>necessary, but</w:t>
            </w:r>
            <w:proofErr w:type="gramEnd"/>
            <w:r>
              <w:t xml:space="preserve"> be aware that atomoxetine may exacerbate hypertension in patients with end stage renal disease.</w:t>
            </w:r>
          </w:p>
          <w:p w14:paraId="0EC72BE7" w14:textId="77777777" w:rsidR="007F6DF7" w:rsidRDefault="007F6DF7">
            <w:pPr>
              <w:pStyle w:val="TableParagraph"/>
              <w:spacing w:before="9"/>
              <w:rPr>
                <w:sz w:val="31"/>
              </w:rPr>
            </w:pPr>
          </w:p>
          <w:p w14:paraId="09EC0035" w14:textId="77777777" w:rsidR="007F6DF7" w:rsidRDefault="002C4268">
            <w:pPr>
              <w:pStyle w:val="TableParagraph"/>
              <w:ind w:left="109" w:right="358"/>
            </w:pPr>
            <w:r>
              <w:t xml:space="preserve">Known CYP2D6 poor </w:t>
            </w:r>
            <w:proofErr w:type="spellStart"/>
            <w:r>
              <w:t>metaboliser</w:t>
            </w:r>
            <w:proofErr w:type="spellEnd"/>
            <w:r>
              <w:t xml:space="preserve"> genotype:</w:t>
            </w:r>
          </w:p>
          <w:p w14:paraId="3DD0A913" w14:textId="77777777" w:rsidR="007F6DF7" w:rsidRDefault="002C4268">
            <w:pPr>
              <w:pStyle w:val="TableParagraph"/>
              <w:spacing w:before="59" w:line="270" w:lineRule="atLeast"/>
              <w:ind w:left="109" w:right="278"/>
            </w:pPr>
            <w:r>
              <w:t>Due to several-fold increase in atomoxetine exposure, consider a</w:t>
            </w:r>
          </w:p>
        </w:tc>
        <w:tc>
          <w:tcPr>
            <w:tcW w:w="1479" w:type="dxa"/>
          </w:tcPr>
          <w:p w14:paraId="08F3241C" w14:textId="77777777" w:rsidR="007F6DF7" w:rsidRDefault="007F6DF7">
            <w:pPr>
              <w:pStyle w:val="TableParagraph"/>
              <w:rPr>
                <w:rFonts w:ascii="Times New Roman"/>
                <w:sz w:val="20"/>
              </w:rPr>
            </w:pPr>
          </w:p>
        </w:tc>
        <w:tc>
          <w:tcPr>
            <w:tcW w:w="2381" w:type="dxa"/>
          </w:tcPr>
          <w:p w14:paraId="72BCF05B" w14:textId="77777777" w:rsidR="007F6DF7" w:rsidRDefault="002C4268">
            <w:pPr>
              <w:pStyle w:val="TableParagraph"/>
              <w:spacing w:line="264" w:lineRule="exact"/>
              <w:ind w:left="106"/>
            </w:pPr>
            <w:r>
              <w:t>at least 7 days</w:t>
            </w:r>
          </w:p>
          <w:p w14:paraId="555DB703" w14:textId="77777777" w:rsidR="007F6DF7" w:rsidRDefault="002C4268">
            <w:pPr>
              <w:pStyle w:val="TableParagraph"/>
              <w:spacing w:before="58"/>
              <w:ind w:left="106" w:right="145"/>
            </w:pPr>
            <w:r>
              <w:t>Then titrated according to clinical response and tolerability. Total daily dose may be given as a single dose in the morning or in two equally divided doses, with the last dose no later than the early evening.</w:t>
            </w:r>
          </w:p>
          <w:p w14:paraId="0742D3EC" w14:textId="77777777" w:rsidR="007F6DF7" w:rsidRDefault="002C4268">
            <w:pPr>
              <w:pStyle w:val="TableParagraph"/>
              <w:spacing w:before="60"/>
              <w:ind w:left="106"/>
              <w:rPr>
                <w:b/>
              </w:rPr>
            </w:pPr>
            <w:r>
              <w:rPr>
                <w:b/>
              </w:rPr>
              <w:t>Maintenance dose</w:t>
            </w:r>
          </w:p>
          <w:p w14:paraId="29C8B271" w14:textId="77777777" w:rsidR="007F6DF7" w:rsidRDefault="002C4268">
            <w:pPr>
              <w:pStyle w:val="TableParagraph"/>
              <w:spacing w:before="60"/>
              <w:ind w:left="106" w:right="804"/>
            </w:pPr>
            <w:r>
              <w:t xml:space="preserve">(following initial </w:t>
            </w:r>
            <w:proofErr w:type="spellStart"/>
            <w:r>
              <w:t>stabilisation</w:t>
            </w:r>
            <w:proofErr w:type="spellEnd"/>
            <w:r>
              <w:t>):</w:t>
            </w:r>
          </w:p>
          <w:p w14:paraId="13726B40" w14:textId="77777777" w:rsidR="007F6DF7" w:rsidRDefault="002C4268">
            <w:pPr>
              <w:pStyle w:val="TableParagraph"/>
              <w:numPr>
                <w:ilvl w:val="0"/>
                <w:numId w:val="10"/>
              </w:numPr>
              <w:tabs>
                <w:tab w:val="left" w:pos="826"/>
                <w:tab w:val="left" w:pos="827"/>
              </w:tabs>
              <w:spacing w:before="61"/>
              <w:ind w:right="114" w:firstLine="0"/>
            </w:pPr>
            <w:r>
              <w:t xml:space="preserve">Adults </w:t>
            </w:r>
            <w:r>
              <w:rPr>
                <w:spacing w:val="-3"/>
              </w:rPr>
              <w:t xml:space="preserve">weighing </w:t>
            </w:r>
            <w:r>
              <w:t>70 kg or above: 80 mg to 100 mg daily in a single dose, or in two equally divided doses, as above.</w:t>
            </w:r>
          </w:p>
          <w:p w14:paraId="278933B1" w14:textId="77777777" w:rsidR="007F6DF7" w:rsidRDefault="007F6DF7">
            <w:pPr>
              <w:pStyle w:val="TableParagraph"/>
              <w:spacing w:before="10"/>
              <w:rPr>
                <w:sz w:val="31"/>
              </w:rPr>
            </w:pPr>
          </w:p>
          <w:p w14:paraId="5590E50A" w14:textId="77777777" w:rsidR="007F6DF7" w:rsidRDefault="002C4268">
            <w:pPr>
              <w:pStyle w:val="TableParagraph"/>
              <w:ind w:left="106" w:right="141"/>
            </w:pPr>
            <w:r>
              <w:t xml:space="preserve">Usual </w:t>
            </w:r>
            <w:r>
              <w:rPr>
                <w:b/>
              </w:rPr>
              <w:t xml:space="preserve">maximum </w:t>
            </w:r>
            <w:r>
              <w:t>total daily dose is 100 mg. Higher doses, up to a maximum of 120 mg, are ‘off-label’ and must be given under the direction of a</w:t>
            </w:r>
            <w:r>
              <w:rPr>
                <w:spacing w:val="-12"/>
              </w:rPr>
              <w:t xml:space="preserve"> </w:t>
            </w:r>
            <w:r>
              <w:t>specialist.</w:t>
            </w:r>
          </w:p>
          <w:p w14:paraId="32AFA55F" w14:textId="77777777" w:rsidR="007F6DF7" w:rsidRDefault="002C4268">
            <w:pPr>
              <w:pStyle w:val="TableParagraph"/>
              <w:numPr>
                <w:ilvl w:val="0"/>
                <w:numId w:val="10"/>
              </w:numPr>
              <w:tabs>
                <w:tab w:val="left" w:pos="826"/>
                <w:tab w:val="left" w:pos="827"/>
              </w:tabs>
              <w:spacing w:before="62"/>
              <w:ind w:right="114" w:firstLine="0"/>
            </w:pPr>
            <w:r>
              <w:t xml:space="preserve">Adults </w:t>
            </w:r>
            <w:r>
              <w:rPr>
                <w:spacing w:val="-3"/>
              </w:rPr>
              <w:t xml:space="preserve">weighing </w:t>
            </w:r>
            <w:r>
              <w:t xml:space="preserve">up to 70 kg: up to 1.2 mg/kg daily in a single dose, or in two equally divided doses, as above. Usual </w:t>
            </w:r>
            <w:r>
              <w:rPr>
                <w:b/>
              </w:rPr>
              <w:t xml:space="preserve">maximum </w:t>
            </w:r>
            <w:r>
              <w:t>total daily dose is 1.8 mg/kg daily. Higher doses, up to a maximum of 120 mg, are ‘off-label’ and must be given under the direction of a</w:t>
            </w:r>
            <w:r>
              <w:rPr>
                <w:spacing w:val="-11"/>
              </w:rPr>
              <w:t xml:space="preserve"> </w:t>
            </w:r>
            <w:r>
              <w:t>specialist.</w:t>
            </w:r>
          </w:p>
        </w:tc>
      </w:tr>
    </w:tbl>
    <w:p w14:paraId="0CE919A1" w14:textId="77777777" w:rsidR="007F6DF7" w:rsidRDefault="007F6DF7">
      <w:pPr>
        <w:sectPr w:rsidR="007F6DF7">
          <w:headerReference w:type="default" r:id="rId34"/>
          <w:pgSz w:w="11910" w:h="16840"/>
          <w:pgMar w:top="1120" w:right="720" w:bottom="1780" w:left="400" w:header="0" w:footer="1595"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3455"/>
        <w:gridCol w:w="1479"/>
        <w:gridCol w:w="2381"/>
      </w:tblGrid>
      <w:tr w:rsidR="007F6DF7" w14:paraId="0E8D5FBB" w14:textId="77777777">
        <w:trPr>
          <w:trHeight w:val="1247"/>
        </w:trPr>
        <w:tc>
          <w:tcPr>
            <w:tcW w:w="2072" w:type="dxa"/>
          </w:tcPr>
          <w:p w14:paraId="6588F0C1" w14:textId="77777777" w:rsidR="007F6DF7" w:rsidRDefault="007F6DF7">
            <w:pPr>
              <w:pStyle w:val="TableParagraph"/>
              <w:rPr>
                <w:rFonts w:ascii="Times New Roman"/>
                <w:sz w:val="20"/>
              </w:rPr>
            </w:pPr>
          </w:p>
        </w:tc>
        <w:tc>
          <w:tcPr>
            <w:tcW w:w="3455" w:type="dxa"/>
          </w:tcPr>
          <w:p w14:paraId="51890FF4" w14:textId="77777777" w:rsidR="007F6DF7" w:rsidRDefault="002C4268">
            <w:pPr>
              <w:pStyle w:val="TableParagraph"/>
              <w:spacing w:line="237" w:lineRule="auto"/>
              <w:ind w:left="109" w:right="214"/>
            </w:pPr>
            <w:r>
              <w:t>lower starting dose and slower up- titration.</w:t>
            </w:r>
          </w:p>
        </w:tc>
        <w:tc>
          <w:tcPr>
            <w:tcW w:w="1479" w:type="dxa"/>
          </w:tcPr>
          <w:p w14:paraId="1235D671" w14:textId="77777777" w:rsidR="007F6DF7" w:rsidRDefault="007F6DF7">
            <w:pPr>
              <w:pStyle w:val="TableParagraph"/>
              <w:rPr>
                <w:rFonts w:ascii="Times New Roman"/>
                <w:sz w:val="20"/>
              </w:rPr>
            </w:pPr>
          </w:p>
        </w:tc>
        <w:tc>
          <w:tcPr>
            <w:tcW w:w="2381" w:type="dxa"/>
          </w:tcPr>
          <w:p w14:paraId="36705583" w14:textId="77777777" w:rsidR="007F6DF7" w:rsidRDefault="007F6DF7">
            <w:pPr>
              <w:pStyle w:val="TableParagraph"/>
              <w:rPr>
                <w:rFonts w:ascii="Times New Roman"/>
                <w:sz w:val="20"/>
              </w:rPr>
            </w:pPr>
          </w:p>
        </w:tc>
      </w:tr>
    </w:tbl>
    <w:p w14:paraId="609E33F1" w14:textId="77777777" w:rsidR="007F6DF7" w:rsidRDefault="007F6DF7">
      <w:pPr>
        <w:pStyle w:val="BodyText"/>
        <w:spacing w:before="6"/>
        <w:rPr>
          <w:sz w:val="26"/>
        </w:rPr>
      </w:pPr>
    </w:p>
    <w:p w14:paraId="303B886E" w14:textId="77777777" w:rsidR="007F6DF7" w:rsidRDefault="002C4268">
      <w:pPr>
        <w:pStyle w:val="BodyText"/>
        <w:spacing w:before="56"/>
        <w:ind w:left="733" w:right="713"/>
        <w:jc w:val="both"/>
      </w:pPr>
      <w:r>
        <w:rPr>
          <w:b/>
        </w:rPr>
        <w:t>Guanfacine (</w:t>
      </w:r>
      <w:proofErr w:type="spellStart"/>
      <w:r>
        <w:rPr>
          <w:b/>
        </w:rPr>
        <w:t>Intuniv</w:t>
      </w:r>
      <w:proofErr w:type="spellEnd"/>
      <w:r>
        <w:rPr>
          <w:b/>
        </w:rPr>
        <w:t>®)</w:t>
      </w:r>
      <w:r>
        <w:t xml:space="preserve">: is a </w:t>
      </w:r>
      <w:proofErr w:type="gramStart"/>
      <w:r>
        <w:t>centrally-acting</w:t>
      </w:r>
      <w:proofErr w:type="gramEnd"/>
      <w:r>
        <w:t xml:space="preserve"> adrenergic medicine indicated for the treatment of ADHD in children and adolescents. Use in adults is ‘off-label’. It may be recommended for people who have </w:t>
      </w:r>
      <w:r>
        <w:rPr>
          <w:spacing w:val="-2"/>
        </w:rPr>
        <w:t xml:space="preserve">not </w:t>
      </w:r>
      <w:r>
        <w:t xml:space="preserve">responded to one or more stimulants, and one non-stimulant (see </w:t>
      </w:r>
      <w:hyperlink r:id="rId35">
        <w:r>
          <w:rPr>
            <w:color w:val="0000FF"/>
            <w:u w:val="single" w:color="0000FF"/>
          </w:rPr>
          <w:t>NICE Guidance NG87 Attention</w:t>
        </w:r>
      </w:hyperlink>
      <w:r>
        <w:rPr>
          <w:color w:val="0000FF"/>
        </w:rPr>
        <w:t xml:space="preserve">  </w:t>
      </w:r>
      <w:hyperlink r:id="rId36">
        <w:r>
          <w:rPr>
            <w:color w:val="0000FF"/>
            <w:u w:val="single" w:color="0000FF"/>
          </w:rPr>
          <w:t>deficit hyperactivity disorder: diagnosis and management</w:t>
        </w:r>
      </w:hyperlink>
      <w:r>
        <w:t>). Guanfacine is currently not approved in the local formulary for adults and requires prescribing under non-formulary prescribing</w:t>
      </w:r>
      <w:r>
        <w:rPr>
          <w:spacing w:val="-12"/>
        </w:rPr>
        <w:t xml:space="preserve"> </w:t>
      </w:r>
      <w:r>
        <w:t>protocols.</w:t>
      </w:r>
    </w:p>
    <w:p w14:paraId="76EDC2AB" w14:textId="77777777" w:rsidR="007F6DF7" w:rsidRDefault="007F6DF7">
      <w:pPr>
        <w:pStyle w:val="BodyText"/>
        <w:rPr>
          <w:sz w:val="32"/>
        </w:rPr>
      </w:pPr>
    </w:p>
    <w:p w14:paraId="1A520ABE" w14:textId="77777777" w:rsidR="007F6DF7" w:rsidRDefault="002C4268">
      <w:pPr>
        <w:pStyle w:val="BodyText"/>
        <w:ind w:left="733" w:right="715"/>
        <w:jc w:val="both"/>
      </w:pPr>
      <w:r>
        <w:rPr>
          <w:b/>
        </w:rPr>
        <w:t>Further medication choices and combination prescribing</w:t>
      </w:r>
      <w:r>
        <w:t>: There was not enough evidence to justify specific recommendations for other drugs, above maximum BNF doses, or combination treatments, after at least one stimulant and non-stimulant had been tried. The specialist should obtain a second opinion or refer to a tertiary service. Non-formulary and off label prescribing must have approval through the secondary care non-formulary</w:t>
      </w:r>
      <w:r>
        <w:rPr>
          <w:spacing w:val="-5"/>
        </w:rPr>
        <w:t xml:space="preserve"> </w:t>
      </w:r>
      <w:r>
        <w:t>process.</w:t>
      </w:r>
    </w:p>
    <w:p w14:paraId="5872CECC" w14:textId="77777777" w:rsidR="007F6DF7" w:rsidRDefault="007F6DF7">
      <w:pPr>
        <w:pStyle w:val="BodyText"/>
        <w:spacing w:before="9"/>
        <w:rPr>
          <w:sz w:val="31"/>
        </w:rPr>
      </w:pPr>
    </w:p>
    <w:p w14:paraId="477455A8" w14:textId="77777777" w:rsidR="007F6DF7" w:rsidRDefault="002C4268">
      <w:pPr>
        <w:pStyle w:val="Heading3"/>
        <w:spacing w:before="1"/>
        <w:jc w:val="both"/>
      </w:pPr>
      <w:r>
        <w:t>Prescribing Schedule 2 Controlled Drugs (CDs):</w:t>
      </w:r>
    </w:p>
    <w:p w14:paraId="5506D6EF" w14:textId="77777777" w:rsidR="007F6DF7" w:rsidRDefault="002C4268">
      <w:pPr>
        <w:pStyle w:val="BodyText"/>
        <w:spacing w:before="60"/>
        <w:ind w:left="733" w:right="713"/>
        <w:jc w:val="both"/>
      </w:pPr>
      <w:r>
        <w:t xml:space="preserve">Methylphenidate, </w:t>
      </w:r>
      <w:proofErr w:type="spellStart"/>
      <w:r>
        <w:t>lisdexamfetamine</w:t>
      </w:r>
      <w:proofErr w:type="spellEnd"/>
      <w:r>
        <w:t xml:space="preserve"> and </w:t>
      </w:r>
      <w:proofErr w:type="spellStart"/>
      <w:r>
        <w:t>dexamfetamine</w:t>
      </w:r>
      <w:proofErr w:type="spellEnd"/>
      <w:r>
        <w:t xml:space="preserve"> (including all brand preparations) are Schedule 2 CDs and hence subject to prescription requirements i.e. must be indelible, signed by the prescriber, be </w:t>
      </w:r>
      <w:proofErr w:type="gramStart"/>
      <w:r>
        <w:t>dated</w:t>
      </w:r>
      <w:proofErr w:type="gramEnd"/>
      <w:r>
        <w:t xml:space="preserve"> and specify the prescriber’s address. The prescription must always state:</w:t>
      </w:r>
    </w:p>
    <w:p w14:paraId="027084EA" w14:textId="77777777" w:rsidR="007F6DF7" w:rsidRDefault="002C4268">
      <w:pPr>
        <w:pStyle w:val="ListParagraph"/>
        <w:numPr>
          <w:ilvl w:val="1"/>
          <w:numId w:val="19"/>
        </w:numPr>
        <w:tabs>
          <w:tab w:val="left" w:pos="1453"/>
          <w:tab w:val="left" w:pos="1454"/>
        </w:tabs>
      </w:pPr>
      <w:r>
        <w:t>Name and address of</w:t>
      </w:r>
      <w:r>
        <w:rPr>
          <w:spacing w:val="-2"/>
        </w:rPr>
        <w:t xml:space="preserve"> </w:t>
      </w:r>
      <w:proofErr w:type="gramStart"/>
      <w:r>
        <w:t>patient</w:t>
      </w:r>
      <w:proofErr w:type="gramEnd"/>
    </w:p>
    <w:p w14:paraId="31A7C2AD" w14:textId="77777777" w:rsidR="007F6DF7" w:rsidRDefault="002C4268">
      <w:pPr>
        <w:pStyle w:val="ListParagraph"/>
        <w:numPr>
          <w:ilvl w:val="1"/>
          <w:numId w:val="19"/>
        </w:numPr>
        <w:tabs>
          <w:tab w:val="left" w:pos="1453"/>
          <w:tab w:val="left" w:pos="1454"/>
        </w:tabs>
        <w:spacing w:before="58"/>
      </w:pPr>
      <w:r>
        <w:t>Form and strength of preparation (e.g. 20 mg</w:t>
      </w:r>
      <w:r>
        <w:rPr>
          <w:spacing w:val="-12"/>
        </w:rPr>
        <w:t xml:space="preserve"> </w:t>
      </w:r>
      <w:r>
        <w:t>capsules)</w:t>
      </w:r>
    </w:p>
    <w:p w14:paraId="0BE42D23" w14:textId="77777777" w:rsidR="007F6DF7" w:rsidRDefault="002C4268">
      <w:pPr>
        <w:pStyle w:val="ListParagraph"/>
        <w:numPr>
          <w:ilvl w:val="1"/>
          <w:numId w:val="19"/>
        </w:numPr>
        <w:tabs>
          <w:tab w:val="left" w:pos="1453"/>
          <w:tab w:val="left" w:pos="1454"/>
        </w:tabs>
      </w:pPr>
      <w:r>
        <w:t>Dose (e.g. 20 mg TDS) – A dose of ‘as directed’ cannot be</w:t>
      </w:r>
      <w:r>
        <w:rPr>
          <w:spacing w:val="-14"/>
        </w:rPr>
        <w:t xml:space="preserve"> </w:t>
      </w:r>
      <w:proofErr w:type="gramStart"/>
      <w:r>
        <w:t>used</w:t>
      </w:r>
      <w:proofErr w:type="gramEnd"/>
    </w:p>
    <w:p w14:paraId="4BA44A5E" w14:textId="77777777" w:rsidR="007F6DF7" w:rsidRDefault="002C4268">
      <w:pPr>
        <w:pStyle w:val="ListParagraph"/>
        <w:numPr>
          <w:ilvl w:val="0"/>
          <w:numId w:val="9"/>
        </w:numPr>
        <w:tabs>
          <w:tab w:val="left" w:pos="1093"/>
          <w:tab w:val="left" w:pos="1094"/>
        </w:tabs>
        <w:ind w:right="723"/>
      </w:pPr>
      <w:r>
        <w:t xml:space="preserve">Total quantity or number of dose units in words AND figures e.g. 420 mg = Four Hundred and Twenty milligrams or </w:t>
      </w:r>
      <w:proofErr w:type="gramStart"/>
      <w:r>
        <w:t>Twenty One</w:t>
      </w:r>
      <w:proofErr w:type="gramEnd"/>
      <w:r>
        <w:t xml:space="preserve"> (21)</w:t>
      </w:r>
      <w:r>
        <w:rPr>
          <w:spacing w:val="-6"/>
        </w:rPr>
        <w:t xml:space="preserve"> </w:t>
      </w:r>
      <w:r>
        <w:t>capsules.</w:t>
      </w:r>
    </w:p>
    <w:p w14:paraId="56DF368C" w14:textId="22C36F90" w:rsidR="007F6DF7" w:rsidRPr="00A25F02" w:rsidRDefault="002C4268" w:rsidP="00A25F02">
      <w:pPr>
        <w:pStyle w:val="BodyText"/>
        <w:spacing w:before="60" w:after="240"/>
        <w:ind w:left="733" w:right="716"/>
        <w:jc w:val="both"/>
      </w:pPr>
      <w:r>
        <w:t>Advanced electronic signatures can be accepted for Schedule 2 and 3 CDs where the Electronic Prescribing Service (EPS) is in place.</w:t>
      </w:r>
    </w:p>
    <w:p w14:paraId="4972E762" w14:textId="465DC3A3" w:rsidR="007F6DF7" w:rsidRPr="00A25F02" w:rsidRDefault="002C4268" w:rsidP="00A25F02">
      <w:pPr>
        <w:pStyle w:val="BodyText"/>
        <w:spacing w:after="240"/>
        <w:ind w:left="733" w:right="714"/>
        <w:jc w:val="both"/>
      </w:pPr>
      <w:r>
        <w:t>A prescription is valid for 28 days from the date stated thereon. Prescriptions are limited to a supply of 30 days treatment; exceptionally to cover a justifiable clinical need and after consideration of any risk, a prescription can be issued for a longer period, but the reasons for the decision should be recorded in the patient’s medical</w:t>
      </w:r>
      <w:r>
        <w:rPr>
          <w:spacing w:val="-5"/>
        </w:rPr>
        <w:t xml:space="preserve"> </w:t>
      </w:r>
      <w:r>
        <w:t>notes.</w:t>
      </w:r>
    </w:p>
    <w:p w14:paraId="651F8EBC" w14:textId="7B1D7C36" w:rsidR="007F6DF7" w:rsidRPr="00A25F02" w:rsidRDefault="002C4268" w:rsidP="00A25F02">
      <w:pPr>
        <w:pStyle w:val="BodyText"/>
        <w:spacing w:after="240"/>
        <w:ind w:left="733" w:right="720"/>
        <w:jc w:val="both"/>
      </w:pPr>
      <w:r>
        <w:t>Appropriate communication must occur between the specialist team and GP to ensure no overlap in prescribing.</w:t>
      </w:r>
    </w:p>
    <w:p w14:paraId="06B3B803" w14:textId="77777777" w:rsidR="007F6DF7" w:rsidRDefault="002C4268">
      <w:pPr>
        <w:pStyle w:val="BodyText"/>
        <w:ind w:left="733"/>
        <w:jc w:val="both"/>
      </w:pPr>
      <w:r>
        <w:t xml:space="preserve">Refer to most recent </w:t>
      </w:r>
      <w:hyperlink r:id="rId37">
        <w:r>
          <w:rPr>
            <w:color w:val="0000FF"/>
            <w:u w:val="single" w:color="0000FF"/>
          </w:rPr>
          <w:t>BNF</w:t>
        </w:r>
        <w:r>
          <w:rPr>
            <w:color w:val="0000FF"/>
          </w:rPr>
          <w:t xml:space="preserve"> </w:t>
        </w:r>
      </w:hyperlink>
      <w:r>
        <w:t>for further details.</w:t>
      </w:r>
    </w:p>
    <w:p w14:paraId="37A70C47" w14:textId="77777777" w:rsidR="007F6DF7" w:rsidRDefault="007F6DF7">
      <w:pPr>
        <w:pStyle w:val="BodyText"/>
        <w:spacing w:before="1"/>
        <w:rPr>
          <w:sz w:val="16"/>
        </w:rPr>
      </w:pPr>
    </w:p>
    <w:p w14:paraId="1E8EDAAF" w14:textId="77777777" w:rsidR="007F6DF7" w:rsidRDefault="002C4268">
      <w:pPr>
        <w:pStyle w:val="Heading1"/>
        <w:numPr>
          <w:ilvl w:val="0"/>
          <w:numId w:val="19"/>
        </w:numPr>
        <w:tabs>
          <w:tab w:val="left" w:pos="1299"/>
          <w:tab w:val="left" w:pos="1300"/>
          <w:tab w:val="left" w:pos="10095"/>
        </w:tabs>
        <w:spacing w:before="45"/>
        <w:ind w:hanging="566"/>
      </w:pPr>
      <w:bookmarkStart w:id="9" w:name="_bookmark9"/>
      <w:bookmarkEnd w:id="9"/>
      <w:r>
        <w:rPr>
          <w:color w:val="FFFFFF"/>
          <w:shd w:val="clear" w:color="auto" w:fill="538DD3"/>
        </w:rPr>
        <w:t>Adverse</w:t>
      </w:r>
      <w:r>
        <w:rPr>
          <w:color w:val="FFFFFF"/>
          <w:spacing w:val="-5"/>
          <w:shd w:val="clear" w:color="auto" w:fill="538DD3"/>
        </w:rPr>
        <w:t xml:space="preserve"> </w:t>
      </w:r>
      <w:r>
        <w:rPr>
          <w:color w:val="FFFFFF"/>
          <w:shd w:val="clear" w:color="auto" w:fill="538DD3"/>
        </w:rPr>
        <w:t>Effects</w:t>
      </w:r>
      <w:r>
        <w:rPr>
          <w:color w:val="FFFFFF"/>
          <w:shd w:val="clear" w:color="auto" w:fill="538DD3"/>
        </w:rPr>
        <w:tab/>
      </w:r>
    </w:p>
    <w:p w14:paraId="69682BB6" w14:textId="77777777" w:rsidR="007F6DF7" w:rsidRDefault="002C4268">
      <w:pPr>
        <w:pStyle w:val="BodyText"/>
        <w:spacing w:before="118" w:line="292" w:lineRule="auto"/>
        <w:ind w:left="733" w:right="4640"/>
      </w:pPr>
      <w:r>
        <w:t xml:space="preserve">For a full list of adverse effects, refer to the individual </w:t>
      </w:r>
      <w:hyperlink r:id="rId38">
        <w:r>
          <w:rPr>
            <w:color w:val="0000FF"/>
            <w:u w:val="single" w:color="0000FF"/>
          </w:rPr>
          <w:t>SmPC</w:t>
        </w:r>
      </w:hyperlink>
      <w:r>
        <w:t>. Possible adverse effects and what to do if they occur:</w:t>
      </w:r>
    </w:p>
    <w:p w14:paraId="5C61D189" w14:textId="77777777" w:rsidR="007F6DF7" w:rsidRDefault="007F6DF7">
      <w:pPr>
        <w:pStyle w:val="BodyText"/>
        <w:spacing w:before="3"/>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1841"/>
        <w:gridCol w:w="4510"/>
      </w:tblGrid>
      <w:tr w:rsidR="007F6DF7" w14:paraId="1CE66B3B" w14:textId="77777777">
        <w:trPr>
          <w:trHeight w:val="328"/>
        </w:trPr>
        <w:tc>
          <w:tcPr>
            <w:tcW w:w="3258" w:type="dxa"/>
          </w:tcPr>
          <w:p w14:paraId="2FB06E9B" w14:textId="77777777" w:rsidR="007F6DF7" w:rsidRDefault="002C4268">
            <w:pPr>
              <w:pStyle w:val="TableParagraph"/>
              <w:spacing w:before="59" w:line="249" w:lineRule="exact"/>
              <w:ind w:left="108"/>
              <w:rPr>
                <w:b/>
              </w:rPr>
            </w:pPr>
            <w:r>
              <w:rPr>
                <w:b/>
              </w:rPr>
              <w:t>Adverse Effect</w:t>
            </w:r>
          </w:p>
        </w:tc>
        <w:tc>
          <w:tcPr>
            <w:tcW w:w="1841" w:type="dxa"/>
          </w:tcPr>
          <w:p w14:paraId="1E8FF120" w14:textId="77777777" w:rsidR="007F6DF7" w:rsidRDefault="007F6DF7">
            <w:pPr>
              <w:pStyle w:val="TableParagraph"/>
              <w:rPr>
                <w:rFonts w:ascii="Times New Roman"/>
                <w:sz w:val="20"/>
              </w:rPr>
            </w:pPr>
          </w:p>
        </w:tc>
        <w:tc>
          <w:tcPr>
            <w:tcW w:w="4510" w:type="dxa"/>
          </w:tcPr>
          <w:p w14:paraId="132210AD" w14:textId="77777777" w:rsidR="007F6DF7" w:rsidRDefault="002C4268">
            <w:pPr>
              <w:pStyle w:val="TableParagraph"/>
              <w:spacing w:before="59" w:line="249" w:lineRule="exact"/>
              <w:ind w:left="110"/>
              <w:rPr>
                <w:b/>
              </w:rPr>
            </w:pPr>
            <w:r>
              <w:rPr>
                <w:b/>
              </w:rPr>
              <w:t>GP Management</w:t>
            </w:r>
          </w:p>
        </w:tc>
      </w:tr>
    </w:tbl>
    <w:p w14:paraId="4EAC7A9E" w14:textId="77777777" w:rsidR="007F6DF7" w:rsidRDefault="007F6DF7">
      <w:pPr>
        <w:spacing w:line="249" w:lineRule="exact"/>
        <w:sectPr w:rsidR="007F6DF7">
          <w:headerReference w:type="default" r:id="rId39"/>
          <w:pgSz w:w="11910" w:h="16840"/>
          <w:pgMar w:top="1120" w:right="720" w:bottom="1780" w:left="400" w:header="0" w:footer="1595"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1841"/>
        <w:gridCol w:w="4510"/>
      </w:tblGrid>
      <w:tr w:rsidR="007F6DF7" w14:paraId="0691F770" w14:textId="77777777">
        <w:trPr>
          <w:trHeight w:val="463"/>
        </w:trPr>
        <w:tc>
          <w:tcPr>
            <w:tcW w:w="9609" w:type="dxa"/>
            <w:gridSpan w:val="3"/>
            <w:shd w:val="clear" w:color="auto" w:fill="538DD3"/>
          </w:tcPr>
          <w:p w14:paraId="49E8E47A" w14:textId="77777777" w:rsidR="007F6DF7" w:rsidRDefault="002C4268">
            <w:pPr>
              <w:pStyle w:val="TableParagraph"/>
              <w:spacing w:before="56"/>
              <w:ind w:left="108"/>
              <w:rPr>
                <w:b/>
              </w:rPr>
            </w:pPr>
            <w:proofErr w:type="gramStart"/>
            <w:r>
              <w:rPr>
                <w:b/>
              </w:rPr>
              <w:lastRenderedPageBreak/>
              <w:t>METHYLPHENIDATE ,</w:t>
            </w:r>
            <w:proofErr w:type="gramEnd"/>
            <w:r>
              <w:rPr>
                <w:b/>
              </w:rPr>
              <w:t xml:space="preserve"> LISDEXAMFETAMINE, DEXAMFETAMINE</w:t>
            </w:r>
          </w:p>
        </w:tc>
      </w:tr>
      <w:tr w:rsidR="007F6DF7" w14:paraId="60F56EC5" w14:textId="77777777">
        <w:trPr>
          <w:trHeight w:val="2805"/>
        </w:trPr>
        <w:tc>
          <w:tcPr>
            <w:tcW w:w="3258" w:type="dxa"/>
          </w:tcPr>
          <w:p w14:paraId="28CE325F" w14:textId="77777777" w:rsidR="007F6DF7" w:rsidRDefault="002C4268">
            <w:pPr>
              <w:pStyle w:val="TableParagraph"/>
              <w:spacing w:before="53"/>
              <w:ind w:left="108"/>
              <w:rPr>
                <w:b/>
              </w:rPr>
            </w:pPr>
            <w:r>
              <w:rPr>
                <w:b/>
              </w:rPr>
              <w:t>Cardiovascular</w:t>
            </w:r>
          </w:p>
          <w:p w14:paraId="096F2036" w14:textId="77777777" w:rsidR="007F6DF7" w:rsidRDefault="002C4268">
            <w:pPr>
              <w:pStyle w:val="TableParagraph"/>
              <w:spacing w:before="60"/>
              <w:ind w:left="108" w:right="135"/>
              <w:jc w:val="both"/>
            </w:pPr>
            <w:r>
              <w:t>Resting HR greater than 120bpm, arrhythmia/palpitations, clinically significant increase in systolic BP</w:t>
            </w:r>
          </w:p>
        </w:tc>
        <w:tc>
          <w:tcPr>
            <w:tcW w:w="1841" w:type="dxa"/>
          </w:tcPr>
          <w:p w14:paraId="073365DA" w14:textId="77777777" w:rsidR="007F6DF7" w:rsidRDefault="002C4268">
            <w:pPr>
              <w:pStyle w:val="TableParagraph"/>
              <w:spacing w:before="53"/>
              <w:ind w:left="107"/>
            </w:pPr>
            <w:r>
              <w:t>common (≥ 1/100</w:t>
            </w:r>
          </w:p>
          <w:p w14:paraId="59D71271" w14:textId="77777777" w:rsidR="007F6DF7" w:rsidRDefault="002C4268">
            <w:pPr>
              <w:pStyle w:val="TableParagraph"/>
              <w:ind w:left="107"/>
            </w:pPr>
            <w:r>
              <w:t>to &lt; 1/10)</w:t>
            </w:r>
          </w:p>
        </w:tc>
        <w:tc>
          <w:tcPr>
            <w:tcW w:w="4510" w:type="dxa"/>
          </w:tcPr>
          <w:p w14:paraId="2AEB665F" w14:textId="77777777" w:rsidR="007F6DF7" w:rsidRDefault="002C4268">
            <w:pPr>
              <w:pStyle w:val="TableParagraph"/>
              <w:numPr>
                <w:ilvl w:val="0"/>
                <w:numId w:val="8"/>
              </w:numPr>
              <w:tabs>
                <w:tab w:val="left" w:pos="830"/>
                <w:tab w:val="left" w:pos="831"/>
              </w:tabs>
              <w:spacing w:before="53"/>
              <w:ind w:right="580" w:firstLine="0"/>
            </w:pPr>
            <w:r>
              <w:t>In context of recent dose increase, revert to previous dose and discuss with specialist for ongoing</w:t>
            </w:r>
            <w:r>
              <w:rPr>
                <w:spacing w:val="-7"/>
              </w:rPr>
              <w:t xml:space="preserve"> </w:t>
            </w:r>
            <w:proofErr w:type="gramStart"/>
            <w:r>
              <w:t>management</w:t>
            </w:r>
            <w:proofErr w:type="gramEnd"/>
          </w:p>
          <w:p w14:paraId="23C324E1" w14:textId="77777777" w:rsidR="007F6DF7" w:rsidRDefault="002C4268">
            <w:pPr>
              <w:pStyle w:val="TableParagraph"/>
              <w:numPr>
                <w:ilvl w:val="0"/>
                <w:numId w:val="8"/>
              </w:numPr>
              <w:tabs>
                <w:tab w:val="left" w:pos="830"/>
                <w:tab w:val="left" w:pos="831"/>
              </w:tabs>
              <w:spacing w:before="61"/>
              <w:ind w:right="169" w:firstLine="0"/>
            </w:pPr>
            <w:r>
              <w:t xml:space="preserve">In absence of recent dose changes, consider reducing dose by half or discontinuing the medication </w:t>
            </w:r>
            <w:proofErr w:type="gramStart"/>
            <w:r>
              <w:t>in light of</w:t>
            </w:r>
            <w:proofErr w:type="gramEnd"/>
            <w:r>
              <w:t xml:space="preserve"> clinical findings. Further investigations should be considered (including ECG, </w:t>
            </w:r>
            <w:proofErr w:type="gramStart"/>
            <w:r>
              <w:t>24 hour</w:t>
            </w:r>
            <w:proofErr w:type="gramEnd"/>
            <w:r>
              <w:t xml:space="preserve"> BP and 24 hour ECG). Consider referral to</w:t>
            </w:r>
            <w:r>
              <w:rPr>
                <w:spacing w:val="-6"/>
              </w:rPr>
              <w:t xml:space="preserve"> </w:t>
            </w:r>
            <w:r>
              <w:t>cardiology/</w:t>
            </w:r>
            <w:proofErr w:type="gramStart"/>
            <w:r>
              <w:t>specialist</w:t>
            </w:r>
            <w:proofErr w:type="gramEnd"/>
          </w:p>
          <w:p w14:paraId="106A8177" w14:textId="77777777" w:rsidR="007F6DF7" w:rsidRDefault="002C4268">
            <w:pPr>
              <w:pStyle w:val="TableParagraph"/>
              <w:spacing w:line="254" w:lineRule="exact"/>
              <w:ind w:left="110"/>
            </w:pPr>
            <w:r>
              <w:t>physician.</w:t>
            </w:r>
          </w:p>
        </w:tc>
      </w:tr>
      <w:tr w:rsidR="007F6DF7" w14:paraId="1DB754E7" w14:textId="77777777">
        <w:trPr>
          <w:trHeight w:val="4181"/>
        </w:trPr>
        <w:tc>
          <w:tcPr>
            <w:tcW w:w="3258" w:type="dxa"/>
          </w:tcPr>
          <w:p w14:paraId="42A772C7" w14:textId="77777777" w:rsidR="007F6DF7" w:rsidRDefault="002C4268">
            <w:pPr>
              <w:pStyle w:val="TableParagraph"/>
              <w:spacing w:before="53"/>
              <w:ind w:left="108" w:right="314"/>
            </w:pPr>
            <w:r>
              <w:rPr>
                <w:b/>
              </w:rPr>
              <w:t xml:space="preserve">Weight or BMI outside healthy range </w:t>
            </w:r>
            <w:r>
              <w:t xml:space="preserve">Decreased </w:t>
            </w:r>
            <w:proofErr w:type="gramStart"/>
            <w:r>
              <w:t>appetite</w:t>
            </w:r>
            <w:proofErr w:type="gramEnd"/>
          </w:p>
          <w:p w14:paraId="2CEB15C2" w14:textId="77777777" w:rsidR="007F6DF7" w:rsidRDefault="002C4268">
            <w:pPr>
              <w:pStyle w:val="TableParagraph"/>
              <w:spacing w:before="61"/>
              <w:ind w:left="108"/>
            </w:pPr>
            <w:r>
              <w:t>(anorexia or weight loss)</w:t>
            </w:r>
          </w:p>
        </w:tc>
        <w:tc>
          <w:tcPr>
            <w:tcW w:w="1841" w:type="dxa"/>
          </w:tcPr>
          <w:p w14:paraId="51AE88AB" w14:textId="77777777" w:rsidR="007F6DF7" w:rsidRDefault="002C4268">
            <w:pPr>
              <w:pStyle w:val="TableParagraph"/>
              <w:spacing w:before="53"/>
              <w:ind w:left="107" w:right="251"/>
            </w:pPr>
            <w:r>
              <w:t>very common (≥ 1/10) - common ((≥ 1/100 to &lt; 1/10)</w:t>
            </w:r>
          </w:p>
        </w:tc>
        <w:tc>
          <w:tcPr>
            <w:tcW w:w="4510" w:type="dxa"/>
          </w:tcPr>
          <w:p w14:paraId="2FBDF61E" w14:textId="77777777" w:rsidR="007F6DF7" w:rsidRDefault="002C4268">
            <w:pPr>
              <w:pStyle w:val="TableParagraph"/>
              <w:spacing w:before="53"/>
              <w:ind w:left="110"/>
            </w:pPr>
            <w:r>
              <w:t>Usually transient.</w:t>
            </w:r>
          </w:p>
          <w:p w14:paraId="2597A941" w14:textId="77777777" w:rsidR="007F6DF7" w:rsidRDefault="002C4268">
            <w:pPr>
              <w:pStyle w:val="TableParagraph"/>
              <w:spacing w:before="61"/>
              <w:ind w:left="110" w:right="535"/>
            </w:pPr>
            <w:r>
              <w:t xml:space="preserve">Exclude other reasons for weight loss. Give advice as per </w:t>
            </w:r>
            <w:hyperlink r:id="rId40">
              <w:r>
                <w:rPr>
                  <w:color w:val="0000FF"/>
                  <w:u w:val="single" w:color="0000FF"/>
                </w:rPr>
                <w:t>NICE NG87</w:t>
              </w:r>
            </w:hyperlink>
            <w:r>
              <w:t>:</w:t>
            </w:r>
          </w:p>
          <w:p w14:paraId="4644D99C" w14:textId="77777777" w:rsidR="007F6DF7" w:rsidRDefault="002C4268">
            <w:pPr>
              <w:pStyle w:val="TableParagraph"/>
              <w:numPr>
                <w:ilvl w:val="0"/>
                <w:numId w:val="7"/>
              </w:numPr>
              <w:tabs>
                <w:tab w:val="left" w:pos="830"/>
                <w:tab w:val="left" w:pos="831"/>
              </w:tabs>
              <w:spacing w:before="61"/>
              <w:ind w:right="176" w:firstLine="0"/>
            </w:pPr>
            <w:r>
              <w:t xml:space="preserve">take medication with or after food, not </w:t>
            </w:r>
            <w:proofErr w:type="gramStart"/>
            <w:r>
              <w:t>before</w:t>
            </w:r>
            <w:proofErr w:type="gramEnd"/>
          </w:p>
          <w:p w14:paraId="5A5D1BF3" w14:textId="77777777" w:rsidR="007F6DF7" w:rsidRDefault="002C4268">
            <w:pPr>
              <w:pStyle w:val="TableParagraph"/>
              <w:numPr>
                <w:ilvl w:val="0"/>
                <w:numId w:val="7"/>
              </w:numPr>
              <w:tabs>
                <w:tab w:val="left" w:pos="830"/>
                <w:tab w:val="left" w:pos="831"/>
              </w:tabs>
              <w:spacing w:before="60"/>
              <w:ind w:right="166" w:firstLine="0"/>
            </w:pPr>
            <w:r>
              <w:t>take additional meals or snacks early in the morning or late in the evening when stimulant effects have worn</w:t>
            </w:r>
            <w:r>
              <w:rPr>
                <w:spacing w:val="-6"/>
              </w:rPr>
              <w:t xml:space="preserve"> </w:t>
            </w:r>
            <w:proofErr w:type="gramStart"/>
            <w:r>
              <w:t>off</w:t>
            </w:r>
            <w:proofErr w:type="gramEnd"/>
          </w:p>
          <w:p w14:paraId="410610CB" w14:textId="77777777" w:rsidR="007F6DF7" w:rsidRDefault="002C4268">
            <w:pPr>
              <w:pStyle w:val="TableParagraph"/>
              <w:numPr>
                <w:ilvl w:val="0"/>
                <w:numId w:val="7"/>
              </w:numPr>
              <w:tabs>
                <w:tab w:val="left" w:pos="830"/>
                <w:tab w:val="left" w:pos="831"/>
              </w:tabs>
              <w:spacing w:before="58"/>
              <w:ind w:left="830"/>
            </w:pPr>
            <w:r>
              <w:t>obtaining dietary</w:t>
            </w:r>
            <w:r>
              <w:rPr>
                <w:spacing w:val="-2"/>
              </w:rPr>
              <w:t xml:space="preserve"> </w:t>
            </w:r>
            <w:r>
              <w:t>advice</w:t>
            </w:r>
          </w:p>
          <w:p w14:paraId="20BF1B95" w14:textId="77777777" w:rsidR="007F6DF7" w:rsidRDefault="002C4268">
            <w:pPr>
              <w:pStyle w:val="TableParagraph"/>
              <w:numPr>
                <w:ilvl w:val="0"/>
                <w:numId w:val="7"/>
              </w:numPr>
              <w:tabs>
                <w:tab w:val="left" w:pos="830"/>
                <w:tab w:val="left" w:pos="831"/>
              </w:tabs>
              <w:spacing w:before="61"/>
              <w:ind w:right="304" w:firstLine="0"/>
            </w:pPr>
            <w:r>
              <w:t>consuming high-calorie foods of good nutritional</w:t>
            </w:r>
            <w:r>
              <w:rPr>
                <w:spacing w:val="-3"/>
              </w:rPr>
              <w:t xml:space="preserve"> </w:t>
            </w:r>
            <w:r>
              <w:t>value</w:t>
            </w:r>
          </w:p>
          <w:p w14:paraId="5E91E2D1" w14:textId="77777777" w:rsidR="007F6DF7" w:rsidRDefault="002C4268">
            <w:pPr>
              <w:pStyle w:val="TableParagraph"/>
              <w:spacing w:before="59" w:line="270" w:lineRule="atLeast"/>
              <w:ind w:left="110" w:right="242"/>
              <w:jc w:val="both"/>
            </w:pPr>
            <w:r>
              <w:t>Discuss with the specialist if difficulty persists; dose reduction, treatment break, or change of medication may be required.</w:t>
            </w:r>
          </w:p>
        </w:tc>
      </w:tr>
      <w:tr w:rsidR="007F6DF7" w14:paraId="58DED4F3" w14:textId="77777777">
        <w:trPr>
          <w:trHeight w:val="2865"/>
        </w:trPr>
        <w:tc>
          <w:tcPr>
            <w:tcW w:w="3258" w:type="dxa"/>
          </w:tcPr>
          <w:p w14:paraId="1D40E7C1" w14:textId="77777777" w:rsidR="007F6DF7" w:rsidRDefault="002C4268">
            <w:pPr>
              <w:pStyle w:val="TableParagraph"/>
              <w:spacing w:before="53"/>
              <w:ind w:left="108"/>
              <w:rPr>
                <w:b/>
              </w:rPr>
            </w:pPr>
            <w:proofErr w:type="spellStart"/>
            <w:r>
              <w:rPr>
                <w:b/>
              </w:rPr>
              <w:t>Haematological</w:t>
            </w:r>
            <w:proofErr w:type="spellEnd"/>
            <w:r>
              <w:rPr>
                <w:b/>
              </w:rPr>
              <w:t xml:space="preserve"> disorders</w:t>
            </w:r>
          </w:p>
          <w:p w14:paraId="5E0795AD" w14:textId="77777777" w:rsidR="007F6DF7" w:rsidRDefault="002C4268">
            <w:pPr>
              <w:pStyle w:val="TableParagraph"/>
              <w:spacing w:before="60"/>
              <w:ind w:left="108" w:right="337"/>
            </w:pPr>
            <w:r>
              <w:t xml:space="preserve">Including leukopenia, thrombocytopenia, </w:t>
            </w:r>
            <w:proofErr w:type="spellStart"/>
            <w:proofErr w:type="gramStart"/>
            <w:r>
              <w:t>anaemia</w:t>
            </w:r>
            <w:proofErr w:type="spellEnd"/>
            <w:proofErr w:type="gramEnd"/>
            <w:r>
              <w:t xml:space="preserve"> or other alterations</w:t>
            </w:r>
          </w:p>
          <w:p w14:paraId="64060163" w14:textId="77777777" w:rsidR="007F6DF7" w:rsidRDefault="002C4268">
            <w:pPr>
              <w:pStyle w:val="TableParagraph"/>
              <w:spacing w:before="61"/>
              <w:ind w:left="108" w:right="240"/>
            </w:pPr>
            <w:r>
              <w:t xml:space="preserve">NB: no </w:t>
            </w:r>
            <w:proofErr w:type="spellStart"/>
            <w:r>
              <w:t>haematological</w:t>
            </w:r>
            <w:proofErr w:type="spellEnd"/>
            <w:r>
              <w:t xml:space="preserve"> monitoring is recommended. </w:t>
            </w:r>
            <w:proofErr w:type="spellStart"/>
            <w:r>
              <w:t>Haematological</w:t>
            </w:r>
            <w:proofErr w:type="spellEnd"/>
            <w:r>
              <w:t xml:space="preserve"> disorders would be a chance finding/due to patient reporting adverse </w:t>
            </w:r>
            <w:proofErr w:type="gramStart"/>
            <w:r>
              <w:t>drug</w:t>
            </w:r>
            <w:proofErr w:type="gramEnd"/>
          </w:p>
          <w:p w14:paraId="55701040" w14:textId="77777777" w:rsidR="007F6DF7" w:rsidRDefault="002C4268">
            <w:pPr>
              <w:pStyle w:val="TableParagraph"/>
              <w:spacing w:line="254" w:lineRule="exact"/>
              <w:ind w:left="108"/>
            </w:pPr>
            <w:r>
              <w:t>reactions.</w:t>
            </w:r>
          </w:p>
        </w:tc>
        <w:tc>
          <w:tcPr>
            <w:tcW w:w="1841" w:type="dxa"/>
          </w:tcPr>
          <w:p w14:paraId="472C468F" w14:textId="77777777" w:rsidR="007F6DF7" w:rsidRDefault="002C4268">
            <w:pPr>
              <w:pStyle w:val="TableParagraph"/>
              <w:spacing w:before="53"/>
              <w:ind w:left="107" w:right="652"/>
            </w:pPr>
            <w:r>
              <w:t>very rare (&lt;1/10,000)</w:t>
            </w:r>
          </w:p>
        </w:tc>
        <w:tc>
          <w:tcPr>
            <w:tcW w:w="4510" w:type="dxa"/>
          </w:tcPr>
          <w:p w14:paraId="089BB797" w14:textId="77777777" w:rsidR="007F6DF7" w:rsidRDefault="002C4268">
            <w:pPr>
              <w:pStyle w:val="TableParagraph"/>
              <w:spacing w:before="53"/>
              <w:ind w:left="110" w:right="138"/>
              <w:jc w:val="both"/>
            </w:pPr>
            <w:r>
              <w:t xml:space="preserve">Contact specialist team. Discontinuation should be considered. Referral to </w:t>
            </w:r>
            <w:proofErr w:type="spellStart"/>
            <w:r>
              <w:t>haematology</w:t>
            </w:r>
            <w:proofErr w:type="spellEnd"/>
            <w:r>
              <w:t xml:space="preserve"> may be warranted; use clinical discretion.</w:t>
            </w:r>
          </w:p>
        </w:tc>
      </w:tr>
      <w:tr w:rsidR="007F6DF7" w14:paraId="7A9FECD3" w14:textId="77777777">
        <w:trPr>
          <w:trHeight w:val="2865"/>
        </w:trPr>
        <w:tc>
          <w:tcPr>
            <w:tcW w:w="3258" w:type="dxa"/>
          </w:tcPr>
          <w:p w14:paraId="779C57D9" w14:textId="77777777" w:rsidR="007F6DF7" w:rsidRDefault="002C4268">
            <w:pPr>
              <w:pStyle w:val="TableParagraph"/>
              <w:spacing w:before="53"/>
              <w:ind w:left="108"/>
              <w:rPr>
                <w:b/>
              </w:rPr>
            </w:pPr>
            <w:r>
              <w:rPr>
                <w:b/>
              </w:rPr>
              <w:t>Psychiatric</w:t>
            </w:r>
            <w:r>
              <w:rPr>
                <w:b/>
                <w:spacing w:val="-9"/>
              </w:rPr>
              <w:t xml:space="preserve"> </w:t>
            </w:r>
            <w:r>
              <w:rPr>
                <w:b/>
              </w:rPr>
              <w:t>disorders</w:t>
            </w:r>
          </w:p>
          <w:p w14:paraId="43E31D69" w14:textId="77777777" w:rsidR="007F6DF7" w:rsidRDefault="002C4268">
            <w:pPr>
              <w:pStyle w:val="TableParagraph"/>
              <w:spacing w:before="60"/>
              <w:ind w:left="108" w:right="152"/>
            </w:pPr>
            <w:r>
              <w:t xml:space="preserve">New or worsening psychiatric symptoms, e.g. psychosis, mania, aggressive or hostile </w:t>
            </w:r>
            <w:proofErr w:type="spellStart"/>
            <w:r>
              <w:t>behaviour</w:t>
            </w:r>
            <w:proofErr w:type="spellEnd"/>
            <w:r>
              <w:t xml:space="preserve">, suicidal ideation or </w:t>
            </w:r>
            <w:proofErr w:type="spellStart"/>
            <w:r>
              <w:t>behaviour</w:t>
            </w:r>
            <w:proofErr w:type="spellEnd"/>
            <w:r>
              <w:t xml:space="preserve">, </w:t>
            </w:r>
            <w:proofErr w:type="gramStart"/>
            <w:r>
              <w:t>motor</w:t>
            </w:r>
            <w:proofErr w:type="gramEnd"/>
            <w:r>
              <w:t xml:space="preserve"> or verbal tics (including Tourette’s syndrome), anxiety, agitation or tension, bipolar disorder,</w:t>
            </w:r>
            <w:r>
              <w:rPr>
                <w:spacing w:val="-1"/>
              </w:rPr>
              <w:t xml:space="preserve"> </w:t>
            </w:r>
            <w:r>
              <w:t>depression.</w:t>
            </w:r>
          </w:p>
        </w:tc>
        <w:tc>
          <w:tcPr>
            <w:tcW w:w="1841" w:type="dxa"/>
          </w:tcPr>
          <w:p w14:paraId="7AEC2F77" w14:textId="77777777" w:rsidR="007F6DF7" w:rsidRDefault="002C4268">
            <w:pPr>
              <w:pStyle w:val="TableParagraph"/>
              <w:spacing w:before="53"/>
              <w:ind w:left="107" w:right="105"/>
            </w:pPr>
            <w:r>
              <w:t>common (≥ 1/100 to &lt; 1/10) - very rare (&lt;1/10,000</w:t>
            </w:r>
          </w:p>
        </w:tc>
        <w:tc>
          <w:tcPr>
            <w:tcW w:w="4510" w:type="dxa"/>
          </w:tcPr>
          <w:p w14:paraId="51E5DEC4" w14:textId="77777777" w:rsidR="007F6DF7" w:rsidRDefault="002C4268">
            <w:pPr>
              <w:pStyle w:val="TableParagraph"/>
              <w:spacing w:before="53"/>
              <w:ind w:left="110" w:right="190"/>
            </w:pPr>
            <w:r>
              <w:t>Discuss with the specialist. Stop treatment and consider referral to the acute mental health team if suicidal thoughts, mania, or psychosis are present. Medication should not be continued unless the benefits outweigh the risks.</w:t>
            </w:r>
          </w:p>
        </w:tc>
      </w:tr>
    </w:tbl>
    <w:p w14:paraId="644D62DF" w14:textId="77777777" w:rsidR="007F6DF7" w:rsidRDefault="007F6DF7">
      <w:pPr>
        <w:sectPr w:rsidR="007F6DF7">
          <w:headerReference w:type="default" r:id="rId41"/>
          <w:pgSz w:w="11910" w:h="16840"/>
          <w:pgMar w:top="1120" w:right="720" w:bottom="1780" w:left="400" w:header="0" w:footer="1595"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1841"/>
        <w:gridCol w:w="4510"/>
      </w:tblGrid>
      <w:tr w:rsidR="007F6DF7" w14:paraId="0B72ADFA" w14:textId="77777777">
        <w:trPr>
          <w:trHeight w:val="2001"/>
        </w:trPr>
        <w:tc>
          <w:tcPr>
            <w:tcW w:w="3258" w:type="dxa"/>
          </w:tcPr>
          <w:p w14:paraId="07D6E78C" w14:textId="77777777" w:rsidR="007F6DF7" w:rsidRDefault="002C4268">
            <w:pPr>
              <w:pStyle w:val="TableParagraph"/>
              <w:spacing w:before="56"/>
              <w:ind w:left="108"/>
              <w:rPr>
                <w:b/>
              </w:rPr>
            </w:pPr>
            <w:r>
              <w:rPr>
                <w:b/>
              </w:rPr>
              <w:lastRenderedPageBreak/>
              <w:t>Nervous system disorders</w:t>
            </w:r>
          </w:p>
          <w:p w14:paraId="5A7D93DD" w14:textId="77777777" w:rsidR="007F6DF7" w:rsidRDefault="002C4268">
            <w:pPr>
              <w:pStyle w:val="TableParagraph"/>
              <w:spacing w:before="58"/>
              <w:ind w:left="108"/>
            </w:pPr>
            <w:r>
              <w:t xml:space="preserve">Symptoms of cerebral </w:t>
            </w:r>
            <w:proofErr w:type="spellStart"/>
            <w:r>
              <w:t>ischaemia</w:t>
            </w:r>
            <w:proofErr w:type="spellEnd"/>
            <w:r>
              <w:t>,</w:t>
            </w:r>
          </w:p>
          <w:p w14:paraId="1E9E735B" w14:textId="77777777" w:rsidR="007F6DF7" w:rsidRDefault="002C4268">
            <w:pPr>
              <w:pStyle w:val="TableParagraph"/>
              <w:spacing w:line="270" w:lineRule="atLeast"/>
              <w:ind w:left="108" w:right="157"/>
            </w:pPr>
            <w:r>
              <w:t xml:space="preserve">e.g. severe headache, numbness, weakness, paralysis, and impairment of coordination, vision, speech, </w:t>
            </w:r>
            <w:proofErr w:type="gramStart"/>
            <w:r>
              <w:t>language</w:t>
            </w:r>
            <w:proofErr w:type="gramEnd"/>
            <w:r>
              <w:t xml:space="preserve"> or memory</w:t>
            </w:r>
          </w:p>
        </w:tc>
        <w:tc>
          <w:tcPr>
            <w:tcW w:w="1841" w:type="dxa"/>
          </w:tcPr>
          <w:p w14:paraId="3FBC3D61" w14:textId="77777777" w:rsidR="007F6DF7" w:rsidRDefault="002C4268">
            <w:pPr>
              <w:pStyle w:val="TableParagraph"/>
              <w:spacing w:before="56"/>
              <w:ind w:left="107" w:right="718" w:firstLine="50"/>
            </w:pPr>
            <w:r>
              <w:t>very rare (&lt;1/10,000</w:t>
            </w:r>
          </w:p>
        </w:tc>
        <w:tc>
          <w:tcPr>
            <w:tcW w:w="4510" w:type="dxa"/>
          </w:tcPr>
          <w:p w14:paraId="338B8B7B" w14:textId="77777777" w:rsidR="007F6DF7" w:rsidRDefault="002C4268">
            <w:pPr>
              <w:pStyle w:val="TableParagraph"/>
              <w:spacing w:before="56"/>
              <w:ind w:left="110" w:right="562"/>
            </w:pPr>
            <w:r>
              <w:t>Discontinue medication. Refer urgently for neurological assessment.</w:t>
            </w:r>
          </w:p>
        </w:tc>
      </w:tr>
      <w:tr w:rsidR="007F6DF7" w14:paraId="16D13C46" w14:textId="77777777">
        <w:trPr>
          <w:trHeight w:val="926"/>
        </w:trPr>
        <w:tc>
          <w:tcPr>
            <w:tcW w:w="3258" w:type="dxa"/>
          </w:tcPr>
          <w:p w14:paraId="4988FD74" w14:textId="77777777" w:rsidR="007F6DF7" w:rsidRDefault="002C4268">
            <w:pPr>
              <w:pStyle w:val="TableParagraph"/>
              <w:spacing w:before="53"/>
              <w:ind w:left="108"/>
            </w:pPr>
            <w:r>
              <w:t>New or worsening seizures</w:t>
            </w:r>
          </w:p>
        </w:tc>
        <w:tc>
          <w:tcPr>
            <w:tcW w:w="1841" w:type="dxa"/>
          </w:tcPr>
          <w:p w14:paraId="2770165F" w14:textId="77777777" w:rsidR="007F6DF7" w:rsidRDefault="002C4268">
            <w:pPr>
              <w:pStyle w:val="TableParagraph"/>
              <w:spacing w:before="53"/>
              <w:ind w:left="107" w:right="412"/>
            </w:pPr>
            <w:r>
              <w:t>Frequency not known</w:t>
            </w:r>
          </w:p>
        </w:tc>
        <w:tc>
          <w:tcPr>
            <w:tcW w:w="4510" w:type="dxa"/>
          </w:tcPr>
          <w:p w14:paraId="1216FC14" w14:textId="77777777" w:rsidR="007F6DF7" w:rsidRDefault="002C4268">
            <w:pPr>
              <w:pStyle w:val="TableParagraph"/>
              <w:spacing w:before="53"/>
              <w:ind w:left="110" w:right="700"/>
            </w:pPr>
            <w:r>
              <w:t>Discontinue medication. Discuss with the specialist team.</w:t>
            </w:r>
          </w:p>
        </w:tc>
      </w:tr>
      <w:tr w:rsidR="007F6DF7" w14:paraId="0C4B8373" w14:textId="77777777">
        <w:trPr>
          <w:trHeight w:val="1939"/>
        </w:trPr>
        <w:tc>
          <w:tcPr>
            <w:tcW w:w="3258" w:type="dxa"/>
          </w:tcPr>
          <w:p w14:paraId="7401F4F6" w14:textId="77777777" w:rsidR="007F6DF7" w:rsidRDefault="002C4268">
            <w:pPr>
              <w:pStyle w:val="TableParagraph"/>
              <w:spacing w:before="53"/>
              <w:ind w:left="108" w:right="88"/>
            </w:pPr>
            <w:r>
              <w:rPr>
                <w:b/>
              </w:rPr>
              <w:t>Symptoms of serotonin syndrome</w:t>
            </w:r>
            <w:r>
              <w:t>, e.g. agitation, hallucinations, coma, tachycardia, labile blood pressure, hyperthermia, hyperreflexia, incoordination, rigidity, nausea,</w:t>
            </w:r>
          </w:p>
          <w:p w14:paraId="0A1F6FAA" w14:textId="77777777" w:rsidR="007F6DF7" w:rsidRDefault="002C4268">
            <w:pPr>
              <w:pStyle w:val="TableParagraph"/>
              <w:spacing w:line="255" w:lineRule="exact"/>
              <w:ind w:left="108"/>
            </w:pPr>
            <w:r>
              <w:t xml:space="preserve">vomiting, </w:t>
            </w:r>
            <w:proofErr w:type="spellStart"/>
            <w:r>
              <w:t>diarrhoea</w:t>
            </w:r>
            <w:proofErr w:type="spellEnd"/>
          </w:p>
        </w:tc>
        <w:tc>
          <w:tcPr>
            <w:tcW w:w="1841" w:type="dxa"/>
          </w:tcPr>
          <w:p w14:paraId="730B8E9E" w14:textId="77777777" w:rsidR="007F6DF7" w:rsidRDefault="007F6DF7">
            <w:pPr>
              <w:pStyle w:val="TableParagraph"/>
              <w:rPr>
                <w:rFonts w:ascii="Times New Roman"/>
                <w:sz w:val="20"/>
              </w:rPr>
            </w:pPr>
          </w:p>
        </w:tc>
        <w:tc>
          <w:tcPr>
            <w:tcW w:w="4510" w:type="dxa"/>
          </w:tcPr>
          <w:p w14:paraId="1D6B36A4" w14:textId="77777777" w:rsidR="007F6DF7" w:rsidRDefault="002C4268">
            <w:pPr>
              <w:pStyle w:val="TableParagraph"/>
              <w:spacing w:before="53"/>
              <w:ind w:left="110" w:right="236"/>
            </w:pPr>
            <w:r>
              <w:t>Discontinue medication as soon as possible. Management depends on severity; use clinical judgment and seek advice if necessary.</w:t>
            </w:r>
          </w:p>
          <w:p w14:paraId="351BF324" w14:textId="77777777" w:rsidR="007F6DF7" w:rsidRDefault="002C4268">
            <w:pPr>
              <w:pStyle w:val="TableParagraph"/>
              <w:spacing w:before="64" w:line="237" w:lineRule="auto"/>
              <w:ind w:left="110" w:right="312"/>
            </w:pPr>
            <w:r>
              <w:t>Discuss with the specialist team to determine whether medication can be restarted.</w:t>
            </w:r>
          </w:p>
        </w:tc>
      </w:tr>
      <w:tr w:rsidR="007F6DF7" w14:paraId="112AE3A7" w14:textId="77777777">
        <w:trPr>
          <w:trHeight w:val="926"/>
        </w:trPr>
        <w:tc>
          <w:tcPr>
            <w:tcW w:w="3258" w:type="dxa"/>
          </w:tcPr>
          <w:p w14:paraId="47FE7E4F" w14:textId="77777777" w:rsidR="007F6DF7" w:rsidRDefault="002C4268">
            <w:pPr>
              <w:pStyle w:val="TableParagraph"/>
              <w:spacing w:before="53"/>
              <w:ind w:left="108" w:right="995"/>
            </w:pPr>
            <w:r>
              <w:t>Insomnia or other sleep disturbance</w:t>
            </w:r>
          </w:p>
        </w:tc>
        <w:tc>
          <w:tcPr>
            <w:tcW w:w="1841" w:type="dxa"/>
          </w:tcPr>
          <w:p w14:paraId="09408AFF" w14:textId="77777777" w:rsidR="007F6DF7" w:rsidRDefault="002C4268">
            <w:pPr>
              <w:pStyle w:val="TableParagraph"/>
              <w:spacing w:before="53"/>
              <w:ind w:left="107"/>
            </w:pPr>
            <w:r>
              <w:t>very common (≥</w:t>
            </w:r>
          </w:p>
          <w:p w14:paraId="0C211A81" w14:textId="77777777" w:rsidR="007F6DF7" w:rsidRDefault="002C4268">
            <w:pPr>
              <w:pStyle w:val="TableParagraph"/>
              <w:ind w:left="107"/>
            </w:pPr>
            <w:r>
              <w:t>1/10)</w:t>
            </w:r>
          </w:p>
        </w:tc>
        <w:tc>
          <w:tcPr>
            <w:tcW w:w="4510" w:type="dxa"/>
          </w:tcPr>
          <w:p w14:paraId="6D026D60" w14:textId="77777777" w:rsidR="007F6DF7" w:rsidRDefault="002C4268">
            <w:pPr>
              <w:pStyle w:val="TableParagraph"/>
              <w:spacing w:before="53"/>
              <w:ind w:left="110" w:right="200"/>
            </w:pPr>
            <w:r>
              <w:t>Review the timing of doses and continue treatment unless severe. Advise on sleep hygiene. Discuss with the specialist if required.</w:t>
            </w:r>
          </w:p>
        </w:tc>
      </w:tr>
      <w:tr w:rsidR="007F6DF7" w14:paraId="383376D4" w14:textId="77777777">
        <w:trPr>
          <w:trHeight w:val="1135"/>
        </w:trPr>
        <w:tc>
          <w:tcPr>
            <w:tcW w:w="3258" w:type="dxa"/>
          </w:tcPr>
          <w:p w14:paraId="356C472C" w14:textId="77777777" w:rsidR="007F6DF7" w:rsidRDefault="002C4268">
            <w:pPr>
              <w:pStyle w:val="TableParagraph"/>
              <w:spacing w:before="53"/>
              <w:ind w:left="108" w:right="153"/>
            </w:pPr>
            <w:r>
              <w:t xml:space="preserve">Nausea, </w:t>
            </w:r>
            <w:proofErr w:type="spellStart"/>
            <w:r>
              <w:t>diarrhoea</w:t>
            </w:r>
            <w:proofErr w:type="spellEnd"/>
            <w:r>
              <w:t>, abdominal cramps, constipation, dry mouth, headache, dizziness, enuresis,</w:t>
            </w:r>
          </w:p>
          <w:p w14:paraId="15F34418" w14:textId="77777777" w:rsidR="007F6DF7" w:rsidRDefault="002C4268">
            <w:pPr>
              <w:pStyle w:val="TableParagraph"/>
              <w:spacing w:before="1" w:line="255" w:lineRule="exact"/>
              <w:ind w:left="108"/>
            </w:pPr>
            <w:r>
              <w:t>increased daytime urination, tics</w:t>
            </w:r>
          </w:p>
        </w:tc>
        <w:tc>
          <w:tcPr>
            <w:tcW w:w="1841" w:type="dxa"/>
          </w:tcPr>
          <w:p w14:paraId="30880FC8" w14:textId="77777777" w:rsidR="007F6DF7" w:rsidRDefault="007F6DF7">
            <w:pPr>
              <w:pStyle w:val="TableParagraph"/>
              <w:rPr>
                <w:rFonts w:ascii="Times New Roman"/>
                <w:sz w:val="20"/>
              </w:rPr>
            </w:pPr>
          </w:p>
        </w:tc>
        <w:tc>
          <w:tcPr>
            <w:tcW w:w="4510" w:type="dxa"/>
          </w:tcPr>
          <w:p w14:paraId="6ED234EF" w14:textId="77777777" w:rsidR="007F6DF7" w:rsidRDefault="002C4268">
            <w:pPr>
              <w:pStyle w:val="TableParagraph"/>
              <w:spacing w:before="53"/>
              <w:ind w:left="110" w:right="373"/>
            </w:pPr>
            <w:r>
              <w:t xml:space="preserve">Continue treatment unless severe. Some symptoms may be alleviated by concomitant food intake. Discuss with the specialist </w:t>
            </w:r>
            <w:proofErr w:type="gramStart"/>
            <w:r>
              <w:t>if</w:t>
            </w:r>
            <w:proofErr w:type="gramEnd"/>
          </w:p>
          <w:p w14:paraId="1145A765" w14:textId="77777777" w:rsidR="007F6DF7" w:rsidRDefault="002C4268">
            <w:pPr>
              <w:pStyle w:val="TableParagraph"/>
              <w:spacing w:before="1" w:line="255" w:lineRule="exact"/>
              <w:ind w:left="110"/>
            </w:pPr>
            <w:r>
              <w:t>required.</w:t>
            </w:r>
          </w:p>
        </w:tc>
      </w:tr>
      <w:tr w:rsidR="007F6DF7" w14:paraId="6B84F6E1" w14:textId="77777777">
        <w:trPr>
          <w:trHeight w:val="597"/>
        </w:trPr>
        <w:tc>
          <w:tcPr>
            <w:tcW w:w="3258" w:type="dxa"/>
          </w:tcPr>
          <w:p w14:paraId="29627224" w14:textId="77777777" w:rsidR="007F6DF7" w:rsidRDefault="002C4268">
            <w:pPr>
              <w:pStyle w:val="TableParagraph"/>
              <w:spacing w:before="52" w:line="270" w:lineRule="atLeast"/>
              <w:ind w:left="108" w:right="436"/>
            </w:pPr>
            <w:r>
              <w:t>Suspicion of abuse, misuse, or diversion</w:t>
            </w:r>
          </w:p>
        </w:tc>
        <w:tc>
          <w:tcPr>
            <w:tcW w:w="1841" w:type="dxa"/>
          </w:tcPr>
          <w:p w14:paraId="40C1A1B9" w14:textId="77777777" w:rsidR="007F6DF7" w:rsidRDefault="007F6DF7">
            <w:pPr>
              <w:pStyle w:val="TableParagraph"/>
              <w:rPr>
                <w:rFonts w:ascii="Times New Roman"/>
                <w:sz w:val="20"/>
              </w:rPr>
            </w:pPr>
          </w:p>
        </w:tc>
        <w:tc>
          <w:tcPr>
            <w:tcW w:w="4510" w:type="dxa"/>
          </w:tcPr>
          <w:p w14:paraId="5F661D75" w14:textId="77777777" w:rsidR="007F6DF7" w:rsidRDefault="002C4268">
            <w:pPr>
              <w:pStyle w:val="TableParagraph"/>
              <w:spacing w:before="52" w:line="270" w:lineRule="atLeast"/>
              <w:ind w:left="110" w:right="525"/>
            </w:pPr>
            <w:r>
              <w:t xml:space="preserve">Discuss with the specialist team and/or the police/medical </w:t>
            </w:r>
            <w:proofErr w:type="spellStart"/>
            <w:r>
              <w:t>defence</w:t>
            </w:r>
            <w:proofErr w:type="spellEnd"/>
            <w:r>
              <w:t xml:space="preserve"> </w:t>
            </w:r>
            <w:proofErr w:type="spellStart"/>
            <w:r>
              <w:t>organisation</w:t>
            </w:r>
            <w:proofErr w:type="spellEnd"/>
          </w:p>
        </w:tc>
      </w:tr>
      <w:tr w:rsidR="007F6DF7" w14:paraId="07F50022" w14:textId="77777777">
        <w:trPr>
          <w:trHeight w:val="460"/>
        </w:trPr>
        <w:tc>
          <w:tcPr>
            <w:tcW w:w="9609" w:type="dxa"/>
            <w:gridSpan w:val="3"/>
            <w:shd w:val="clear" w:color="auto" w:fill="538DD3"/>
          </w:tcPr>
          <w:p w14:paraId="67000CB9" w14:textId="77777777" w:rsidR="007F6DF7" w:rsidRDefault="002C4268">
            <w:pPr>
              <w:pStyle w:val="TableParagraph"/>
              <w:spacing w:before="53"/>
              <w:ind w:left="108"/>
              <w:rPr>
                <w:b/>
              </w:rPr>
            </w:pPr>
            <w:r>
              <w:rPr>
                <w:b/>
              </w:rPr>
              <w:t>ATOMOXETINE</w:t>
            </w:r>
          </w:p>
        </w:tc>
      </w:tr>
      <w:tr w:rsidR="007F6DF7" w14:paraId="28EC49EE" w14:textId="77777777">
        <w:trPr>
          <w:trHeight w:val="2808"/>
        </w:trPr>
        <w:tc>
          <w:tcPr>
            <w:tcW w:w="3258" w:type="dxa"/>
          </w:tcPr>
          <w:p w14:paraId="5D12D38B" w14:textId="77777777" w:rsidR="007F6DF7" w:rsidRDefault="002C4268">
            <w:pPr>
              <w:pStyle w:val="TableParagraph"/>
              <w:spacing w:before="53"/>
              <w:ind w:left="108"/>
              <w:rPr>
                <w:b/>
              </w:rPr>
            </w:pPr>
            <w:r>
              <w:rPr>
                <w:b/>
              </w:rPr>
              <w:t>Cardiovascular</w:t>
            </w:r>
          </w:p>
          <w:p w14:paraId="364A685E" w14:textId="77777777" w:rsidR="007F6DF7" w:rsidRDefault="002C4268">
            <w:pPr>
              <w:pStyle w:val="TableParagraph"/>
              <w:spacing w:before="60"/>
              <w:ind w:left="108" w:right="135"/>
              <w:jc w:val="both"/>
            </w:pPr>
            <w:r>
              <w:t>Resting HR greater than 120bpm, arrhythmia/palpitations, clinically significant increase in systolic BP</w:t>
            </w:r>
          </w:p>
        </w:tc>
        <w:tc>
          <w:tcPr>
            <w:tcW w:w="1841" w:type="dxa"/>
          </w:tcPr>
          <w:p w14:paraId="5F92B510" w14:textId="77777777" w:rsidR="007F6DF7" w:rsidRDefault="002C4268">
            <w:pPr>
              <w:pStyle w:val="TableParagraph"/>
              <w:spacing w:before="53"/>
              <w:ind w:left="107"/>
            </w:pPr>
            <w:r>
              <w:t>uncommon (≥</w:t>
            </w:r>
          </w:p>
          <w:p w14:paraId="1A391BA1" w14:textId="77777777" w:rsidR="007F6DF7" w:rsidRDefault="002C4268">
            <w:pPr>
              <w:pStyle w:val="TableParagraph"/>
              <w:ind w:left="107"/>
            </w:pPr>
            <w:r>
              <w:t>1/1000 to &lt;</w:t>
            </w:r>
          </w:p>
          <w:p w14:paraId="1BE5A9C9" w14:textId="77777777" w:rsidR="007F6DF7" w:rsidRDefault="002C4268">
            <w:pPr>
              <w:pStyle w:val="TableParagraph"/>
              <w:spacing w:before="1"/>
              <w:ind w:left="107"/>
            </w:pPr>
            <w:r>
              <w:t>1/100)</w:t>
            </w:r>
          </w:p>
        </w:tc>
        <w:tc>
          <w:tcPr>
            <w:tcW w:w="4510" w:type="dxa"/>
          </w:tcPr>
          <w:p w14:paraId="54AF43A2" w14:textId="77777777" w:rsidR="007F6DF7" w:rsidRDefault="002C4268">
            <w:pPr>
              <w:pStyle w:val="TableParagraph"/>
              <w:numPr>
                <w:ilvl w:val="0"/>
                <w:numId w:val="6"/>
              </w:numPr>
              <w:tabs>
                <w:tab w:val="left" w:pos="830"/>
                <w:tab w:val="left" w:pos="831"/>
              </w:tabs>
              <w:spacing w:before="53"/>
              <w:ind w:right="230" w:firstLine="0"/>
            </w:pPr>
            <w:r>
              <w:t>In context of the recent dose increase, revert to the previous dose and discuss with the specialist for ongoing</w:t>
            </w:r>
            <w:r>
              <w:rPr>
                <w:spacing w:val="-6"/>
              </w:rPr>
              <w:t xml:space="preserve"> </w:t>
            </w:r>
            <w:proofErr w:type="gramStart"/>
            <w:r>
              <w:t>management</w:t>
            </w:r>
            <w:proofErr w:type="gramEnd"/>
          </w:p>
          <w:p w14:paraId="62C27FDB" w14:textId="77777777" w:rsidR="007F6DF7" w:rsidRDefault="002C4268">
            <w:pPr>
              <w:pStyle w:val="TableParagraph"/>
              <w:numPr>
                <w:ilvl w:val="0"/>
                <w:numId w:val="6"/>
              </w:numPr>
              <w:tabs>
                <w:tab w:val="left" w:pos="830"/>
                <w:tab w:val="left" w:pos="831"/>
              </w:tabs>
              <w:spacing w:before="61"/>
              <w:ind w:right="227" w:firstLine="0"/>
            </w:pPr>
            <w:r>
              <w:t xml:space="preserve">In absence of recent dose changes, consider reducing the dose by half or discontinuing the medication </w:t>
            </w:r>
            <w:proofErr w:type="gramStart"/>
            <w:r>
              <w:t>in light of</w:t>
            </w:r>
            <w:proofErr w:type="gramEnd"/>
            <w:r>
              <w:t xml:space="preserve"> clinical findings. Further investigations should be considered including ECG, 24-hour BP and</w:t>
            </w:r>
            <w:r>
              <w:rPr>
                <w:spacing w:val="-11"/>
              </w:rPr>
              <w:t xml:space="preserve"> </w:t>
            </w:r>
            <w:r>
              <w:t>24-</w:t>
            </w:r>
          </w:p>
          <w:p w14:paraId="5AAFE4E0" w14:textId="77777777" w:rsidR="007F6DF7" w:rsidRDefault="002C4268">
            <w:pPr>
              <w:pStyle w:val="TableParagraph"/>
              <w:spacing w:line="270" w:lineRule="atLeast"/>
              <w:ind w:left="110" w:right="462"/>
            </w:pPr>
            <w:r>
              <w:t>hour ECG. Consider referral to a cardiology/ specialist physician.</w:t>
            </w:r>
          </w:p>
        </w:tc>
      </w:tr>
      <w:tr w:rsidR="007F6DF7" w14:paraId="0A6C3AC8" w14:textId="77777777">
        <w:trPr>
          <w:trHeight w:val="1401"/>
        </w:trPr>
        <w:tc>
          <w:tcPr>
            <w:tcW w:w="3258" w:type="dxa"/>
          </w:tcPr>
          <w:p w14:paraId="0BDD002A" w14:textId="77777777" w:rsidR="007F6DF7" w:rsidRDefault="002C4268">
            <w:pPr>
              <w:pStyle w:val="TableParagraph"/>
              <w:spacing w:before="53"/>
              <w:ind w:left="108"/>
              <w:rPr>
                <w:b/>
              </w:rPr>
            </w:pPr>
            <w:r>
              <w:rPr>
                <w:b/>
              </w:rPr>
              <w:t>Gastrointestinal disorders</w:t>
            </w:r>
          </w:p>
          <w:p w14:paraId="385BF06C" w14:textId="77777777" w:rsidR="007F6DF7" w:rsidRDefault="002C4268">
            <w:pPr>
              <w:pStyle w:val="TableParagraph"/>
              <w:spacing w:before="60"/>
              <w:ind w:left="108" w:right="321"/>
            </w:pPr>
            <w:r>
              <w:t>Including abdominal pain, vomiting, nausea, constipation, dyspepsia</w:t>
            </w:r>
          </w:p>
        </w:tc>
        <w:tc>
          <w:tcPr>
            <w:tcW w:w="1841" w:type="dxa"/>
          </w:tcPr>
          <w:p w14:paraId="3A233CAC" w14:textId="77777777" w:rsidR="007F6DF7" w:rsidRDefault="002C4268">
            <w:pPr>
              <w:pStyle w:val="TableParagraph"/>
              <w:spacing w:before="53"/>
              <w:ind w:left="107" w:right="111"/>
            </w:pPr>
            <w:r>
              <w:t xml:space="preserve">Very common (≥ 1/10) to common </w:t>
            </w:r>
            <w:r>
              <w:rPr>
                <w:color w:val="161616"/>
              </w:rPr>
              <w:t>(≥1/100 to &lt;1/10)</w:t>
            </w:r>
          </w:p>
        </w:tc>
        <w:tc>
          <w:tcPr>
            <w:tcW w:w="4510" w:type="dxa"/>
          </w:tcPr>
          <w:p w14:paraId="74DB595D" w14:textId="77777777" w:rsidR="007F6DF7" w:rsidRDefault="002C4268">
            <w:pPr>
              <w:pStyle w:val="TableParagraph"/>
              <w:spacing w:before="53"/>
              <w:ind w:left="110" w:right="110"/>
            </w:pPr>
            <w:r>
              <w:t>Review and provide dosing advice; patients may benefit from taking atomoxetine in two equally divided doses (once in the morning, and once in the late afternoon or early</w:t>
            </w:r>
            <w:r>
              <w:rPr>
                <w:spacing w:val="-8"/>
              </w:rPr>
              <w:t xml:space="preserve"> </w:t>
            </w:r>
            <w:r>
              <w:t>evening).</w:t>
            </w:r>
          </w:p>
          <w:p w14:paraId="1E003E8C" w14:textId="77777777" w:rsidR="007F6DF7" w:rsidRDefault="002C4268">
            <w:pPr>
              <w:pStyle w:val="TableParagraph"/>
              <w:spacing w:line="253" w:lineRule="exact"/>
              <w:ind w:left="110"/>
            </w:pPr>
            <w:proofErr w:type="gramStart"/>
            <w:r>
              <w:t>Generally</w:t>
            </w:r>
            <w:proofErr w:type="gramEnd"/>
            <w:r>
              <w:t xml:space="preserve"> resolves.</w:t>
            </w:r>
          </w:p>
        </w:tc>
      </w:tr>
    </w:tbl>
    <w:p w14:paraId="7517CDCA" w14:textId="77777777" w:rsidR="007F6DF7" w:rsidRDefault="007F6DF7">
      <w:pPr>
        <w:spacing w:line="253" w:lineRule="exact"/>
        <w:sectPr w:rsidR="007F6DF7">
          <w:headerReference w:type="default" r:id="rId42"/>
          <w:pgSz w:w="11910" w:h="16840"/>
          <w:pgMar w:top="1120" w:right="720" w:bottom="1780" w:left="400" w:header="0" w:footer="1595"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1841"/>
        <w:gridCol w:w="4510"/>
      </w:tblGrid>
      <w:tr w:rsidR="007F6DF7" w14:paraId="5BC1B407" w14:textId="77777777">
        <w:trPr>
          <w:trHeight w:val="2599"/>
        </w:trPr>
        <w:tc>
          <w:tcPr>
            <w:tcW w:w="3258" w:type="dxa"/>
          </w:tcPr>
          <w:p w14:paraId="2D3EB4FF" w14:textId="77777777" w:rsidR="007F6DF7" w:rsidRDefault="002C4268">
            <w:pPr>
              <w:pStyle w:val="TableParagraph"/>
              <w:spacing w:before="56"/>
              <w:ind w:left="108" w:right="314"/>
            </w:pPr>
            <w:r>
              <w:rPr>
                <w:b/>
              </w:rPr>
              <w:lastRenderedPageBreak/>
              <w:t xml:space="preserve">Weight or BMI outside healthy range </w:t>
            </w:r>
            <w:r>
              <w:t>Including anorexia or weight loss</w:t>
            </w:r>
          </w:p>
        </w:tc>
        <w:tc>
          <w:tcPr>
            <w:tcW w:w="1841" w:type="dxa"/>
          </w:tcPr>
          <w:p w14:paraId="59B262CB" w14:textId="77777777" w:rsidR="007F6DF7" w:rsidRDefault="002C4268">
            <w:pPr>
              <w:pStyle w:val="TableParagraph"/>
              <w:spacing w:before="56"/>
              <w:ind w:left="107" w:right="152"/>
              <w:jc w:val="both"/>
            </w:pPr>
            <w:r>
              <w:t xml:space="preserve">very common (&gt;- 1/10) to common </w:t>
            </w:r>
            <w:r>
              <w:rPr>
                <w:color w:val="161616"/>
              </w:rPr>
              <w:t>(≥1/100 to</w:t>
            </w:r>
          </w:p>
          <w:p w14:paraId="2B84DC84" w14:textId="77777777" w:rsidR="007F6DF7" w:rsidRDefault="002C4268">
            <w:pPr>
              <w:pStyle w:val="TableParagraph"/>
              <w:spacing w:line="267" w:lineRule="exact"/>
              <w:ind w:left="107"/>
              <w:jc w:val="both"/>
            </w:pPr>
            <w:r>
              <w:rPr>
                <w:color w:val="161616"/>
              </w:rPr>
              <w:t>&lt;1/10)</w:t>
            </w:r>
          </w:p>
        </w:tc>
        <w:tc>
          <w:tcPr>
            <w:tcW w:w="4510" w:type="dxa"/>
          </w:tcPr>
          <w:p w14:paraId="230C7478" w14:textId="77777777" w:rsidR="007F6DF7" w:rsidRDefault="002C4268">
            <w:pPr>
              <w:pStyle w:val="TableParagraph"/>
              <w:spacing w:before="56"/>
              <w:ind w:left="110" w:right="593"/>
            </w:pPr>
            <w:r>
              <w:t>Recommend small, frequent meals and/or snacks, and high-calorie foods of good nutritional value.</w:t>
            </w:r>
          </w:p>
          <w:p w14:paraId="2FDCE222" w14:textId="77777777" w:rsidR="007F6DF7" w:rsidRDefault="002C4268">
            <w:pPr>
              <w:pStyle w:val="TableParagraph"/>
              <w:spacing w:before="58"/>
              <w:ind w:left="110" w:right="235"/>
              <w:jc w:val="both"/>
            </w:pPr>
            <w:r>
              <w:t>Recommend taking atomoxetine with or after meals, and not before. Obtain dietary advice if required.</w:t>
            </w:r>
          </w:p>
          <w:p w14:paraId="47DBF137" w14:textId="77777777" w:rsidR="007F6DF7" w:rsidRDefault="002C4268">
            <w:pPr>
              <w:pStyle w:val="TableParagraph"/>
              <w:spacing w:before="60" w:line="270" w:lineRule="atLeast"/>
              <w:ind w:left="110" w:right="242"/>
              <w:jc w:val="both"/>
            </w:pPr>
            <w:r>
              <w:t>Discuss with the specialist if difficulty persists; dose reduction, treatment break, or change of medicine may be required.</w:t>
            </w:r>
          </w:p>
        </w:tc>
      </w:tr>
      <w:tr w:rsidR="007F6DF7" w14:paraId="1290D575" w14:textId="77777777">
        <w:trPr>
          <w:trHeight w:val="3134"/>
        </w:trPr>
        <w:tc>
          <w:tcPr>
            <w:tcW w:w="3258" w:type="dxa"/>
          </w:tcPr>
          <w:p w14:paraId="312463B5" w14:textId="77777777" w:rsidR="007F6DF7" w:rsidRDefault="002C4268">
            <w:pPr>
              <w:pStyle w:val="TableParagraph"/>
              <w:spacing w:before="53"/>
              <w:ind w:left="108"/>
              <w:rPr>
                <w:b/>
              </w:rPr>
            </w:pPr>
            <w:r>
              <w:rPr>
                <w:b/>
              </w:rPr>
              <w:t>Psychiatric disorders</w:t>
            </w:r>
          </w:p>
          <w:p w14:paraId="5C11F78F" w14:textId="77777777" w:rsidR="007F6DF7" w:rsidRDefault="002C4268">
            <w:pPr>
              <w:pStyle w:val="TableParagraph"/>
              <w:spacing w:before="60"/>
              <w:ind w:left="108" w:right="287"/>
            </w:pPr>
            <w:r>
              <w:t xml:space="preserve">New or worsening psychiatric symptoms, e.g. suicide related </w:t>
            </w:r>
            <w:proofErr w:type="spellStart"/>
            <w:r>
              <w:t>behaviour</w:t>
            </w:r>
            <w:proofErr w:type="spellEnd"/>
            <w:r>
              <w:t xml:space="preserve">, psychosis, mania, aggressive or hostile </w:t>
            </w:r>
            <w:proofErr w:type="spellStart"/>
            <w:r>
              <w:t>behaviour</w:t>
            </w:r>
            <w:proofErr w:type="spellEnd"/>
            <w:r>
              <w:t xml:space="preserve">, suicidal ideation or </w:t>
            </w:r>
            <w:proofErr w:type="spellStart"/>
            <w:r>
              <w:t>behaviour</w:t>
            </w:r>
            <w:proofErr w:type="spellEnd"/>
            <w:r>
              <w:t xml:space="preserve">, </w:t>
            </w:r>
            <w:proofErr w:type="gramStart"/>
            <w:r>
              <w:t>motor</w:t>
            </w:r>
            <w:proofErr w:type="gramEnd"/>
            <w:r>
              <w:t xml:space="preserve"> or verbal tics (including Tourette’s syndrome), anxiety, agitation or tension, bipolar disorder, or depression</w:t>
            </w:r>
          </w:p>
        </w:tc>
        <w:tc>
          <w:tcPr>
            <w:tcW w:w="1841" w:type="dxa"/>
          </w:tcPr>
          <w:p w14:paraId="38531CDD" w14:textId="77777777" w:rsidR="007F6DF7" w:rsidRDefault="002C4268">
            <w:pPr>
              <w:pStyle w:val="TableParagraph"/>
              <w:spacing w:before="53"/>
              <w:ind w:left="107" w:right="105"/>
            </w:pPr>
            <w:r>
              <w:t xml:space="preserve">common </w:t>
            </w:r>
            <w:r>
              <w:rPr>
                <w:color w:val="161616"/>
              </w:rPr>
              <w:t xml:space="preserve">(≥1/100 to &lt;1/10) </w:t>
            </w:r>
            <w:r>
              <w:t>to uncommon (</w:t>
            </w:r>
            <w:r>
              <w:rPr>
                <w:color w:val="161616"/>
              </w:rPr>
              <w:t>≥1/1,000 to</w:t>
            </w:r>
          </w:p>
          <w:p w14:paraId="6787240C" w14:textId="77777777" w:rsidR="007F6DF7" w:rsidRDefault="002C4268">
            <w:pPr>
              <w:pStyle w:val="TableParagraph"/>
              <w:spacing w:line="268" w:lineRule="exact"/>
              <w:ind w:left="107"/>
            </w:pPr>
            <w:r>
              <w:rPr>
                <w:color w:val="161616"/>
              </w:rPr>
              <w:t>&lt;1/100</w:t>
            </w:r>
            <w:r>
              <w:t>)</w:t>
            </w:r>
          </w:p>
        </w:tc>
        <w:tc>
          <w:tcPr>
            <w:tcW w:w="4510" w:type="dxa"/>
          </w:tcPr>
          <w:p w14:paraId="467ED16D" w14:textId="77777777" w:rsidR="007F6DF7" w:rsidRDefault="002C4268">
            <w:pPr>
              <w:pStyle w:val="TableParagraph"/>
              <w:spacing w:before="53"/>
              <w:ind w:left="110"/>
            </w:pPr>
            <w:r>
              <w:t xml:space="preserve">Contact the specialist team and refer for psychiatric assessment if appropriate. Refer for urgent psychiatric assessment if suicide-related </w:t>
            </w:r>
            <w:proofErr w:type="spellStart"/>
            <w:r>
              <w:t>behaviour</w:t>
            </w:r>
            <w:proofErr w:type="spellEnd"/>
            <w:r>
              <w:t xml:space="preserve"> or ideation occurs.</w:t>
            </w:r>
          </w:p>
          <w:p w14:paraId="0A35201D" w14:textId="77777777" w:rsidR="007F6DF7" w:rsidRDefault="007F6DF7">
            <w:pPr>
              <w:pStyle w:val="TableParagraph"/>
              <w:spacing w:before="10"/>
              <w:rPr>
                <w:sz w:val="31"/>
              </w:rPr>
            </w:pPr>
          </w:p>
          <w:p w14:paraId="331DA006" w14:textId="77777777" w:rsidR="007F6DF7" w:rsidRDefault="002C4268">
            <w:pPr>
              <w:pStyle w:val="TableParagraph"/>
              <w:ind w:left="110" w:right="264"/>
            </w:pPr>
            <w:r>
              <w:t>Discuss the ongoing benefit of treatment with the specialist team.</w:t>
            </w:r>
          </w:p>
        </w:tc>
      </w:tr>
      <w:tr w:rsidR="007F6DF7" w14:paraId="5207BED2" w14:textId="77777777">
        <w:trPr>
          <w:trHeight w:val="2268"/>
        </w:trPr>
        <w:tc>
          <w:tcPr>
            <w:tcW w:w="3258" w:type="dxa"/>
          </w:tcPr>
          <w:p w14:paraId="5959A3B9" w14:textId="77777777" w:rsidR="007F6DF7" w:rsidRDefault="002C4268">
            <w:pPr>
              <w:pStyle w:val="TableParagraph"/>
              <w:spacing w:before="53"/>
              <w:ind w:left="108"/>
              <w:rPr>
                <w:b/>
              </w:rPr>
            </w:pPr>
            <w:r>
              <w:rPr>
                <w:b/>
              </w:rPr>
              <w:t>Hepatic effects</w:t>
            </w:r>
          </w:p>
          <w:p w14:paraId="5EEACF37" w14:textId="77777777" w:rsidR="007F6DF7" w:rsidRDefault="002C4268">
            <w:pPr>
              <w:pStyle w:val="TableParagraph"/>
              <w:spacing w:before="60"/>
              <w:ind w:left="108"/>
            </w:pPr>
            <w:r>
              <w:t>Signs or symptoms of liver injury,</w:t>
            </w:r>
          </w:p>
          <w:p w14:paraId="711C571B" w14:textId="77777777" w:rsidR="007F6DF7" w:rsidRDefault="002C4268">
            <w:pPr>
              <w:pStyle w:val="TableParagraph"/>
              <w:spacing w:before="1"/>
              <w:ind w:left="108" w:right="156"/>
            </w:pPr>
            <w:r>
              <w:t>e.g. abdominal pain, unexplained nausea, malaise, jaundice, or darkening of urine</w:t>
            </w:r>
          </w:p>
        </w:tc>
        <w:tc>
          <w:tcPr>
            <w:tcW w:w="1841" w:type="dxa"/>
          </w:tcPr>
          <w:p w14:paraId="674696C0" w14:textId="77777777" w:rsidR="007F6DF7" w:rsidRDefault="002C4268">
            <w:pPr>
              <w:pStyle w:val="TableParagraph"/>
              <w:spacing w:before="53"/>
              <w:ind w:left="107"/>
            </w:pPr>
            <w:r>
              <w:t>rare (≥ 1/10,000</w:t>
            </w:r>
          </w:p>
          <w:p w14:paraId="1A122BFA" w14:textId="77777777" w:rsidR="007F6DF7" w:rsidRDefault="002C4268">
            <w:pPr>
              <w:pStyle w:val="TableParagraph"/>
              <w:ind w:left="107"/>
            </w:pPr>
            <w:r>
              <w:t>to &lt; 1/1,000)</w:t>
            </w:r>
          </w:p>
        </w:tc>
        <w:tc>
          <w:tcPr>
            <w:tcW w:w="4510" w:type="dxa"/>
          </w:tcPr>
          <w:p w14:paraId="462DE2B2" w14:textId="77777777" w:rsidR="007F6DF7" w:rsidRDefault="002C4268">
            <w:pPr>
              <w:pStyle w:val="TableParagraph"/>
              <w:spacing w:before="53"/>
              <w:ind w:left="110" w:right="226"/>
            </w:pPr>
            <w:r>
              <w:t>Perform liver function tests (LFTs), including serum bilirubin, and discuss with the specialist team.</w:t>
            </w:r>
          </w:p>
          <w:p w14:paraId="695EAE70" w14:textId="77777777" w:rsidR="007F6DF7" w:rsidRDefault="002C4268">
            <w:pPr>
              <w:pStyle w:val="TableParagraph"/>
              <w:spacing w:before="61"/>
              <w:ind w:left="110" w:right="397"/>
            </w:pPr>
            <w:r>
              <w:t>Discontinue atomoxetine permanently in patients who develop jaundice or for whom there is laboratory evidence of liver injury (if unclear if injury or transient derangement,</w:t>
            </w:r>
          </w:p>
          <w:p w14:paraId="7056EE7A" w14:textId="77777777" w:rsidR="007F6DF7" w:rsidRDefault="002C4268">
            <w:pPr>
              <w:pStyle w:val="TableParagraph"/>
              <w:spacing w:line="253" w:lineRule="exact"/>
              <w:ind w:left="110"/>
            </w:pPr>
            <w:r>
              <w:t>discuss urgently with specialist).</w:t>
            </w:r>
          </w:p>
        </w:tc>
      </w:tr>
      <w:tr w:rsidR="007F6DF7" w14:paraId="5FFF30BF" w14:textId="77777777">
        <w:trPr>
          <w:trHeight w:val="1403"/>
        </w:trPr>
        <w:tc>
          <w:tcPr>
            <w:tcW w:w="3258" w:type="dxa"/>
          </w:tcPr>
          <w:p w14:paraId="0E306BEA" w14:textId="77777777" w:rsidR="007F6DF7" w:rsidRDefault="002C4268">
            <w:pPr>
              <w:pStyle w:val="TableParagraph"/>
              <w:spacing w:before="53"/>
              <w:ind w:left="108"/>
              <w:rPr>
                <w:b/>
              </w:rPr>
            </w:pPr>
            <w:r>
              <w:rPr>
                <w:b/>
              </w:rPr>
              <w:t>Nervous system disorders</w:t>
            </w:r>
          </w:p>
          <w:p w14:paraId="72A89984" w14:textId="77777777" w:rsidR="007F6DF7" w:rsidRDefault="002C4268">
            <w:pPr>
              <w:pStyle w:val="TableParagraph"/>
              <w:spacing w:before="60"/>
              <w:ind w:left="108"/>
            </w:pPr>
            <w:r>
              <w:t>Somnolence or sedation</w:t>
            </w:r>
          </w:p>
        </w:tc>
        <w:tc>
          <w:tcPr>
            <w:tcW w:w="1841" w:type="dxa"/>
          </w:tcPr>
          <w:p w14:paraId="49164EEB" w14:textId="77777777" w:rsidR="007F6DF7" w:rsidRDefault="002C4268">
            <w:pPr>
              <w:pStyle w:val="TableParagraph"/>
              <w:spacing w:before="53"/>
              <w:ind w:left="107" w:right="251"/>
            </w:pPr>
            <w:r>
              <w:t>very common (</w:t>
            </w:r>
            <w:r>
              <w:rPr>
                <w:color w:val="161616"/>
              </w:rPr>
              <w:t xml:space="preserve">≥ </w:t>
            </w:r>
            <w:r>
              <w:t>1/10)</w:t>
            </w:r>
          </w:p>
        </w:tc>
        <w:tc>
          <w:tcPr>
            <w:tcW w:w="4510" w:type="dxa"/>
          </w:tcPr>
          <w:p w14:paraId="77DE71D9" w14:textId="77777777" w:rsidR="007F6DF7" w:rsidRDefault="002C4268">
            <w:pPr>
              <w:pStyle w:val="TableParagraph"/>
              <w:spacing w:before="53"/>
              <w:ind w:left="110" w:right="110"/>
            </w:pPr>
            <w:r>
              <w:t>Review and provide dosing advice; patients may benefit from taking atomoxetine in two equally divided doses (once in the morning, and once in late afternoon or early</w:t>
            </w:r>
            <w:r>
              <w:rPr>
                <w:spacing w:val="-10"/>
              </w:rPr>
              <w:t xml:space="preserve"> </w:t>
            </w:r>
            <w:r>
              <w:t>evening).</w:t>
            </w:r>
          </w:p>
          <w:p w14:paraId="2BC281ED" w14:textId="77777777" w:rsidR="007F6DF7" w:rsidRDefault="002C4268">
            <w:pPr>
              <w:pStyle w:val="TableParagraph"/>
              <w:spacing w:before="1" w:line="255" w:lineRule="exact"/>
              <w:ind w:left="110"/>
            </w:pPr>
            <w:proofErr w:type="gramStart"/>
            <w:r>
              <w:t>Generally</w:t>
            </w:r>
            <w:proofErr w:type="gramEnd"/>
            <w:r>
              <w:t xml:space="preserve"> resolves.</w:t>
            </w:r>
          </w:p>
        </w:tc>
      </w:tr>
      <w:tr w:rsidR="007F6DF7" w14:paraId="04BC410F" w14:textId="77777777">
        <w:trPr>
          <w:trHeight w:val="866"/>
        </w:trPr>
        <w:tc>
          <w:tcPr>
            <w:tcW w:w="3258" w:type="dxa"/>
          </w:tcPr>
          <w:p w14:paraId="5BFDEC72" w14:textId="77777777" w:rsidR="007F6DF7" w:rsidRDefault="002C4268">
            <w:pPr>
              <w:pStyle w:val="TableParagraph"/>
              <w:spacing w:before="53"/>
              <w:ind w:left="108" w:right="622"/>
            </w:pPr>
            <w:r>
              <w:t>New onset of seizures, or increased seizure frequency</w:t>
            </w:r>
          </w:p>
        </w:tc>
        <w:tc>
          <w:tcPr>
            <w:tcW w:w="1841" w:type="dxa"/>
          </w:tcPr>
          <w:p w14:paraId="3764C22F" w14:textId="77777777" w:rsidR="007F6DF7" w:rsidRDefault="002C4268">
            <w:pPr>
              <w:pStyle w:val="TableParagraph"/>
              <w:spacing w:before="53"/>
              <w:ind w:left="107"/>
            </w:pPr>
            <w:r>
              <w:t>uncommon</w:t>
            </w:r>
          </w:p>
          <w:p w14:paraId="2F7A46B6" w14:textId="77777777" w:rsidR="007F6DF7" w:rsidRDefault="002C4268">
            <w:pPr>
              <w:pStyle w:val="TableParagraph"/>
              <w:ind w:left="107"/>
            </w:pPr>
            <w:r>
              <w:t>(≥1/1,000 to</w:t>
            </w:r>
          </w:p>
          <w:p w14:paraId="00F79275" w14:textId="77777777" w:rsidR="007F6DF7" w:rsidRDefault="002C4268">
            <w:pPr>
              <w:pStyle w:val="TableParagraph"/>
              <w:spacing w:before="1" w:line="255" w:lineRule="exact"/>
              <w:ind w:left="107"/>
            </w:pPr>
            <w:r>
              <w:t>&lt;1/100)</w:t>
            </w:r>
          </w:p>
        </w:tc>
        <w:tc>
          <w:tcPr>
            <w:tcW w:w="4510" w:type="dxa"/>
          </w:tcPr>
          <w:p w14:paraId="34BA39EB" w14:textId="77777777" w:rsidR="007F6DF7" w:rsidRDefault="002C4268">
            <w:pPr>
              <w:pStyle w:val="TableParagraph"/>
              <w:spacing w:before="53"/>
              <w:ind w:left="110" w:right="609"/>
            </w:pPr>
            <w:r>
              <w:t xml:space="preserve">Discuss with the specialist team. Discontinuation of atomoxetine should </w:t>
            </w:r>
            <w:proofErr w:type="gramStart"/>
            <w:r>
              <w:t>be</w:t>
            </w:r>
            <w:proofErr w:type="gramEnd"/>
          </w:p>
          <w:p w14:paraId="674CB4AD" w14:textId="77777777" w:rsidR="007F6DF7" w:rsidRDefault="002C4268">
            <w:pPr>
              <w:pStyle w:val="TableParagraph"/>
              <w:spacing w:before="1" w:line="255" w:lineRule="exact"/>
              <w:ind w:left="110"/>
            </w:pPr>
            <w:r>
              <w:t>considered.</w:t>
            </w:r>
          </w:p>
        </w:tc>
      </w:tr>
    </w:tbl>
    <w:p w14:paraId="45187CF8" w14:textId="77777777" w:rsidR="007F6DF7" w:rsidRDefault="007F6DF7">
      <w:pPr>
        <w:pStyle w:val="BodyText"/>
        <w:spacing w:before="9"/>
        <w:rPr>
          <w:sz w:val="26"/>
        </w:rPr>
      </w:pPr>
    </w:p>
    <w:p w14:paraId="5A04EFEE" w14:textId="5721E0B3" w:rsidR="007F6DF7" w:rsidRDefault="002C4268" w:rsidP="00A25F02">
      <w:pPr>
        <w:spacing w:before="56" w:after="240"/>
        <w:ind w:left="733" w:right="704"/>
        <w:rPr>
          <w:i/>
        </w:rPr>
      </w:pPr>
      <w:r>
        <w:rPr>
          <w:i/>
        </w:rPr>
        <w:t xml:space="preserve">Suspected adverse drug reactions should be reported to the MHRA using the </w:t>
      </w:r>
      <w:hyperlink r:id="rId43">
        <w:r>
          <w:rPr>
            <w:i/>
            <w:color w:val="0000FF"/>
            <w:u w:val="single" w:color="0000FF"/>
          </w:rPr>
          <w:t>Yellow Card Scheme</w:t>
        </w:r>
      </w:hyperlink>
      <w:r>
        <w:rPr>
          <w:i/>
        </w:rPr>
        <w:t>. Refer to BNF for further details.</w:t>
      </w:r>
    </w:p>
    <w:p w14:paraId="51D12016" w14:textId="77C724DB" w:rsidR="007F6DF7" w:rsidRPr="00A25F02" w:rsidRDefault="002C4268" w:rsidP="00A25F02">
      <w:pPr>
        <w:pStyle w:val="Heading1"/>
        <w:numPr>
          <w:ilvl w:val="0"/>
          <w:numId w:val="19"/>
        </w:numPr>
        <w:tabs>
          <w:tab w:val="left" w:pos="1299"/>
          <w:tab w:val="left" w:pos="1300"/>
          <w:tab w:val="left" w:pos="10095"/>
        </w:tabs>
        <w:spacing w:before="45"/>
        <w:ind w:hanging="566"/>
      </w:pPr>
      <w:bookmarkStart w:id="10" w:name="_bookmark10"/>
      <w:bookmarkEnd w:id="10"/>
      <w:r>
        <w:rPr>
          <w:color w:val="FFFFFF"/>
          <w:shd w:val="clear" w:color="auto" w:fill="538DD3"/>
        </w:rPr>
        <w:t>Cautions</w:t>
      </w:r>
      <w:r>
        <w:rPr>
          <w:color w:val="FFFFFF"/>
          <w:shd w:val="clear" w:color="auto" w:fill="538DD3"/>
        </w:rPr>
        <w:tab/>
      </w:r>
    </w:p>
    <w:p w14:paraId="5660394D" w14:textId="2A859460" w:rsidR="007F6DF7" w:rsidRDefault="002C4268" w:rsidP="00A25F02">
      <w:pPr>
        <w:pStyle w:val="BodyText"/>
        <w:ind w:left="733"/>
      </w:pPr>
      <w:r>
        <w:t xml:space="preserve">For a full list of the cautions, refer to the individual </w:t>
      </w:r>
      <w:hyperlink r:id="rId44">
        <w:r>
          <w:rPr>
            <w:color w:val="0000FF"/>
            <w:u w:val="single" w:color="0000FF"/>
          </w:rPr>
          <w:t>SmPC</w:t>
        </w:r>
        <w:r>
          <w:t>.</w:t>
        </w:r>
      </w:hyperlink>
    </w:p>
    <w:p w14:paraId="448325A0" w14:textId="77777777" w:rsidR="007F6DF7" w:rsidRDefault="002C4268">
      <w:pPr>
        <w:pStyle w:val="Heading3"/>
        <w:spacing w:before="56"/>
      </w:pPr>
      <w:r>
        <w:t>Methylphenidate:</w:t>
      </w:r>
    </w:p>
    <w:p w14:paraId="76473F1E" w14:textId="77777777" w:rsidR="007F6DF7" w:rsidRDefault="007F6DF7">
      <w:pPr>
        <w:sectPr w:rsidR="007F6DF7">
          <w:headerReference w:type="default" r:id="rId45"/>
          <w:pgSz w:w="11910" w:h="16840"/>
          <w:pgMar w:top="1120" w:right="720" w:bottom="1780" w:left="400" w:header="0" w:footer="1595" w:gutter="0"/>
          <w:cols w:space="720"/>
        </w:sectPr>
      </w:pPr>
    </w:p>
    <w:p w14:paraId="264D537E" w14:textId="77777777" w:rsidR="007F6DF7" w:rsidRDefault="002C4268">
      <w:pPr>
        <w:pStyle w:val="BodyText"/>
        <w:spacing w:before="33"/>
        <w:ind w:left="733" w:right="715"/>
        <w:jc w:val="both"/>
      </w:pPr>
      <w:r>
        <w:lastRenderedPageBreak/>
        <w:t xml:space="preserve">Agitation; anxiety; alcohol consumption (not recommended during treatment); epilepsy (discontinue if increased seizure frequency); family history of Tourette syndrome; susceptibility to angle-closure glaucoma; tics; Family history of sudden cardiac or unexplained death, malignant arrhythmia;  underlying conditions which might be compromised by increases in blood pressure or heart rate; known/history of drug or alcohol dependency or misuse of central nervous system (CNS) stimulants:; renal or hepatic insufficiency (due to lack of data); leukopenia, thrombocytopenia, </w:t>
      </w:r>
      <w:proofErr w:type="spellStart"/>
      <w:r>
        <w:t>anaemia</w:t>
      </w:r>
      <w:proofErr w:type="spellEnd"/>
      <w:r>
        <w:t xml:space="preserve">, or other </w:t>
      </w:r>
      <w:proofErr w:type="spellStart"/>
      <w:r>
        <w:t>haematological</w:t>
      </w:r>
      <w:proofErr w:type="spellEnd"/>
      <w:r>
        <w:t xml:space="preserve"> abnormalities; prolonged-release tablets only: severe narrowing of the gastrointestinal tract or dysphagia; risk of obstruction; pregnancy or breast-feeding; potential for abuse, misuse, or diversion.</w:t>
      </w:r>
    </w:p>
    <w:p w14:paraId="7F88CA55" w14:textId="77777777" w:rsidR="007F6DF7" w:rsidRDefault="007F6DF7">
      <w:pPr>
        <w:pStyle w:val="BodyText"/>
        <w:spacing w:before="11"/>
        <w:rPr>
          <w:sz w:val="31"/>
        </w:rPr>
      </w:pPr>
    </w:p>
    <w:p w14:paraId="3DC71C9C" w14:textId="77777777" w:rsidR="007F6DF7" w:rsidRDefault="002C4268">
      <w:pPr>
        <w:pStyle w:val="Heading3"/>
        <w:rPr>
          <w:b w:val="0"/>
        </w:rPr>
      </w:pPr>
      <w:proofErr w:type="spellStart"/>
      <w:r>
        <w:t>Dexamfetamine</w:t>
      </w:r>
      <w:proofErr w:type="spellEnd"/>
      <w:r>
        <w:t xml:space="preserve"> / </w:t>
      </w:r>
      <w:proofErr w:type="spellStart"/>
      <w:r>
        <w:t>Lisdexamfetamine</w:t>
      </w:r>
      <w:proofErr w:type="spellEnd"/>
      <w:r>
        <w:rPr>
          <w:b w:val="0"/>
        </w:rPr>
        <w:t>:</w:t>
      </w:r>
    </w:p>
    <w:p w14:paraId="1AA15EB9" w14:textId="77777777" w:rsidR="007F6DF7" w:rsidRDefault="002C4268">
      <w:pPr>
        <w:pStyle w:val="BodyText"/>
        <w:spacing w:before="60"/>
        <w:ind w:left="733" w:right="712"/>
        <w:jc w:val="both"/>
      </w:pPr>
      <w:r>
        <w:t xml:space="preserve">Bipolar disorder; history of cardiovascular disorders e.g. structural cardiac abnormalities, cardiomyopathy, arrhythmias, coronary artery disease, mild hypertension, recent myocardial infarction or heart failure; may lower seizure threshold (discontinue if seizures occur); psychotic disorders; depressive symptoms, susceptibility to angle-closure glaucoma; tics; Tourette syndrome; known/history of drug or alcohol dependency; avoid abrupt withdrawal; family history of sudden cardiac or unexplained death; underlying medical conditions or concomitant drugs which can increase the QT- interval or heart rate, or elevate blood pressure (e.g. cardiac disease, electrolyte disturbance); severe renal impairment; GFR 15-30mL/min/1.73m2 or </w:t>
      </w:r>
      <w:proofErr w:type="spellStart"/>
      <w:r>
        <w:t>CrCl</w:t>
      </w:r>
      <w:proofErr w:type="spellEnd"/>
      <w:r>
        <w:t xml:space="preserve"> less than 30mL/min. Dose reduction is required (</w:t>
      </w:r>
      <w:proofErr w:type="spellStart"/>
      <w:r>
        <w:t>lisdexamfetamine</w:t>
      </w:r>
      <w:proofErr w:type="spellEnd"/>
      <w:r>
        <w:t xml:space="preserve"> only); hepatic insufficiency (due to lack of data); pregnancy (</w:t>
      </w:r>
      <w:proofErr w:type="spellStart"/>
      <w:r>
        <w:t>lisdexamfetamine</w:t>
      </w:r>
      <w:proofErr w:type="spellEnd"/>
      <w:r>
        <w:t xml:space="preserve"> only) or breastfeeding; potential for abuse, misuse, or</w:t>
      </w:r>
      <w:r>
        <w:rPr>
          <w:spacing w:val="-8"/>
        </w:rPr>
        <w:t xml:space="preserve"> </w:t>
      </w:r>
      <w:r>
        <w:t>diversion.</w:t>
      </w:r>
    </w:p>
    <w:p w14:paraId="3BBB8EB6" w14:textId="77777777" w:rsidR="007F6DF7" w:rsidRDefault="007F6DF7">
      <w:pPr>
        <w:pStyle w:val="BodyText"/>
        <w:spacing w:before="11"/>
        <w:rPr>
          <w:sz w:val="31"/>
        </w:rPr>
      </w:pPr>
    </w:p>
    <w:p w14:paraId="255EBC1A" w14:textId="77777777" w:rsidR="007F6DF7" w:rsidRDefault="002C4268">
      <w:pPr>
        <w:pStyle w:val="Heading3"/>
        <w:rPr>
          <w:b w:val="0"/>
        </w:rPr>
      </w:pPr>
      <w:r>
        <w:t>Atomoxetine</w:t>
      </w:r>
      <w:r>
        <w:rPr>
          <w:b w:val="0"/>
        </w:rPr>
        <w:t>:</w:t>
      </w:r>
    </w:p>
    <w:p w14:paraId="3E62FF12" w14:textId="77777777" w:rsidR="007F6DF7" w:rsidRDefault="002C4268">
      <w:pPr>
        <w:pStyle w:val="BodyText"/>
        <w:spacing w:before="61"/>
        <w:ind w:left="733" w:right="714"/>
        <w:jc w:val="both"/>
      </w:pPr>
      <w:r>
        <w:t xml:space="preserve">QT-interval prolongation; aggressive </w:t>
      </w:r>
      <w:proofErr w:type="spellStart"/>
      <w:r>
        <w:t>behaviour</w:t>
      </w:r>
      <w:proofErr w:type="spellEnd"/>
      <w:r>
        <w:t xml:space="preserve">; cardiovascular disease; cerebrovascular disease; emotional lability; history of seizures; hostility; hypertension; mania; psychosis; structural cardiac abnormalities; susceptibility to angle-closure glaucoma; tachycardia; suicide-related </w:t>
      </w:r>
      <w:proofErr w:type="spellStart"/>
      <w:r>
        <w:t>behaviour</w:t>
      </w:r>
      <w:proofErr w:type="spellEnd"/>
      <w:r>
        <w:t xml:space="preserve"> (suicide attempts or suicidal ideation); motor or verbal tics; anxiety; depressive symptoms; mania; hepatic insufficiency (dose adjustments required); known CYP2D6 poor </w:t>
      </w:r>
      <w:proofErr w:type="spellStart"/>
      <w:r>
        <w:t>metaboliser</w:t>
      </w:r>
      <w:proofErr w:type="spellEnd"/>
      <w:r>
        <w:t xml:space="preserve"> genotype (dose reduction required); orthostatic hypotension.</w:t>
      </w:r>
    </w:p>
    <w:p w14:paraId="76E03645" w14:textId="77777777" w:rsidR="007F6DF7" w:rsidRDefault="007F6DF7">
      <w:pPr>
        <w:jc w:val="both"/>
        <w:sectPr w:rsidR="007F6DF7">
          <w:headerReference w:type="default" r:id="rId46"/>
          <w:pgSz w:w="11910" w:h="16840"/>
          <w:pgMar w:top="1080" w:right="720" w:bottom="1880" w:left="400" w:header="0" w:footer="1595" w:gutter="0"/>
          <w:cols w:space="720"/>
        </w:sectPr>
      </w:pPr>
    </w:p>
    <w:p w14:paraId="128EE204" w14:textId="77777777" w:rsidR="007F6DF7" w:rsidRDefault="002C4268">
      <w:pPr>
        <w:pStyle w:val="Heading1"/>
        <w:numPr>
          <w:ilvl w:val="0"/>
          <w:numId w:val="19"/>
        </w:numPr>
        <w:tabs>
          <w:tab w:val="left" w:pos="1299"/>
          <w:tab w:val="left" w:pos="1300"/>
          <w:tab w:val="left" w:pos="10095"/>
        </w:tabs>
        <w:spacing w:before="14"/>
        <w:ind w:hanging="566"/>
      </w:pPr>
      <w:bookmarkStart w:id="11" w:name="_bookmark11"/>
      <w:bookmarkEnd w:id="11"/>
      <w:r>
        <w:rPr>
          <w:color w:val="FFFFFF"/>
          <w:shd w:val="clear" w:color="auto" w:fill="538DD3"/>
        </w:rPr>
        <w:lastRenderedPageBreak/>
        <w:t xml:space="preserve">Pregnancy, </w:t>
      </w:r>
      <w:proofErr w:type="gramStart"/>
      <w:r>
        <w:rPr>
          <w:color w:val="FFFFFF"/>
          <w:shd w:val="clear" w:color="auto" w:fill="538DD3"/>
        </w:rPr>
        <w:t>breastfeeding</w:t>
      </w:r>
      <w:proofErr w:type="gramEnd"/>
      <w:r>
        <w:rPr>
          <w:color w:val="FFFFFF"/>
          <w:shd w:val="clear" w:color="auto" w:fill="538DD3"/>
        </w:rPr>
        <w:t xml:space="preserve"> and paternal</w:t>
      </w:r>
      <w:r>
        <w:rPr>
          <w:color w:val="FFFFFF"/>
          <w:spacing w:val="-16"/>
          <w:shd w:val="clear" w:color="auto" w:fill="538DD3"/>
        </w:rPr>
        <w:t xml:space="preserve"> </w:t>
      </w:r>
      <w:r>
        <w:rPr>
          <w:color w:val="FFFFFF"/>
          <w:shd w:val="clear" w:color="auto" w:fill="538DD3"/>
        </w:rPr>
        <w:t>exposure</w:t>
      </w:r>
      <w:r>
        <w:rPr>
          <w:color w:val="FFFFFF"/>
          <w:shd w:val="clear" w:color="auto" w:fill="538DD3"/>
        </w:rPr>
        <w:tab/>
      </w:r>
    </w:p>
    <w:p w14:paraId="0E816B21" w14:textId="77777777" w:rsidR="007F6DF7" w:rsidRDefault="002C4268">
      <w:pPr>
        <w:pStyle w:val="BodyText"/>
        <w:spacing w:before="121"/>
        <w:ind w:left="733" w:right="714"/>
        <w:jc w:val="both"/>
      </w:pPr>
      <w:r>
        <w:t xml:space="preserve">It is the responsibility of the specialist to provide advice on the need for contraception to male and female patients on initiation and at each review, but the ongoing responsibility for providing this advice rests with both the primary care prescriber and the specialist. It is important that maternal ADHD is adequately controlled during pregnancy. The risks of </w:t>
      </w:r>
      <w:proofErr w:type="spellStart"/>
      <w:r>
        <w:t>destabilisation</w:t>
      </w:r>
      <w:proofErr w:type="spellEnd"/>
      <w:r>
        <w:t xml:space="preserve"> and maternal relapse </w:t>
      </w:r>
      <w:proofErr w:type="gramStart"/>
      <w:r>
        <w:t>must  be</w:t>
      </w:r>
      <w:proofErr w:type="gramEnd"/>
      <w:r>
        <w:t xml:space="preserve"> taken into account when considering dose reduction or switching a patient from one medication to another. Prescribing of any ADHD medication during pregnancy and breastfeeding, or where a patient informs her GP/specialist that she is trying to conceive, will be done by the specialist, with shared care resuming when breastfeeding has</w:t>
      </w:r>
      <w:r>
        <w:rPr>
          <w:spacing w:val="-4"/>
        </w:rPr>
        <w:t xml:space="preserve"> </w:t>
      </w:r>
      <w:r>
        <w:t>ended.</w:t>
      </w:r>
    </w:p>
    <w:p w14:paraId="15F782E5" w14:textId="77777777" w:rsidR="007F6DF7" w:rsidRDefault="007F6DF7">
      <w:pPr>
        <w:pStyle w:val="BodyText"/>
        <w:spacing w:before="10"/>
        <w:rPr>
          <w:sz w:val="31"/>
        </w:rPr>
      </w:pPr>
    </w:p>
    <w:p w14:paraId="53653D9E" w14:textId="77777777" w:rsidR="007F6DF7" w:rsidRDefault="002C4268">
      <w:pPr>
        <w:pStyle w:val="Heading3"/>
        <w:spacing w:line="295" w:lineRule="auto"/>
        <w:ind w:right="8448"/>
      </w:pPr>
      <w:r>
        <w:t>Methylphenidate Pregnancy:</w:t>
      </w:r>
    </w:p>
    <w:p w14:paraId="6DF9B99A" w14:textId="77777777" w:rsidR="007F6DF7" w:rsidRDefault="002C4268">
      <w:pPr>
        <w:pStyle w:val="ListParagraph"/>
        <w:numPr>
          <w:ilvl w:val="0"/>
          <w:numId w:val="9"/>
        </w:numPr>
        <w:tabs>
          <w:tab w:val="left" w:pos="1094"/>
        </w:tabs>
        <w:spacing w:before="0" w:line="237" w:lineRule="auto"/>
        <w:ind w:right="720"/>
        <w:jc w:val="both"/>
      </w:pPr>
      <w:r>
        <w:t>Methylphenidate is not recommended for use during pregnancy unless a clinical decision is made that postponing treatment may pose a greater risk to the</w:t>
      </w:r>
      <w:r>
        <w:rPr>
          <w:spacing w:val="-9"/>
        </w:rPr>
        <w:t xml:space="preserve"> </w:t>
      </w:r>
      <w:r>
        <w:t>pregnancy.</w:t>
      </w:r>
    </w:p>
    <w:p w14:paraId="205235AB" w14:textId="77777777" w:rsidR="007F6DF7" w:rsidRDefault="002C4268">
      <w:pPr>
        <w:pStyle w:val="ListParagraph"/>
        <w:numPr>
          <w:ilvl w:val="0"/>
          <w:numId w:val="9"/>
        </w:numPr>
        <w:tabs>
          <w:tab w:val="left" w:pos="1094"/>
        </w:tabs>
        <w:spacing w:before="62"/>
        <w:ind w:right="718"/>
        <w:jc w:val="both"/>
      </w:pPr>
      <w:r>
        <w:t>Evidence on exposure to methylphenidate during pregnancy is too limited to draw firm conclusions on adverse outcomes. Clinicians should be aware that patients may have other risk factors which independently alter the</w:t>
      </w:r>
      <w:r>
        <w:rPr>
          <w:spacing w:val="-2"/>
        </w:rPr>
        <w:t xml:space="preserve"> </w:t>
      </w:r>
      <w:r>
        <w:t>risks.</w:t>
      </w:r>
    </w:p>
    <w:p w14:paraId="0CE1AA2E" w14:textId="77777777" w:rsidR="007F6DF7" w:rsidRDefault="002C4268">
      <w:pPr>
        <w:pStyle w:val="ListParagraph"/>
        <w:numPr>
          <w:ilvl w:val="0"/>
          <w:numId w:val="9"/>
        </w:numPr>
        <w:tabs>
          <w:tab w:val="left" w:pos="1094"/>
        </w:tabs>
        <w:ind w:right="720"/>
        <w:jc w:val="both"/>
      </w:pPr>
      <w:r>
        <w:t>Patients who become pregnant while taking methylphenidate, or who plan a pregnancy, should be referred to the specialist team for</w:t>
      </w:r>
      <w:r>
        <w:rPr>
          <w:spacing w:val="-7"/>
        </w:rPr>
        <w:t xml:space="preserve"> </w:t>
      </w:r>
      <w:r>
        <w:t>review.</w:t>
      </w:r>
    </w:p>
    <w:p w14:paraId="484A5E02" w14:textId="77777777" w:rsidR="007F6DF7" w:rsidRDefault="002C4268">
      <w:pPr>
        <w:pStyle w:val="BodyText"/>
        <w:spacing w:before="60" w:line="292" w:lineRule="auto"/>
        <w:ind w:left="733" w:right="5258"/>
      </w:pPr>
      <w:r>
        <w:t xml:space="preserve">Healthcare professional information is available </w:t>
      </w:r>
      <w:hyperlink r:id="rId47">
        <w:r>
          <w:rPr>
            <w:color w:val="0000FF"/>
            <w:u w:val="single" w:color="0000FF"/>
          </w:rPr>
          <w:t>here</w:t>
        </w:r>
      </w:hyperlink>
      <w:r>
        <w:t xml:space="preserve">. Patient information is available </w:t>
      </w:r>
      <w:hyperlink r:id="rId48">
        <w:r>
          <w:rPr>
            <w:color w:val="0000FF"/>
            <w:u w:val="single" w:color="0000FF"/>
          </w:rPr>
          <w:t>here</w:t>
        </w:r>
      </w:hyperlink>
      <w:r>
        <w:t>.:</w:t>
      </w:r>
    </w:p>
    <w:p w14:paraId="68054E83" w14:textId="77777777" w:rsidR="007F6DF7" w:rsidRDefault="007F6DF7">
      <w:pPr>
        <w:pStyle w:val="BodyText"/>
        <w:spacing w:before="5"/>
      </w:pPr>
    </w:p>
    <w:p w14:paraId="2EA1E4FD" w14:textId="77777777" w:rsidR="007F6DF7" w:rsidRDefault="002C4268">
      <w:pPr>
        <w:pStyle w:val="Heading3"/>
        <w:spacing w:before="56"/>
      </w:pPr>
      <w:r>
        <w:t>Breastfeeding:</w:t>
      </w:r>
    </w:p>
    <w:p w14:paraId="13DA78E2" w14:textId="77777777" w:rsidR="007F6DF7" w:rsidRDefault="002C4268">
      <w:pPr>
        <w:pStyle w:val="ListParagraph"/>
        <w:numPr>
          <w:ilvl w:val="0"/>
          <w:numId w:val="9"/>
        </w:numPr>
        <w:tabs>
          <w:tab w:val="left" w:pos="1094"/>
        </w:tabs>
        <w:spacing w:before="60"/>
        <w:ind w:right="717"/>
        <w:jc w:val="both"/>
      </w:pPr>
      <w:r>
        <w:t>Methylphenidate has been found in breast milk in small amounts. Evidence for safety in breastfeeding is</w:t>
      </w:r>
      <w:r>
        <w:rPr>
          <w:spacing w:val="-2"/>
        </w:rPr>
        <w:t xml:space="preserve"> </w:t>
      </w:r>
      <w:r>
        <w:t>limited.</w:t>
      </w:r>
    </w:p>
    <w:p w14:paraId="3F5C27B4" w14:textId="77777777" w:rsidR="007F6DF7" w:rsidRDefault="002C4268">
      <w:pPr>
        <w:pStyle w:val="ListParagraph"/>
        <w:numPr>
          <w:ilvl w:val="0"/>
          <w:numId w:val="9"/>
        </w:numPr>
        <w:tabs>
          <w:tab w:val="left" w:pos="1094"/>
        </w:tabs>
        <w:ind w:right="717"/>
        <w:jc w:val="both"/>
      </w:pPr>
      <w:r>
        <w:t xml:space="preserve">Decisions to use while breastfeeding should be made on a case-by-case basis, </w:t>
      </w:r>
      <w:proofErr w:type="gramStart"/>
      <w:r>
        <w:t>taking into account</w:t>
      </w:r>
      <w:proofErr w:type="gramEnd"/>
      <w:r>
        <w:t xml:space="preserve"> the risks to the infant and the benefits of therapy to the</w:t>
      </w:r>
      <w:r>
        <w:rPr>
          <w:spacing w:val="-5"/>
        </w:rPr>
        <w:t xml:space="preserve"> </w:t>
      </w:r>
      <w:r>
        <w:t>woman.</w:t>
      </w:r>
    </w:p>
    <w:p w14:paraId="4D6C07AC" w14:textId="77777777" w:rsidR="007F6DF7" w:rsidRDefault="002C4268">
      <w:pPr>
        <w:pStyle w:val="ListParagraph"/>
        <w:numPr>
          <w:ilvl w:val="0"/>
          <w:numId w:val="9"/>
        </w:numPr>
        <w:tabs>
          <w:tab w:val="left" w:pos="1094"/>
        </w:tabs>
        <w:spacing w:before="59"/>
        <w:ind w:right="720"/>
        <w:jc w:val="both"/>
      </w:pPr>
      <w:r>
        <w:t>If breastfeeding does take place, infants should be monitored for symptoms of CNS stimulation (e.g. decreased appetite/weight gain, sleep disturbances, irritability), although these may be difficult to detect.</w:t>
      </w:r>
    </w:p>
    <w:p w14:paraId="446F1ECF" w14:textId="77777777" w:rsidR="007F6DF7" w:rsidRDefault="002C4268">
      <w:pPr>
        <w:pStyle w:val="ListParagraph"/>
        <w:numPr>
          <w:ilvl w:val="0"/>
          <w:numId w:val="9"/>
        </w:numPr>
        <w:tabs>
          <w:tab w:val="left" w:pos="1093"/>
          <w:tab w:val="left" w:pos="1094"/>
        </w:tabs>
        <w:spacing w:line="290" w:lineRule="auto"/>
        <w:ind w:left="733" w:right="2344" w:firstLine="0"/>
        <w:rPr>
          <w:i/>
        </w:rPr>
      </w:pPr>
      <w:r>
        <w:t>High doses may interfere with lactation, although this is not confirmed in practice. Healthcare professional information is available</w:t>
      </w:r>
      <w:r>
        <w:rPr>
          <w:color w:val="0000FF"/>
        </w:rPr>
        <w:t xml:space="preserve"> </w:t>
      </w:r>
      <w:hyperlink r:id="rId49">
        <w:r>
          <w:rPr>
            <w:color w:val="0000FF"/>
            <w:u w:val="single" w:color="0000FF"/>
          </w:rPr>
          <w:t>here</w:t>
        </w:r>
        <w:r>
          <w:rPr>
            <w:color w:val="0000FF"/>
          </w:rPr>
          <w:t xml:space="preserve"> </w:t>
        </w:r>
      </w:hyperlink>
      <w:r>
        <w:rPr>
          <w:i/>
        </w:rPr>
        <w:t>(USA</w:t>
      </w:r>
      <w:r>
        <w:rPr>
          <w:i/>
          <w:spacing w:val="-7"/>
        </w:rPr>
        <w:t xml:space="preserve"> </w:t>
      </w:r>
      <w:r>
        <w:rPr>
          <w:i/>
        </w:rPr>
        <w:t>resource).</w:t>
      </w:r>
    </w:p>
    <w:p w14:paraId="75FDD66B" w14:textId="77777777" w:rsidR="007F6DF7" w:rsidRDefault="007F6DF7">
      <w:pPr>
        <w:pStyle w:val="BodyText"/>
        <w:spacing w:before="12"/>
        <w:rPr>
          <w:i/>
        </w:rPr>
      </w:pPr>
    </w:p>
    <w:p w14:paraId="2617C44E" w14:textId="77777777" w:rsidR="007F6DF7" w:rsidRDefault="002C4268">
      <w:pPr>
        <w:pStyle w:val="Heading3"/>
        <w:spacing w:before="56"/>
      </w:pPr>
      <w:r>
        <w:t>Paternal exposure:</w:t>
      </w:r>
    </w:p>
    <w:p w14:paraId="78D29A82" w14:textId="77777777" w:rsidR="007F6DF7" w:rsidRDefault="002C4268">
      <w:pPr>
        <w:pStyle w:val="ListParagraph"/>
        <w:numPr>
          <w:ilvl w:val="1"/>
          <w:numId w:val="9"/>
        </w:numPr>
        <w:tabs>
          <w:tab w:val="left" w:pos="1453"/>
          <w:tab w:val="left" w:pos="1454"/>
        </w:tabs>
        <w:spacing w:before="58"/>
      </w:pPr>
      <w:r>
        <w:t>No evidence regarding adverse outcomes following paternal exposure was</w:t>
      </w:r>
      <w:r>
        <w:rPr>
          <w:spacing w:val="-9"/>
        </w:rPr>
        <w:t xml:space="preserve"> </w:t>
      </w:r>
      <w:r>
        <w:t>identified.</w:t>
      </w:r>
    </w:p>
    <w:p w14:paraId="427E5394" w14:textId="77777777" w:rsidR="007F6DF7" w:rsidRDefault="002C4268">
      <w:pPr>
        <w:pStyle w:val="BodyText"/>
        <w:spacing w:before="60"/>
        <w:ind w:left="733"/>
      </w:pPr>
      <w:r>
        <w:t xml:space="preserve">Further information for patients is available at the following website: </w:t>
      </w:r>
      <w:hyperlink r:id="rId50">
        <w:r>
          <w:t xml:space="preserve">www. </w:t>
        </w:r>
      </w:hyperlink>
      <w:r>
        <w:t>medicinesinpregnancy.org</w:t>
      </w:r>
    </w:p>
    <w:p w14:paraId="03593367" w14:textId="77777777" w:rsidR="007F6DF7" w:rsidRDefault="007F6DF7">
      <w:pPr>
        <w:pStyle w:val="BodyText"/>
        <w:spacing w:before="11"/>
        <w:rPr>
          <w:sz w:val="31"/>
        </w:rPr>
      </w:pPr>
    </w:p>
    <w:p w14:paraId="1015B9B5" w14:textId="77777777" w:rsidR="007F6DF7" w:rsidRDefault="002C4268">
      <w:pPr>
        <w:pStyle w:val="Heading3"/>
        <w:spacing w:line="292" w:lineRule="auto"/>
        <w:ind w:right="6448"/>
      </w:pPr>
      <w:proofErr w:type="spellStart"/>
      <w:r>
        <w:t>Lisdexamfetamine</w:t>
      </w:r>
      <w:proofErr w:type="spellEnd"/>
      <w:r>
        <w:t xml:space="preserve"> and </w:t>
      </w:r>
      <w:proofErr w:type="spellStart"/>
      <w:r>
        <w:t>Dexamfetamine</w:t>
      </w:r>
      <w:proofErr w:type="spellEnd"/>
      <w:r>
        <w:t xml:space="preserve"> Pregnancy:</w:t>
      </w:r>
    </w:p>
    <w:p w14:paraId="2C820C94" w14:textId="77777777" w:rsidR="007F6DF7" w:rsidRDefault="002C4268">
      <w:pPr>
        <w:pStyle w:val="ListParagraph"/>
        <w:numPr>
          <w:ilvl w:val="1"/>
          <w:numId w:val="9"/>
        </w:numPr>
        <w:tabs>
          <w:tab w:val="left" w:pos="1453"/>
          <w:tab w:val="left" w:pos="1454"/>
        </w:tabs>
        <w:spacing w:before="3"/>
      </w:pPr>
      <w:r>
        <w:t xml:space="preserve">The active metabolite of </w:t>
      </w:r>
      <w:proofErr w:type="spellStart"/>
      <w:r>
        <w:t>lisdexamfetamine</w:t>
      </w:r>
      <w:proofErr w:type="spellEnd"/>
      <w:r>
        <w:t xml:space="preserve">, </w:t>
      </w:r>
      <w:proofErr w:type="spellStart"/>
      <w:r>
        <w:t>dexamfetamine</w:t>
      </w:r>
      <w:proofErr w:type="spellEnd"/>
      <w:r>
        <w:t>, is thought to cross the</w:t>
      </w:r>
      <w:r>
        <w:rPr>
          <w:spacing w:val="-15"/>
        </w:rPr>
        <w:t xml:space="preserve"> </w:t>
      </w:r>
      <w:r>
        <w:t>placenta.</w:t>
      </w:r>
    </w:p>
    <w:p w14:paraId="1429499C" w14:textId="77777777" w:rsidR="007F6DF7" w:rsidRDefault="002C4268">
      <w:pPr>
        <w:pStyle w:val="ListParagraph"/>
        <w:numPr>
          <w:ilvl w:val="1"/>
          <w:numId w:val="9"/>
        </w:numPr>
        <w:tabs>
          <w:tab w:val="left" w:pos="1454"/>
        </w:tabs>
        <w:spacing w:before="60"/>
        <w:ind w:right="718"/>
        <w:jc w:val="both"/>
      </w:pPr>
      <w:r>
        <w:t>The limited data available shows an increased risk of premature birth, reduced birth weight and preeclampsia. Infants may also develop withdrawal symptoms such as dysphoria, hyperexcitability and pronounced</w:t>
      </w:r>
      <w:r>
        <w:rPr>
          <w:spacing w:val="-3"/>
        </w:rPr>
        <w:t xml:space="preserve"> </w:t>
      </w:r>
      <w:r>
        <w:t>exhaustion.</w:t>
      </w:r>
    </w:p>
    <w:p w14:paraId="0EF98FDC" w14:textId="77777777" w:rsidR="007F6DF7" w:rsidRDefault="007F6DF7">
      <w:pPr>
        <w:jc w:val="both"/>
        <w:sectPr w:rsidR="007F6DF7">
          <w:headerReference w:type="default" r:id="rId51"/>
          <w:pgSz w:w="11910" w:h="16840"/>
          <w:pgMar w:top="1340" w:right="720" w:bottom="1880" w:left="400" w:header="0" w:footer="1595" w:gutter="0"/>
          <w:cols w:space="720"/>
        </w:sectPr>
      </w:pPr>
    </w:p>
    <w:p w14:paraId="1710A884" w14:textId="77777777" w:rsidR="007F6DF7" w:rsidRDefault="002C4268">
      <w:pPr>
        <w:pStyle w:val="ListParagraph"/>
        <w:numPr>
          <w:ilvl w:val="1"/>
          <w:numId w:val="9"/>
        </w:numPr>
        <w:tabs>
          <w:tab w:val="left" w:pos="1453"/>
          <w:tab w:val="left" w:pos="1454"/>
        </w:tabs>
        <w:spacing w:before="74"/>
      </w:pPr>
      <w:proofErr w:type="spellStart"/>
      <w:r>
        <w:lastRenderedPageBreak/>
        <w:t>Dexamfetamine</w:t>
      </w:r>
      <w:proofErr w:type="spellEnd"/>
      <w:r>
        <w:t xml:space="preserve"> is not recommended for use during</w:t>
      </w:r>
      <w:r>
        <w:rPr>
          <w:spacing w:val="-7"/>
        </w:rPr>
        <w:t xml:space="preserve"> </w:t>
      </w:r>
      <w:r>
        <w:t>pregnancy.</w:t>
      </w:r>
    </w:p>
    <w:p w14:paraId="751D8F44" w14:textId="77777777" w:rsidR="007F6DF7" w:rsidRDefault="002C4268">
      <w:pPr>
        <w:pStyle w:val="ListParagraph"/>
        <w:numPr>
          <w:ilvl w:val="1"/>
          <w:numId w:val="9"/>
        </w:numPr>
        <w:tabs>
          <w:tab w:val="left" w:pos="1454"/>
        </w:tabs>
        <w:ind w:right="719"/>
        <w:jc w:val="both"/>
      </w:pPr>
      <w:proofErr w:type="spellStart"/>
      <w:r>
        <w:t>Lisdexamfetamine</w:t>
      </w:r>
      <w:proofErr w:type="spellEnd"/>
      <w:r>
        <w:t xml:space="preserve"> should only be used during pregnancy if the potential benefit outweighs the risks.</w:t>
      </w:r>
    </w:p>
    <w:p w14:paraId="0A0E1034" w14:textId="77777777" w:rsidR="007F6DF7" w:rsidRDefault="002C4268">
      <w:pPr>
        <w:pStyle w:val="ListParagraph"/>
        <w:numPr>
          <w:ilvl w:val="1"/>
          <w:numId w:val="9"/>
        </w:numPr>
        <w:tabs>
          <w:tab w:val="left" w:pos="1453"/>
          <w:tab w:val="left" w:pos="1454"/>
        </w:tabs>
        <w:spacing w:before="60"/>
        <w:ind w:right="822"/>
      </w:pPr>
      <w:r>
        <w:t>If a patient becomes pregnant or is planning a pregnancy during treatment, they should discuss treatment options with their specialist. Healthcare professional information is available</w:t>
      </w:r>
      <w:r>
        <w:rPr>
          <w:color w:val="0000FF"/>
          <w:spacing w:val="-15"/>
        </w:rPr>
        <w:t xml:space="preserve"> </w:t>
      </w:r>
      <w:hyperlink r:id="rId52">
        <w:r>
          <w:rPr>
            <w:color w:val="0000FF"/>
            <w:u w:val="single" w:color="0000FF"/>
          </w:rPr>
          <w:t>here</w:t>
        </w:r>
      </w:hyperlink>
      <w:r>
        <w:t>.</w:t>
      </w:r>
    </w:p>
    <w:p w14:paraId="58904EF7" w14:textId="77777777" w:rsidR="007F6DF7" w:rsidRDefault="002C4268">
      <w:pPr>
        <w:pStyle w:val="Heading3"/>
        <w:spacing w:before="61"/>
      </w:pPr>
      <w:r>
        <w:t>Breastfeeding:</w:t>
      </w:r>
    </w:p>
    <w:p w14:paraId="33323CC9" w14:textId="77777777" w:rsidR="007F6DF7" w:rsidRDefault="002C4268">
      <w:pPr>
        <w:pStyle w:val="ListParagraph"/>
        <w:numPr>
          <w:ilvl w:val="1"/>
          <w:numId w:val="9"/>
        </w:numPr>
        <w:tabs>
          <w:tab w:val="left" w:pos="1454"/>
        </w:tabs>
        <w:spacing w:before="58"/>
        <w:ind w:right="720"/>
        <w:jc w:val="both"/>
      </w:pPr>
      <w:r>
        <w:t xml:space="preserve">There is no published evidence for safety of </w:t>
      </w:r>
      <w:proofErr w:type="spellStart"/>
      <w:r>
        <w:t>lisdexamfetamine</w:t>
      </w:r>
      <w:proofErr w:type="spellEnd"/>
      <w:r>
        <w:t xml:space="preserve"> in breastfeeding. </w:t>
      </w:r>
      <w:r>
        <w:rPr>
          <w:spacing w:val="-3"/>
        </w:rPr>
        <w:t xml:space="preserve">The </w:t>
      </w:r>
      <w:r>
        <w:t>manufacturers recommend against use, and the UK Drugs in Lactation Service recommend caution.</w:t>
      </w:r>
    </w:p>
    <w:p w14:paraId="2952C9CE" w14:textId="77777777" w:rsidR="007F6DF7" w:rsidRDefault="002C4268">
      <w:pPr>
        <w:pStyle w:val="ListParagraph"/>
        <w:numPr>
          <w:ilvl w:val="1"/>
          <w:numId w:val="9"/>
        </w:numPr>
        <w:tabs>
          <w:tab w:val="left" w:pos="1454"/>
        </w:tabs>
        <w:ind w:right="719"/>
        <w:jc w:val="both"/>
      </w:pPr>
      <w:proofErr w:type="spellStart"/>
      <w:r>
        <w:t>Lisdexamfetamine</w:t>
      </w:r>
      <w:proofErr w:type="spellEnd"/>
      <w:r>
        <w:t xml:space="preserve"> metabolites, including </w:t>
      </w:r>
      <w:proofErr w:type="spellStart"/>
      <w:r>
        <w:t>dexamfetamine</w:t>
      </w:r>
      <w:proofErr w:type="spellEnd"/>
      <w:r>
        <w:t xml:space="preserve">, are excreted in human milk, therefore a risk to infants cannot be excluded. An individual risk assessment must be made, </w:t>
      </w:r>
      <w:proofErr w:type="gramStart"/>
      <w:r>
        <w:t>taking into account</w:t>
      </w:r>
      <w:proofErr w:type="gramEnd"/>
      <w:r>
        <w:t xml:space="preserve"> the benefit of breastfeeding for the child and the benefit of therapy for the woman.</w:t>
      </w:r>
    </w:p>
    <w:p w14:paraId="6814B50E" w14:textId="77777777" w:rsidR="007F6DF7" w:rsidRDefault="002C4268">
      <w:pPr>
        <w:pStyle w:val="ListParagraph"/>
        <w:numPr>
          <w:ilvl w:val="1"/>
          <w:numId w:val="9"/>
        </w:numPr>
        <w:tabs>
          <w:tab w:val="left" w:pos="1454"/>
        </w:tabs>
        <w:spacing w:before="60"/>
        <w:ind w:right="718"/>
        <w:jc w:val="both"/>
      </w:pPr>
      <w:r>
        <w:t>If breastfeeding does take place, infants should be monitored for symptoms of CNS stimulation (e.g. decreased appetite/weight gain, sleep disturbances, irritability), although these may be difficult to</w:t>
      </w:r>
      <w:r>
        <w:rPr>
          <w:spacing w:val="-3"/>
        </w:rPr>
        <w:t xml:space="preserve"> </w:t>
      </w:r>
      <w:r>
        <w:t>detect.</w:t>
      </w:r>
    </w:p>
    <w:p w14:paraId="7D72D663" w14:textId="77777777" w:rsidR="007F6DF7" w:rsidRDefault="002C4268">
      <w:pPr>
        <w:spacing w:before="60"/>
        <w:ind w:left="733"/>
      </w:pPr>
      <w:r>
        <w:t xml:space="preserve">Healthcare professional information is available </w:t>
      </w:r>
      <w:hyperlink r:id="rId53">
        <w:r>
          <w:rPr>
            <w:color w:val="0000FF"/>
            <w:u w:val="single" w:color="0000FF"/>
          </w:rPr>
          <w:t>here</w:t>
        </w:r>
        <w:r>
          <w:rPr>
            <w:color w:val="0000FF"/>
          </w:rPr>
          <w:t xml:space="preserve"> </w:t>
        </w:r>
      </w:hyperlink>
      <w:r>
        <w:rPr>
          <w:i/>
          <w:u w:val="single"/>
        </w:rPr>
        <w:t>(USA resource)</w:t>
      </w:r>
      <w:r>
        <w:t>.</w:t>
      </w:r>
    </w:p>
    <w:p w14:paraId="3997A148" w14:textId="77777777" w:rsidR="007F6DF7" w:rsidRDefault="002C4268">
      <w:pPr>
        <w:pStyle w:val="BodyText"/>
        <w:spacing w:before="61"/>
        <w:ind w:left="733" w:right="962"/>
      </w:pPr>
      <w:r>
        <w:rPr>
          <w:b/>
        </w:rPr>
        <w:t xml:space="preserve">Paternal exposure: </w:t>
      </w:r>
      <w:r>
        <w:t>No evidence regarding adverse outcomes following paternal exposure was identified.</w:t>
      </w:r>
    </w:p>
    <w:p w14:paraId="091310D0" w14:textId="77777777" w:rsidR="007F6DF7" w:rsidRDefault="007F6DF7">
      <w:pPr>
        <w:pStyle w:val="BodyText"/>
        <w:spacing w:before="10"/>
        <w:rPr>
          <w:sz w:val="31"/>
        </w:rPr>
      </w:pPr>
    </w:p>
    <w:p w14:paraId="3B78C43E" w14:textId="77777777" w:rsidR="007F6DF7" w:rsidRDefault="002C4268">
      <w:pPr>
        <w:pStyle w:val="Heading3"/>
        <w:spacing w:line="292" w:lineRule="auto"/>
        <w:ind w:right="8840"/>
      </w:pPr>
      <w:r>
        <w:t>Atomoxetine Pregnancy:</w:t>
      </w:r>
    </w:p>
    <w:p w14:paraId="230D5FB5" w14:textId="77777777" w:rsidR="007F6DF7" w:rsidRDefault="002C4268">
      <w:pPr>
        <w:pStyle w:val="ListParagraph"/>
        <w:numPr>
          <w:ilvl w:val="1"/>
          <w:numId w:val="9"/>
        </w:numPr>
        <w:tabs>
          <w:tab w:val="left" w:pos="1454"/>
        </w:tabs>
        <w:spacing w:before="1"/>
        <w:ind w:right="719"/>
        <w:jc w:val="both"/>
      </w:pPr>
      <w:r>
        <w:t>Atomoxetine is not recommended for use during pregnancy unless a clinical decision is made that the potential benefit outweighs the risk to the</w:t>
      </w:r>
      <w:r>
        <w:rPr>
          <w:spacing w:val="-9"/>
        </w:rPr>
        <w:t xml:space="preserve"> </w:t>
      </w:r>
      <w:proofErr w:type="spellStart"/>
      <w:proofErr w:type="gramStart"/>
      <w:r>
        <w:t>foetus</w:t>
      </w:r>
      <w:proofErr w:type="spellEnd"/>
      <w:proofErr w:type="gramEnd"/>
    </w:p>
    <w:p w14:paraId="531D6CC8" w14:textId="77777777" w:rsidR="007F6DF7" w:rsidRDefault="002C4268">
      <w:pPr>
        <w:pStyle w:val="ListParagraph"/>
        <w:numPr>
          <w:ilvl w:val="1"/>
          <w:numId w:val="9"/>
        </w:numPr>
        <w:tabs>
          <w:tab w:val="left" w:pos="1454"/>
        </w:tabs>
        <w:ind w:right="715"/>
        <w:jc w:val="both"/>
      </w:pPr>
      <w:r>
        <w:t>Evidence on exposure to atomoxetine during pregnancy is too limited to draw firm conclusions on adverse outcomes. Clinicians should be aware that patients may have other risk factors which independently alter the risks, and additional monitoring should be considered on a case- by-case basis. Patients who become pregnant while taking atomoxetine, or who plan a pregnancy, should be referred to the specialist team for</w:t>
      </w:r>
      <w:r>
        <w:rPr>
          <w:spacing w:val="-8"/>
        </w:rPr>
        <w:t xml:space="preserve"> </w:t>
      </w:r>
      <w:r>
        <w:t>review.</w:t>
      </w:r>
    </w:p>
    <w:p w14:paraId="2AE3202E" w14:textId="77777777" w:rsidR="007F6DF7" w:rsidRDefault="002C4268">
      <w:pPr>
        <w:pStyle w:val="ListParagraph"/>
        <w:numPr>
          <w:ilvl w:val="1"/>
          <w:numId w:val="9"/>
        </w:numPr>
        <w:tabs>
          <w:tab w:val="left" w:pos="1454"/>
        </w:tabs>
        <w:spacing w:before="59"/>
        <w:ind w:right="716"/>
        <w:jc w:val="both"/>
      </w:pPr>
      <w:r>
        <w:t xml:space="preserve">As with other centrally acting drugs, there is a potential risk of poor neonatal adaptation syndrome (PNAS)/neonatal withdrawal effects and/or persistent pulmonary hypertension </w:t>
      </w:r>
      <w:r>
        <w:rPr>
          <w:spacing w:val="3"/>
        </w:rPr>
        <w:t xml:space="preserve">of </w:t>
      </w:r>
      <w:r>
        <w:t>the newborn (PPHN) in the neonate. Infants exposed to atomoxetine in utero should ideally be delivered in a unit with neonatal support and monitored for symptoms of</w:t>
      </w:r>
      <w:r>
        <w:rPr>
          <w:spacing w:val="-13"/>
        </w:rPr>
        <w:t xml:space="preserve"> </w:t>
      </w:r>
      <w:r>
        <w:t>PNAS.</w:t>
      </w:r>
    </w:p>
    <w:p w14:paraId="66565149" w14:textId="77777777" w:rsidR="007F6DF7" w:rsidRDefault="002C4268">
      <w:pPr>
        <w:pStyle w:val="Heading3"/>
        <w:spacing w:before="62"/>
      </w:pPr>
      <w:r>
        <w:t>Breastfeeding:</w:t>
      </w:r>
    </w:p>
    <w:p w14:paraId="18794FCA" w14:textId="77777777" w:rsidR="007F6DF7" w:rsidRDefault="002C4268">
      <w:pPr>
        <w:pStyle w:val="ListParagraph"/>
        <w:numPr>
          <w:ilvl w:val="1"/>
          <w:numId w:val="9"/>
        </w:numPr>
        <w:tabs>
          <w:tab w:val="left" w:pos="1454"/>
        </w:tabs>
        <w:spacing w:before="60"/>
        <w:ind w:right="717"/>
        <w:jc w:val="both"/>
      </w:pPr>
      <w:r>
        <w:t xml:space="preserve">There is no published evidence on the safety of atomoxetine in breastfeeding. Decisions to use atomoxetine while breastfeeding should be made on a case-by-case basis, </w:t>
      </w:r>
      <w:proofErr w:type="gramStart"/>
      <w:r>
        <w:t>taking into account</w:t>
      </w:r>
      <w:proofErr w:type="gramEnd"/>
      <w:r>
        <w:t xml:space="preserve"> the risks to the infant and the benefits of</w:t>
      </w:r>
      <w:r>
        <w:rPr>
          <w:spacing w:val="-8"/>
        </w:rPr>
        <w:t xml:space="preserve"> </w:t>
      </w:r>
      <w:r>
        <w:t>therapy.</w:t>
      </w:r>
    </w:p>
    <w:p w14:paraId="00F6ABF0" w14:textId="77777777" w:rsidR="007F6DF7" w:rsidRDefault="002C4268">
      <w:pPr>
        <w:pStyle w:val="ListParagraph"/>
        <w:numPr>
          <w:ilvl w:val="1"/>
          <w:numId w:val="9"/>
        </w:numPr>
        <w:tabs>
          <w:tab w:val="left" w:pos="1453"/>
          <w:tab w:val="left" w:pos="1454"/>
        </w:tabs>
        <w:spacing w:before="59"/>
      </w:pPr>
      <w:r>
        <w:t xml:space="preserve">Long half-life in slow </w:t>
      </w:r>
      <w:proofErr w:type="spellStart"/>
      <w:r>
        <w:t>metabolisers</w:t>
      </w:r>
      <w:proofErr w:type="spellEnd"/>
      <w:r>
        <w:t xml:space="preserve"> increases the risk of accumulation in some breastfed</w:t>
      </w:r>
      <w:r>
        <w:rPr>
          <w:spacing w:val="-22"/>
        </w:rPr>
        <w:t xml:space="preserve"> </w:t>
      </w:r>
      <w:r>
        <w:t>infants.</w:t>
      </w:r>
    </w:p>
    <w:p w14:paraId="122EC878" w14:textId="77777777" w:rsidR="007F6DF7" w:rsidRDefault="002C4268">
      <w:pPr>
        <w:pStyle w:val="ListParagraph"/>
        <w:numPr>
          <w:ilvl w:val="1"/>
          <w:numId w:val="9"/>
        </w:numPr>
        <w:tabs>
          <w:tab w:val="left" w:pos="1454"/>
        </w:tabs>
        <w:spacing w:before="60"/>
        <w:ind w:right="716"/>
        <w:jc w:val="both"/>
      </w:pPr>
      <w:r>
        <w:t>If breastfeeding does take place, infants should be monitored for symptoms of CNS stimulation (e.g. decreased appetite or slow weight gain, sleep disturbances, gastrointestinal symptoms), although these may be difficult to</w:t>
      </w:r>
      <w:r>
        <w:rPr>
          <w:spacing w:val="-5"/>
        </w:rPr>
        <w:t xml:space="preserve"> </w:t>
      </w:r>
      <w:r>
        <w:t>detect.</w:t>
      </w:r>
    </w:p>
    <w:p w14:paraId="27CD5280" w14:textId="77777777" w:rsidR="007F6DF7" w:rsidRDefault="002C4268">
      <w:pPr>
        <w:spacing w:before="61"/>
        <w:ind w:left="733"/>
        <w:rPr>
          <w:i/>
        </w:rPr>
      </w:pPr>
      <w:r>
        <w:t xml:space="preserve">Information for healthcare professionals is available </w:t>
      </w:r>
      <w:hyperlink r:id="rId54">
        <w:r>
          <w:rPr>
            <w:color w:val="0000FF"/>
            <w:u w:val="single" w:color="0000FF"/>
          </w:rPr>
          <w:t>here</w:t>
        </w:r>
        <w:r>
          <w:rPr>
            <w:color w:val="0000FF"/>
          </w:rPr>
          <w:t xml:space="preserve"> </w:t>
        </w:r>
      </w:hyperlink>
      <w:r>
        <w:rPr>
          <w:i/>
          <w:u w:val="single"/>
        </w:rPr>
        <w:t>(USA resource)</w:t>
      </w:r>
      <w:r>
        <w:rPr>
          <w:i/>
        </w:rPr>
        <w:t>.</w:t>
      </w:r>
    </w:p>
    <w:p w14:paraId="0AE2D29B" w14:textId="77777777" w:rsidR="007F6DF7" w:rsidRDefault="007F6DF7">
      <w:pPr>
        <w:pStyle w:val="BodyText"/>
        <w:spacing w:before="3"/>
        <w:rPr>
          <w:i/>
          <w:sz w:val="27"/>
        </w:rPr>
      </w:pPr>
    </w:p>
    <w:p w14:paraId="3AB634D3" w14:textId="77777777" w:rsidR="007F6DF7" w:rsidRDefault="002C4268">
      <w:pPr>
        <w:pStyle w:val="BodyText"/>
        <w:spacing w:before="56"/>
        <w:ind w:left="733" w:right="962"/>
      </w:pPr>
      <w:r>
        <w:rPr>
          <w:b/>
        </w:rPr>
        <w:t>Paternal exposure</w:t>
      </w:r>
      <w:r>
        <w:t>: No evidence regarding adverse outcomes following paternal exposure was identified.</w:t>
      </w:r>
    </w:p>
    <w:p w14:paraId="7B1560CC" w14:textId="77777777" w:rsidR="007F6DF7" w:rsidRDefault="007F6DF7">
      <w:pPr>
        <w:sectPr w:rsidR="007F6DF7">
          <w:headerReference w:type="default" r:id="rId55"/>
          <w:pgSz w:w="11910" w:h="16840"/>
          <w:pgMar w:top="1040" w:right="720" w:bottom="1880" w:left="400" w:header="0" w:footer="1595" w:gutter="0"/>
          <w:cols w:space="720"/>
        </w:sectPr>
      </w:pPr>
    </w:p>
    <w:p w14:paraId="7E2F680B" w14:textId="77777777" w:rsidR="007F6DF7" w:rsidRDefault="002C4268">
      <w:pPr>
        <w:pStyle w:val="Heading1"/>
        <w:numPr>
          <w:ilvl w:val="0"/>
          <w:numId w:val="19"/>
        </w:numPr>
        <w:tabs>
          <w:tab w:val="left" w:pos="1299"/>
          <w:tab w:val="left" w:pos="1300"/>
          <w:tab w:val="left" w:pos="10095"/>
        </w:tabs>
        <w:spacing w:before="43"/>
        <w:ind w:hanging="566"/>
      </w:pPr>
      <w:bookmarkStart w:id="12" w:name="_bookmark12"/>
      <w:bookmarkEnd w:id="12"/>
      <w:r>
        <w:rPr>
          <w:color w:val="FFFFFF"/>
          <w:shd w:val="clear" w:color="auto" w:fill="538DD3"/>
        </w:rPr>
        <w:lastRenderedPageBreak/>
        <w:t>Clinical</w:t>
      </w:r>
      <w:r>
        <w:rPr>
          <w:color w:val="FFFFFF"/>
          <w:spacing w:val="-8"/>
          <w:shd w:val="clear" w:color="auto" w:fill="538DD3"/>
        </w:rPr>
        <w:t xml:space="preserve"> </w:t>
      </w:r>
      <w:r>
        <w:rPr>
          <w:color w:val="FFFFFF"/>
          <w:shd w:val="clear" w:color="auto" w:fill="538DD3"/>
        </w:rPr>
        <w:t>Monitoring</w:t>
      </w:r>
      <w:r>
        <w:rPr>
          <w:color w:val="FFFFFF"/>
          <w:shd w:val="clear" w:color="auto" w:fill="538DD3"/>
        </w:rPr>
        <w:tab/>
      </w:r>
    </w:p>
    <w:p w14:paraId="7BB76A99" w14:textId="77777777" w:rsidR="007F6DF7" w:rsidRDefault="002C4268">
      <w:pPr>
        <w:pStyle w:val="BodyText"/>
        <w:spacing w:before="121"/>
        <w:ind w:left="733" w:right="962"/>
      </w:pPr>
      <w:r>
        <w:t>Once a patient’s prescription is taken over by their GP, ongoing monitoring as outlined in the table below will take place in Primary</w:t>
      </w:r>
      <w:r>
        <w:rPr>
          <w:spacing w:val="-12"/>
        </w:rPr>
        <w:t xml:space="preserve"> </w:t>
      </w:r>
      <w:r>
        <w:t>Care.</w:t>
      </w:r>
    </w:p>
    <w:p w14:paraId="4681727B" w14:textId="77777777" w:rsidR="007F6DF7" w:rsidRDefault="002C4268">
      <w:pPr>
        <w:pStyle w:val="BodyText"/>
        <w:spacing w:before="61"/>
        <w:ind w:left="733" w:right="716"/>
        <w:jc w:val="both"/>
      </w:pPr>
      <w:r>
        <w:t>The Adult ADHD service will offer specialist advice and review any patient whose medication was started in the clinic. The Adult ADHD service can offer an annual review of the patient's ADHD treatment where appropriate.</w:t>
      </w:r>
    </w:p>
    <w:p w14:paraId="6F11BF1C" w14:textId="77777777" w:rsidR="007F6DF7" w:rsidRDefault="002C4268">
      <w:pPr>
        <w:pStyle w:val="BodyText"/>
        <w:spacing w:before="58"/>
        <w:ind w:left="733" w:right="704"/>
      </w:pPr>
      <w:r>
        <w:t>If there is need for specialist advice / interventions for adult patients who may already have ADHD diagnosis / treatment which was established elsewhere, a new referral to the service will be required.</w:t>
      </w:r>
    </w:p>
    <w:p w14:paraId="16DD7AA1" w14:textId="77777777" w:rsidR="007F6DF7" w:rsidRDefault="007F6DF7">
      <w:pPr>
        <w:pStyle w:val="BodyText"/>
        <w:spacing w:before="11"/>
        <w:rPr>
          <w:sz w:val="31"/>
        </w:rPr>
      </w:pPr>
    </w:p>
    <w:p w14:paraId="49B623DE" w14:textId="77777777" w:rsidR="007F6DF7" w:rsidRDefault="002C4268">
      <w:pPr>
        <w:pStyle w:val="Heading3"/>
      </w:pPr>
      <w:r>
        <w:t>Baseline investigations (to be undertaken by specialist team):</w:t>
      </w:r>
    </w:p>
    <w:p w14:paraId="6B8ACA05" w14:textId="77777777" w:rsidR="007F6DF7" w:rsidRDefault="002C4268">
      <w:pPr>
        <w:pStyle w:val="ListParagraph"/>
        <w:numPr>
          <w:ilvl w:val="0"/>
          <w:numId w:val="5"/>
        </w:numPr>
        <w:tabs>
          <w:tab w:val="left" w:pos="1453"/>
          <w:tab w:val="left" w:pos="1454"/>
        </w:tabs>
        <w:ind w:right="717" w:firstLine="0"/>
        <w:jc w:val="both"/>
      </w:pPr>
      <w:r>
        <w:t>A medical history and cardiovascular assessment, taking into account conditions that may be contraindications, risk of pregnancy (where applicable), and to ensure the patient meets the criteria for ADHD and that pharmacological treatment is</w:t>
      </w:r>
      <w:r>
        <w:rPr>
          <w:spacing w:val="-6"/>
        </w:rPr>
        <w:t xml:space="preserve"> </w:t>
      </w:r>
      <w:proofErr w:type="gramStart"/>
      <w:r>
        <w:t>required</w:t>
      </w:r>
      <w:proofErr w:type="gramEnd"/>
    </w:p>
    <w:p w14:paraId="467521DE" w14:textId="77777777" w:rsidR="007F6DF7" w:rsidRDefault="002C4268">
      <w:pPr>
        <w:pStyle w:val="ListParagraph"/>
        <w:numPr>
          <w:ilvl w:val="0"/>
          <w:numId w:val="4"/>
        </w:numPr>
        <w:tabs>
          <w:tab w:val="left" w:pos="1453"/>
          <w:tab w:val="left" w:pos="1454"/>
        </w:tabs>
        <w:spacing w:before="58"/>
        <w:jc w:val="both"/>
      </w:pPr>
      <w:r>
        <w:t>A risk assessment for substance misuse and drug</w:t>
      </w:r>
      <w:r>
        <w:rPr>
          <w:spacing w:val="-10"/>
        </w:rPr>
        <w:t xml:space="preserve"> </w:t>
      </w:r>
      <w:r>
        <w:t>diversion</w:t>
      </w:r>
    </w:p>
    <w:p w14:paraId="16A12BD3" w14:textId="77777777" w:rsidR="007F6DF7" w:rsidRDefault="002C4268">
      <w:pPr>
        <w:pStyle w:val="ListParagraph"/>
        <w:numPr>
          <w:ilvl w:val="0"/>
          <w:numId w:val="4"/>
        </w:numPr>
        <w:tabs>
          <w:tab w:val="left" w:pos="1453"/>
          <w:tab w:val="left" w:pos="1454"/>
        </w:tabs>
        <w:spacing w:before="60"/>
        <w:jc w:val="both"/>
      </w:pPr>
      <w:r>
        <w:t>Blood pressure (BP) and heart</w:t>
      </w:r>
      <w:r>
        <w:rPr>
          <w:spacing w:val="-8"/>
        </w:rPr>
        <w:t xml:space="preserve"> </w:t>
      </w:r>
      <w:r>
        <w:t>rate</w:t>
      </w:r>
    </w:p>
    <w:p w14:paraId="401AFFE4" w14:textId="77777777" w:rsidR="007F6DF7" w:rsidRDefault="002C4268">
      <w:pPr>
        <w:pStyle w:val="ListParagraph"/>
        <w:numPr>
          <w:ilvl w:val="0"/>
          <w:numId w:val="4"/>
        </w:numPr>
        <w:tabs>
          <w:tab w:val="left" w:pos="1453"/>
          <w:tab w:val="left" w:pos="1454"/>
        </w:tabs>
        <w:spacing w:before="60"/>
        <w:jc w:val="both"/>
      </w:pPr>
      <w:r>
        <w:t xml:space="preserve">Height, </w:t>
      </w:r>
      <w:proofErr w:type="gramStart"/>
      <w:r>
        <w:t>weight</w:t>
      </w:r>
      <w:proofErr w:type="gramEnd"/>
      <w:r>
        <w:t xml:space="preserve"> and body mass index</w:t>
      </w:r>
      <w:r>
        <w:rPr>
          <w:spacing w:val="-6"/>
        </w:rPr>
        <w:t xml:space="preserve"> </w:t>
      </w:r>
      <w:r>
        <w:t>(BMI)</w:t>
      </w:r>
    </w:p>
    <w:p w14:paraId="66D7972E" w14:textId="77777777" w:rsidR="007F6DF7" w:rsidRDefault="002C4268">
      <w:pPr>
        <w:pStyle w:val="ListParagraph"/>
        <w:numPr>
          <w:ilvl w:val="0"/>
          <w:numId w:val="4"/>
        </w:numPr>
        <w:tabs>
          <w:tab w:val="left" w:pos="1453"/>
          <w:tab w:val="left" w:pos="1454"/>
        </w:tabs>
        <w:jc w:val="both"/>
      </w:pPr>
      <w:r>
        <w:t>Appetite</w:t>
      </w:r>
    </w:p>
    <w:p w14:paraId="77CFB93E" w14:textId="77777777" w:rsidR="007F6DF7" w:rsidRDefault="002C4268">
      <w:pPr>
        <w:pStyle w:val="ListParagraph"/>
        <w:numPr>
          <w:ilvl w:val="0"/>
          <w:numId w:val="4"/>
        </w:numPr>
        <w:tabs>
          <w:tab w:val="left" w:pos="1453"/>
          <w:tab w:val="left" w:pos="1454"/>
          <w:tab w:val="left" w:pos="2173"/>
        </w:tabs>
        <w:spacing w:before="60" w:line="292" w:lineRule="auto"/>
        <w:ind w:right="2122"/>
      </w:pPr>
      <w:r>
        <w:t>Arrange for electrocardiogram (ECG), only if the patient has any of the following: O</w:t>
      </w:r>
      <w:r>
        <w:tab/>
        <w:t>History of congenital heart disease or previous cardiac</w:t>
      </w:r>
      <w:r>
        <w:rPr>
          <w:spacing w:val="-13"/>
        </w:rPr>
        <w:t xml:space="preserve"> </w:t>
      </w:r>
      <w:proofErr w:type="gramStart"/>
      <w:r>
        <w:t>surgery</w:t>
      </w:r>
      <w:proofErr w:type="gramEnd"/>
    </w:p>
    <w:p w14:paraId="77027130" w14:textId="77777777" w:rsidR="007F6DF7" w:rsidRDefault="002C4268">
      <w:pPr>
        <w:pStyle w:val="BodyText"/>
        <w:tabs>
          <w:tab w:val="left" w:pos="2173"/>
        </w:tabs>
        <w:spacing w:before="2" w:line="295" w:lineRule="auto"/>
        <w:ind w:left="1453" w:right="1237"/>
      </w:pPr>
      <w:r>
        <w:t>O</w:t>
      </w:r>
      <w:r>
        <w:tab/>
        <w:t>Sudden death in a first-degree relative under 40 years suggesting a cardiac disease o</w:t>
      </w:r>
      <w:r>
        <w:tab/>
        <w:t>Shortness of breath on exertion compared with</w:t>
      </w:r>
      <w:r>
        <w:rPr>
          <w:spacing w:val="-11"/>
        </w:rPr>
        <w:t xml:space="preserve"> </w:t>
      </w:r>
      <w:r>
        <w:t>peers</w:t>
      </w:r>
    </w:p>
    <w:p w14:paraId="33BD2D68" w14:textId="77777777" w:rsidR="007F6DF7" w:rsidRDefault="002C4268">
      <w:pPr>
        <w:pStyle w:val="ListParagraph"/>
        <w:numPr>
          <w:ilvl w:val="1"/>
          <w:numId w:val="4"/>
        </w:numPr>
        <w:tabs>
          <w:tab w:val="left" w:pos="2173"/>
          <w:tab w:val="left" w:pos="2174"/>
        </w:tabs>
        <w:spacing w:before="0" w:line="266" w:lineRule="exact"/>
      </w:pPr>
      <w:r>
        <w:t>Fainting on exertion or in response to fright or</w:t>
      </w:r>
      <w:r>
        <w:rPr>
          <w:spacing w:val="-10"/>
        </w:rPr>
        <w:t xml:space="preserve"> </w:t>
      </w:r>
      <w:r>
        <w:t>noise</w:t>
      </w:r>
    </w:p>
    <w:p w14:paraId="7B83C911" w14:textId="77777777" w:rsidR="007F6DF7" w:rsidRDefault="002C4268">
      <w:pPr>
        <w:pStyle w:val="ListParagraph"/>
        <w:numPr>
          <w:ilvl w:val="1"/>
          <w:numId w:val="4"/>
        </w:numPr>
        <w:tabs>
          <w:tab w:val="left" w:pos="2173"/>
          <w:tab w:val="left" w:pos="2174"/>
        </w:tabs>
        <w:spacing w:before="60"/>
      </w:pPr>
      <w:r>
        <w:t>Palpitations</w:t>
      </w:r>
    </w:p>
    <w:p w14:paraId="09C58CA9" w14:textId="77777777" w:rsidR="007F6DF7" w:rsidRDefault="002C4268">
      <w:pPr>
        <w:pStyle w:val="ListParagraph"/>
        <w:numPr>
          <w:ilvl w:val="1"/>
          <w:numId w:val="4"/>
        </w:numPr>
        <w:tabs>
          <w:tab w:val="left" w:pos="2173"/>
          <w:tab w:val="left" w:pos="2174"/>
        </w:tabs>
        <w:spacing w:before="58"/>
      </w:pPr>
      <w:r>
        <w:t>Chest pain suggestive of cardiac</w:t>
      </w:r>
      <w:r>
        <w:rPr>
          <w:spacing w:val="-7"/>
        </w:rPr>
        <w:t xml:space="preserve"> </w:t>
      </w:r>
      <w:r>
        <w:t>origin</w:t>
      </w:r>
    </w:p>
    <w:p w14:paraId="7AB1F00E" w14:textId="77777777" w:rsidR="007F6DF7" w:rsidRDefault="002C4268">
      <w:pPr>
        <w:pStyle w:val="ListParagraph"/>
        <w:numPr>
          <w:ilvl w:val="1"/>
          <w:numId w:val="4"/>
        </w:numPr>
        <w:tabs>
          <w:tab w:val="left" w:pos="2173"/>
          <w:tab w:val="left" w:pos="2174"/>
        </w:tabs>
      </w:pPr>
      <w:r>
        <w:t>Signs of heart failure, heart murmur or</w:t>
      </w:r>
      <w:r>
        <w:rPr>
          <w:spacing w:val="-7"/>
        </w:rPr>
        <w:t xml:space="preserve"> </w:t>
      </w:r>
      <w:r>
        <w:t>hypertension</w:t>
      </w:r>
    </w:p>
    <w:p w14:paraId="17533FED" w14:textId="77777777" w:rsidR="007F6DF7" w:rsidRDefault="002C4268">
      <w:pPr>
        <w:pStyle w:val="ListParagraph"/>
        <w:numPr>
          <w:ilvl w:val="1"/>
          <w:numId w:val="4"/>
        </w:numPr>
        <w:tabs>
          <w:tab w:val="left" w:pos="2173"/>
          <w:tab w:val="left" w:pos="2174"/>
        </w:tabs>
        <w:spacing w:before="60"/>
      </w:pPr>
      <w:r>
        <w:t>Current treatment with a medicine that may increase cardiac</w:t>
      </w:r>
      <w:r>
        <w:rPr>
          <w:spacing w:val="-11"/>
        </w:rPr>
        <w:t xml:space="preserve"> </w:t>
      </w:r>
      <w:proofErr w:type="gramStart"/>
      <w:r>
        <w:t>risk</w:t>
      </w:r>
      <w:proofErr w:type="gramEnd"/>
    </w:p>
    <w:p w14:paraId="6FC81DDE" w14:textId="77777777" w:rsidR="007F6DF7" w:rsidRDefault="007F6DF7">
      <w:pPr>
        <w:pStyle w:val="BodyText"/>
        <w:spacing w:before="10"/>
        <w:rPr>
          <w:sz w:val="31"/>
        </w:rPr>
      </w:pPr>
    </w:p>
    <w:p w14:paraId="6B2EC562" w14:textId="77777777" w:rsidR="007F6DF7" w:rsidRDefault="002C4268">
      <w:pPr>
        <w:pStyle w:val="Heading3"/>
        <w:jc w:val="both"/>
      </w:pPr>
      <w:r>
        <w:t>Initial monitoring (to be undertaken by specialist team):</w:t>
      </w:r>
    </w:p>
    <w:p w14:paraId="7C5724A1" w14:textId="77777777" w:rsidR="007F6DF7" w:rsidRDefault="002C4268">
      <w:pPr>
        <w:pStyle w:val="ListParagraph"/>
        <w:numPr>
          <w:ilvl w:val="0"/>
          <w:numId w:val="3"/>
        </w:numPr>
        <w:tabs>
          <w:tab w:val="left" w:pos="1453"/>
          <w:tab w:val="left" w:pos="1454"/>
        </w:tabs>
        <w:jc w:val="both"/>
      </w:pPr>
      <w:r>
        <w:rPr>
          <w:b/>
        </w:rPr>
        <w:t xml:space="preserve">Before </w:t>
      </w:r>
      <w:r>
        <w:t>every change of dose: assess heart rate, blood pressure, and</w:t>
      </w:r>
      <w:r>
        <w:rPr>
          <w:spacing w:val="-10"/>
        </w:rPr>
        <w:t xml:space="preserve"> </w:t>
      </w:r>
      <w:r>
        <w:t>weight.</w:t>
      </w:r>
    </w:p>
    <w:p w14:paraId="36252136" w14:textId="77777777" w:rsidR="007F6DF7" w:rsidRDefault="002C4268">
      <w:pPr>
        <w:pStyle w:val="ListParagraph"/>
        <w:numPr>
          <w:ilvl w:val="0"/>
          <w:numId w:val="2"/>
        </w:numPr>
        <w:tabs>
          <w:tab w:val="left" w:pos="1453"/>
          <w:tab w:val="left" w:pos="1454"/>
        </w:tabs>
        <w:ind w:right="716" w:firstLine="0"/>
        <w:jc w:val="both"/>
      </w:pPr>
      <w:r>
        <w:rPr>
          <w:b/>
        </w:rPr>
        <w:t xml:space="preserve">After </w:t>
      </w:r>
      <w:r>
        <w:t xml:space="preserve">every change of dose: assess heart rate and blood pressure, and any </w:t>
      </w:r>
      <w:r>
        <w:rPr>
          <w:spacing w:val="-2"/>
        </w:rPr>
        <w:t xml:space="preserve">new </w:t>
      </w:r>
      <w:r>
        <w:t>or worsening psychiatric symptoms including development or worsening of tic and movement disorders. The specialist should determine the appropriate timing for this</w:t>
      </w:r>
      <w:r>
        <w:rPr>
          <w:spacing w:val="-9"/>
        </w:rPr>
        <w:t xml:space="preserve"> </w:t>
      </w:r>
      <w:proofErr w:type="gramStart"/>
      <w:r>
        <w:t>monitoring</w:t>
      </w:r>
      <w:proofErr w:type="gramEnd"/>
    </w:p>
    <w:p w14:paraId="4977DDAC" w14:textId="77777777" w:rsidR="007F6DF7" w:rsidRDefault="002C4268">
      <w:pPr>
        <w:pStyle w:val="ListParagraph"/>
        <w:numPr>
          <w:ilvl w:val="0"/>
          <w:numId w:val="2"/>
        </w:numPr>
        <w:tabs>
          <w:tab w:val="left" w:pos="1453"/>
          <w:tab w:val="left" w:pos="1454"/>
        </w:tabs>
        <w:spacing w:before="60"/>
        <w:ind w:left="1453"/>
      </w:pPr>
      <w:r>
        <w:t xml:space="preserve">Monitor for aggressive </w:t>
      </w:r>
      <w:proofErr w:type="spellStart"/>
      <w:r>
        <w:t>behaviour</w:t>
      </w:r>
      <w:proofErr w:type="spellEnd"/>
      <w:r>
        <w:t xml:space="preserve"> or</w:t>
      </w:r>
      <w:r>
        <w:rPr>
          <w:spacing w:val="-2"/>
        </w:rPr>
        <w:t xml:space="preserve"> </w:t>
      </w:r>
      <w:proofErr w:type="gramStart"/>
      <w:r>
        <w:t>hostility</w:t>
      </w:r>
      <w:proofErr w:type="gramEnd"/>
    </w:p>
    <w:p w14:paraId="167FED26" w14:textId="77777777" w:rsidR="007F6DF7" w:rsidRDefault="002C4268">
      <w:pPr>
        <w:pStyle w:val="ListParagraph"/>
        <w:numPr>
          <w:ilvl w:val="0"/>
          <w:numId w:val="2"/>
        </w:numPr>
        <w:tabs>
          <w:tab w:val="left" w:pos="1453"/>
          <w:tab w:val="left" w:pos="1454"/>
        </w:tabs>
        <w:spacing w:before="58"/>
        <w:ind w:right="718" w:firstLine="0"/>
      </w:pPr>
      <w:r>
        <w:t>Assessment of symptom improvement. Discontinue if no improvement is observed after one month.</w:t>
      </w:r>
    </w:p>
    <w:p w14:paraId="44B9803B" w14:textId="77777777" w:rsidR="007F6DF7" w:rsidRDefault="007F6DF7">
      <w:pPr>
        <w:pStyle w:val="BodyText"/>
        <w:spacing w:before="11"/>
        <w:rPr>
          <w:sz w:val="31"/>
        </w:rPr>
      </w:pPr>
    </w:p>
    <w:p w14:paraId="10929C91" w14:textId="740CE2A9" w:rsidR="007F6DF7" w:rsidRPr="00A25F02" w:rsidRDefault="002C4268" w:rsidP="00A25F02">
      <w:pPr>
        <w:pStyle w:val="Heading3"/>
        <w:jc w:val="both"/>
      </w:pPr>
      <w:r>
        <w:t>Ongoing monitoring (to be undertaken by primary care team)</w:t>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1748"/>
        <w:gridCol w:w="4792"/>
      </w:tblGrid>
      <w:tr w:rsidR="007F6DF7" w14:paraId="140E614C" w14:textId="77777777">
        <w:trPr>
          <w:trHeight w:val="328"/>
        </w:trPr>
        <w:tc>
          <w:tcPr>
            <w:tcW w:w="2831" w:type="dxa"/>
          </w:tcPr>
          <w:p w14:paraId="638D1847" w14:textId="77777777" w:rsidR="007F6DF7" w:rsidRDefault="002C4268">
            <w:pPr>
              <w:pStyle w:val="TableParagraph"/>
              <w:spacing w:before="59" w:line="249" w:lineRule="exact"/>
              <w:ind w:left="897"/>
              <w:rPr>
                <w:b/>
              </w:rPr>
            </w:pPr>
            <w:r>
              <w:rPr>
                <w:b/>
              </w:rPr>
              <w:t>Monitoring</w:t>
            </w:r>
          </w:p>
        </w:tc>
        <w:tc>
          <w:tcPr>
            <w:tcW w:w="1748" w:type="dxa"/>
          </w:tcPr>
          <w:p w14:paraId="36E93F13" w14:textId="77777777" w:rsidR="007F6DF7" w:rsidRDefault="002C4268">
            <w:pPr>
              <w:pStyle w:val="TableParagraph"/>
              <w:spacing w:before="59" w:line="249" w:lineRule="exact"/>
              <w:ind w:left="400"/>
              <w:rPr>
                <w:b/>
              </w:rPr>
            </w:pPr>
            <w:r>
              <w:rPr>
                <w:b/>
              </w:rPr>
              <w:t>Frequency</w:t>
            </w:r>
          </w:p>
        </w:tc>
        <w:tc>
          <w:tcPr>
            <w:tcW w:w="4792" w:type="dxa"/>
          </w:tcPr>
          <w:p w14:paraId="2D25893B" w14:textId="77777777" w:rsidR="007F6DF7" w:rsidRDefault="002C4268">
            <w:pPr>
              <w:pStyle w:val="TableParagraph"/>
              <w:spacing w:before="59" w:line="249" w:lineRule="exact"/>
              <w:ind w:left="1347"/>
              <w:rPr>
                <w:b/>
              </w:rPr>
            </w:pPr>
            <w:r>
              <w:rPr>
                <w:b/>
              </w:rPr>
              <w:t>Additional information</w:t>
            </w:r>
          </w:p>
        </w:tc>
      </w:tr>
      <w:tr w:rsidR="007F6DF7" w14:paraId="0D8D7888" w14:textId="77777777">
        <w:trPr>
          <w:trHeight w:val="597"/>
        </w:trPr>
        <w:tc>
          <w:tcPr>
            <w:tcW w:w="2831" w:type="dxa"/>
          </w:tcPr>
          <w:p w14:paraId="06B75151" w14:textId="77777777" w:rsidR="007F6DF7" w:rsidRDefault="002C4268">
            <w:pPr>
              <w:pStyle w:val="TableParagraph"/>
              <w:spacing w:before="59"/>
              <w:ind w:left="108"/>
            </w:pPr>
            <w:r>
              <w:t>Weight</w:t>
            </w:r>
          </w:p>
        </w:tc>
        <w:tc>
          <w:tcPr>
            <w:tcW w:w="1748" w:type="dxa"/>
          </w:tcPr>
          <w:p w14:paraId="41B74673" w14:textId="77777777" w:rsidR="007F6DF7" w:rsidRDefault="002C4268">
            <w:pPr>
              <w:pStyle w:val="TableParagraph"/>
              <w:spacing w:before="57" w:line="270" w:lineRule="atLeast"/>
              <w:ind w:left="109" w:right="227"/>
            </w:pPr>
            <w:r>
              <w:t>At least every 6 months</w:t>
            </w:r>
          </w:p>
        </w:tc>
        <w:tc>
          <w:tcPr>
            <w:tcW w:w="4792" w:type="dxa"/>
          </w:tcPr>
          <w:p w14:paraId="2F168232" w14:textId="77777777" w:rsidR="007F6DF7" w:rsidRDefault="002C4268">
            <w:pPr>
              <w:pStyle w:val="TableParagraph"/>
              <w:spacing w:before="57" w:line="270" w:lineRule="atLeast"/>
              <w:ind w:left="109" w:right="195"/>
            </w:pPr>
            <w:r>
              <w:t>If significant weight loss (persistent, unintentional loss &gt; 5% weight over 6 to 12 months) is</w:t>
            </w:r>
          </w:p>
        </w:tc>
      </w:tr>
    </w:tbl>
    <w:p w14:paraId="0755AE02" w14:textId="77777777" w:rsidR="007F6DF7" w:rsidRDefault="007F6DF7">
      <w:pPr>
        <w:spacing w:line="270" w:lineRule="atLeast"/>
        <w:sectPr w:rsidR="007F6DF7">
          <w:headerReference w:type="default" r:id="rId56"/>
          <w:pgSz w:w="11910" w:h="16840"/>
          <w:pgMar w:top="1580" w:right="720" w:bottom="1880" w:left="400" w:header="0" w:footer="1595" w:gutter="0"/>
          <w:cols w:space="720"/>
        </w:sect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1748"/>
        <w:gridCol w:w="4792"/>
      </w:tblGrid>
      <w:tr w:rsidR="007F6DF7" w14:paraId="343CE5D4" w14:textId="77777777" w:rsidTr="00A25F02">
        <w:trPr>
          <w:trHeight w:val="1691"/>
        </w:trPr>
        <w:tc>
          <w:tcPr>
            <w:tcW w:w="2831" w:type="dxa"/>
          </w:tcPr>
          <w:p w14:paraId="7D0149D5" w14:textId="77777777" w:rsidR="007F6DF7" w:rsidRDefault="007F6DF7">
            <w:pPr>
              <w:pStyle w:val="TableParagraph"/>
              <w:rPr>
                <w:rFonts w:ascii="Times New Roman"/>
                <w:sz w:val="20"/>
              </w:rPr>
            </w:pPr>
          </w:p>
        </w:tc>
        <w:tc>
          <w:tcPr>
            <w:tcW w:w="1748" w:type="dxa"/>
          </w:tcPr>
          <w:p w14:paraId="357A58AE" w14:textId="77777777" w:rsidR="007F6DF7" w:rsidRDefault="007F6DF7">
            <w:pPr>
              <w:pStyle w:val="TableParagraph"/>
              <w:rPr>
                <w:rFonts w:ascii="Times New Roman"/>
                <w:sz w:val="20"/>
              </w:rPr>
            </w:pPr>
          </w:p>
        </w:tc>
        <w:tc>
          <w:tcPr>
            <w:tcW w:w="4792" w:type="dxa"/>
          </w:tcPr>
          <w:p w14:paraId="31A8DF0F" w14:textId="77777777" w:rsidR="007F6DF7" w:rsidRDefault="002C4268">
            <w:pPr>
              <w:pStyle w:val="TableParagraph"/>
              <w:spacing w:line="237" w:lineRule="auto"/>
              <w:ind w:left="109" w:right="97"/>
            </w:pPr>
            <w:r>
              <w:t>associated with drug treatment contact the service to consider changing or stopping treatment.</w:t>
            </w:r>
          </w:p>
          <w:p w14:paraId="3681FFBE" w14:textId="77777777" w:rsidR="007F6DF7" w:rsidRDefault="002C4268">
            <w:pPr>
              <w:pStyle w:val="TableParagraph"/>
              <w:spacing w:before="59"/>
              <w:ind w:left="109" w:right="215"/>
            </w:pPr>
            <w:r>
              <w:t xml:space="preserve">Consider monitoring BMI of adults with ADHD if there has been weight change </w:t>
            </w:r>
            <w:proofErr w:type="gramStart"/>
            <w:r>
              <w:t>as a result of</w:t>
            </w:r>
            <w:proofErr w:type="gramEnd"/>
            <w:r>
              <w:t xml:space="preserve"> their treatment, and changing the medication if weight change persists.</w:t>
            </w:r>
          </w:p>
        </w:tc>
      </w:tr>
      <w:tr w:rsidR="007F6DF7" w14:paraId="3219B05E" w14:textId="77777777">
        <w:trPr>
          <w:trHeight w:val="1939"/>
        </w:trPr>
        <w:tc>
          <w:tcPr>
            <w:tcW w:w="2831" w:type="dxa"/>
          </w:tcPr>
          <w:p w14:paraId="1F49CCA3" w14:textId="77777777" w:rsidR="007F6DF7" w:rsidRDefault="002C4268">
            <w:pPr>
              <w:pStyle w:val="TableParagraph"/>
              <w:spacing w:before="53"/>
              <w:ind w:left="108" w:right="262"/>
            </w:pPr>
            <w:r>
              <w:t>Cardiac function: Pulse and blood pressure</w:t>
            </w:r>
          </w:p>
        </w:tc>
        <w:tc>
          <w:tcPr>
            <w:tcW w:w="1748" w:type="dxa"/>
          </w:tcPr>
          <w:p w14:paraId="6D3C3BCA" w14:textId="77777777" w:rsidR="007F6DF7" w:rsidRDefault="002C4268">
            <w:pPr>
              <w:pStyle w:val="TableParagraph"/>
              <w:spacing w:before="53"/>
              <w:ind w:left="109" w:right="146"/>
            </w:pPr>
            <w:r>
              <w:t>At least every 6 months AND before and after each dose change</w:t>
            </w:r>
          </w:p>
        </w:tc>
        <w:tc>
          <w:tcPr>
            <w:tcW w:w="4792" w:type="dxa"/>
          </w:tcPr>
          <w:p w14:paraId="3ACEA586" w14:textId="77777777" w:rsidR="007F6DF7" w:rsidRDefault="002C4268">
            <w:pPr>
              <w:pStyle w:val="TableParagraph"/>
              <w:spacing w:before="53"/>
              <w:ind w:left="109" w:right="203"/>
            </w:pPr>
            <w:r>
              <w:t xml:space="preserve">If a person taking ADHD medication has sustained resting tachycardia (more than 120 beats per minute), arrhythmia or systolic blood pressure greater than the 95th percentile (or a clinically significant increase) measured on 2 occasions, reduce their </w:t>
            </w:r>
            <w:proofErr w:type="gramStart"/>
            <w:r>
              <w:t>dose</w:t>
            </w:r>
            <w:proofErr w:type="gramEnd"/>
            <w:r>
              <w:t xml:space="preserve"> and refer them to a</w:t>
            </w:r>
          </w:p>
          <w:p w14:paraId="24B0EA4F" w14:textId="77777777" w:rsidR="007F6DF7" w:rsidRDefault="002C4268">
            <w:pPr>
              <w:pStyle w:val="TableParagraph"/>
              <w:spacing w:line="255" w:lineRule="exact"/>
              <w:ind w:left="109"/>
            </w:pPr>
            <w:r>
              <w:t>cardiology/specialist physician.</w:t>
            </w:r>
          </w:p>
        </w:tc>
      </w:tr>
      <w:tr w:rsidR="007F6DF7" w14:paraId="4E7A027A" w14:textId="77777777">
        <w:trPr>
          <w:trHeight w:val="1672"/>
        </w:trPr>
        <w:tc>
          <w:tcPr>
            <w:tcW w:w="2831" w:type="dxa"/>
          </w:tcPr>
          <w:p w14:paraId="1E8FCD8F" w14:textId="77777777" w:rsidR="007F6DF7" w:rsidRDefault="002C4268">
            <w:pPr>
              <w:pStyle w:val="TableParagraph"/>
              <w:spacing w:before="53"/>
              <w:ind w:left="108"/>
            </w:pPr>
            <w:r>
              <w:t>Seizures</w:t>
            </w:r>
          </w:p>
        </w:tc>
        <w:tc>
          <w:tcPr>
            <w:tcW w:w="1748" w:type="dxa"/>
            <w:vMerge w:val="restart"/>
          </w:tcPr>
          <w:p w14:paraId="0DCD9E66" w14:textId="77777777" w:rsidR="007F6DF7" w:rsidRDefault="002C4268">
            <w:pPr>
              <w:pStyle w:val="TableParagraph"/>
              <w:spacing w:before="53"/>
              <w:ind w:left="109"/>
            </w:pPr>
            <w:r>
              <w:t>Patient to alert healthcare professional.</w:t>
            </w:r>
          </w:p>
          <w:p w14:paraId="2442726B" w14:textId="77777777" w:rsidR="007F6DF7" w:rsidRDefault="002C4268">
            <w:pPr>
              <w:pStyle w:val="TableParagraph"/>
              <w:spacing w:before="1"/>
              <w:ind w:left="109"/>
            </w:pPr>
            <w:r>
              <w:t>Assess every 6 months.</w:t>
            </w:r>
          </w:p>
        </w:tc>
        <w:tc>
          <w:tcPr>
            <w:tcW w:w="4792" w:type="dxa"/>
          </w:tcPr>
          <w:p w14:paraId="242C31AA" w14:textId="77777777" w:rsidR="007F6DF7" w:rsidRDefault="002C4268">
            <w:pPr>
              <w:pStyle w:val="TableParagraph"/>
              <w:spacing w:before="52" w:line="270" w:lineRule="atLeast"/>
              <w:ind w:left="109" w:right="133"/>
            </w:pPr>
            <w:r>
              <w:t>If a person with ADHD develops new seizures or a worsening of existing seizures, review their ADHD medication and stop any medication that might be contributing to the seizures. After investigation, cautiously reintroduce ADHD medication if it is unlikely to be the cause of the seizures.</w:t>
            </w:r>
          </w:p>
        </w:tc>
      </w:tr>
      <w:tr w:rsidR="007F6DF7" w14:paraId="24344846" w14:textId="77777777">
        <w:trPr>
          <w:trHeight w:val="865"/>
        </w:trPr>
        <w:tc>
          <w:tcPr>
            <w:tcW w:w="2831" w:type="dxa"/>
          </w:tcPr>
          <w:p w14:paraId="39BDD33E" w14:textId="77777777" w:rsidR="007F6DF7" w:rsidRDefault="002C4268">
            <w:pPr>
              <w:pStyle w:val="TableParagraph"/>
              <w:spacing w:before="53"/>
              <w:ind w:left="108"/>
            </w:pPr>
            <w:r>
              <w:t>Sleep</w:t>
            </w:r>
          </w:p>
        </w:tc>
        <w:tc>
          <w:tcPr>
            <w:tcW w:w="1748" w:type="dxa"/>
            <w:vMerge/>
            <w:tcBorders>
              <w:top w:val="nil"/>
            </w:tcBorders>
          </w:tcPr>
          <w:p w14:paraId="425DD1F5" w14:textId="77777777" w:rsidR="007F6DF7" w:rsidRDefault="007F6DF7">
            <w:pPr>
              <w:rPr>
                <w:sz w:val="2"/>
                <w:szCs w:val="2"/>
              </w:rPr>
            </w:pPr>
          </w:p>
        </w:tc>
        <w:tc>
          <w:tcPr>
            <w:tcW w:w="4792" w:type="dxa"/>
          </w:tcPr>
          <w:p w14:paraId="244C7514" w14:textId="77777777" w:rsidR="007F6DF7" w:rsidRDefault="002C4268">
            <w:pPr>
              <w:pStyle w:val="TableParagraph"/>
              <w:spacing w:before="52" w:line="270" w:lineRule="atLeast"/>
              <w:ind w:left="109" w:right="371"/>
            </w:pPr>
            <w:r>
              <w:t xml:space="preserve">. Review sleep hygiene. If sleep disturbance associated with drug treatment continues, </w:t>
            </w:r>
            <w:proofErr w:type="gramStart"/>
            <w:r>
              <w:t>refer back</w:t>
            </w:r>
            <w:proofErr w:type="gramEnd"/>
            <w:r>
              <w:t xml:space="preserve"> to specialist.</w:t>
            </w:r>
          </w:p>
        </w:tc>
      </w:tr>
      <w:tr w:rsidR="007F6DF7" w14:paraId="1E470045" w14:textId="77777777">
        <w:trPr>
          <w:trHeight w:val="866"/>
        </w:trPr>
        <w:tc>
          <w:tcPr>
            <w:tcW w:w="2831" w:type="dxa"/>
          </w:tcPr>
          <w:p w14:paraId="04C56E44" w14:textId="77777777" w:rsidR="007F6DF7" w:rsidRDefault="002C4268">
            <w:pPr>
              <w:pStyle w:val="TableParagraph"/>
              <w:spacing w:before="53"/>
              <w:ind w:left="108"/>
            </w:pPr>
            <w:r>
              <w:t>Psychiatric disorders</w:t>
            </w:r>
          </w:p>
        </w:tc>
        <w:tc>
          <w:tcPr>
            <w:tcW w:w="1748" w:type="dxa"/>
            <w:vMerge/>
            <w:tcBorders>
              <w:top w:val="nil"/>
            </w:tcBorders>
          </w:tcPr>
          <w:p w14:paraId="2523C919" w14:textId="77777777" w:rsidR="007F6DF7" w:rsidRDefault="007F6DF7">
            <w:pPr>
              <w:rPr>
                <w:sz w:val="2"/>
                <w:szCs w:val="2"/>
              </w:rPr>
            </w:pPr>
          </w:p>
        </w:tc>
        <w:tc>
          <w:tcPr>
            <w:tcW w:w="4792" w:type="dxa"/>
          </w:tcPr>
          <w:p w14:paraId="68E685DE" w14:textId="77777777" w:rsidR="007F6DF7" w:rsidRDefault="002C4268">
            <w:pPr>
              <w:pStyle w:val="TableParagraph"/>
              <w:spacing w:before="53"/>
              <w:ind w:left="109"/>
            </w:pPr>
            <w:r>
              <w:t>Monitor for new or worsening psychiatric and</w:t>
            </w:r>
          </w:p>
          <w:p w14:paraId="6EAA81EB" w14:textId="77777777" w:rsidR="007F6DF7" w:rsidRDefault="002C4268">
            <w:pPr>
              <w:pStyle w:val="TableParagraph"/>
              <w:spacing w:line="270" w:lineRule="atLeast"/>
              <w:ind w:left="109" w:right="302"/>
            </w:pPr>
            <w:r>
              <w:t>neurological signs or symptoms e.g. tics, anxiety, symptoms of bipolar disorder</w:t>
            </w:r>
          </w:p>
        </w:tc>
      </w:tr>
      <w:tr w:rsidR="007F6DF7" w14:paraId="42EF2173" w14:textId="77777777">
        <w:trPr>
          <w:trHeight w:val="1670"/>
        </w:trPr>
        <w:tc>
          <w:tcPr>
            <w:tcW w:w="2831" w:type="dxa"/>
          </w:tcPr>
          <w:p w14:paraId="24E22020" w14:textId="77777777" w:rsidR="007F6DF7" w:rsidRDefault="002C4268">
            <w:pPr>
              <w:pStyle w:val="TableParagraph"/>
              <w:spacing w:before="53"/>
              <w:ind w:left="108"/>
            </w:pPr>
            <w:r>
              <w:t xml:space="preserve">Worsening </w:t>
            </w:r>
            <w:proofErr w:type="spellStart"/>
            <w:r>
              <w:t>behaviour</w:t>
            </w:r>
            <w:proofErr w:type="spellEnd"/>
          </w:p>
        </w:tc>
        <w:tc>
          <w:tcPr>
            <w:tcW w:w="1748" w:type="dxa"/>
            <w:vMerge/>
            <w:tcBorders>
              <w:top w:val="nil"/>
            </w:tcBorders>
          </w:tcPr>
          <w:p w14:paraId="11F722ED" w14:textId="77777777" w:rsidR="007F6DF7" w:rsidRDefault="007F6DF7">
            <w:pPr>
              <w:rPr>
                <w:sz w:val="2"/>
                <w:szCs w:val="2"/>
              </w:rPr>
            </w:pPr>
          </w:p>
        </w:tc>
        <w:tc>
          <w:tcPr>
            <w:tcW w:w="4792" w:type="dxa"/>
          </w:tcPr>
          <w:p w14:paraId="51039385" w14:textId="77777777" w:rsidR="007F6DF7" w:rsidRDefault="002C4268">
            <w:pPr>
              <w:pStyle w:val="TableParagraph"/>
              <w:spacing w:before="53"/>
              <w:ind w:left="109" w:right="93"/>
              <w:jc w:val="both"/>
            </w:pPr>
            <w:r>
              <w:t xml:space="preserve">Monitor the </w:t>
            </w:r>
            <w:proofErr w:type="spellStart"/>
            <w:r>
              <w:t>behavioural</w:t>
            </w:r>
            <w:proofErr w:type="spellEnd"/>
            <w:r>
              <w:t xml:space="preserve"> response to medication, and if </w:t>
            </w:r>
            <w:proofErr w:type="spellStart"/>
            <w:r>
              <w:t>behaviour</w:t>
            </w:r>
            <w:proofErr w:type="spellEnd"/>
            <w:r>
              <w:t xml:space="preserve"> worsens adjust medication and refer to a psychiatrist to review the diagnosis. If psychotic or severe affective symptoms emerge review and consider discontinuing medication and</w:t>
            </w:r>
          </w:p>
          <w:p w14:paraId="113F42B7" w14:textId="77777777" w:rsidR="007F6DF7" w:rsidRDefault="002C4268">
            <w:pPr>
              <w:pStyle w:val="TableParagraph"/>
              <w:spacing w:line="254" w:lineRule="exact"/>
              <w:ind w:left="109"/>
              <w:jc w:val="both"/>
            </w:pPr>
            <w:r>
              <w:t>refer to a psychiatrist for an assessment.</w:t>
            </w:r>
          </w:p>
        </w:tc>
      </w:tr>
      <w:tr w:rsidR="007F6DF7" w14:paraId="7B85755A" w14:textId="77777777">
        <w:trPr>
          <w:trHeight w:val="1404"/>
        </w:trPr>
        <w:tc>
          <w:tcPr>
            <w:tcW w:w="2831" w:type="dxa"/>
          </w:tcPr>
          <w:p w14:paraId="6AE310BE" w14:textId="77777777" w:rsidR="007F6DF7" w:rsidRDefault="002C4268">
            <w:pPr>
              <w:pStyle w:val="TableParagraph"/>
              <w:spacing w:before="53"/>
              <w:ind w:left="108"/>
            </w:pPr>
            <w:r>
              <w:t>Stimulant diversion</w:t>
            </w:r>
          </w:p>
        </w:tc>
        <w:tc>
          <w:tcPr>
            <w:tcW w:w="1748" w:type="dxa"/>
          </w:tcPr>
          <w:p w14:paraId="24062C4E" w14:textId="77777777" w:rsidR="007F6DF7" w:rsidRDefault="002C4268">
            <w:pPr>
              <w:pStyle w:val="TableParagraph"/>
              <w:spacing w:before="53"/>
              <w:ind w:left="109" w:right="92" w:firstLine="50"/>
              <w:jc w:val="both"/>
            </w:pPr>
            <w:r>
              <w:t xml:space="preserve">As required, based on the patient’s needs and </w:t>
            </w:r>
            <w:proofErr w:type="gramStart"/>
            <w:r>
              <w:t>individual</w:t>
            </w:r>
            <w:proofErr w:type="gramEnd"/>
          </w:p>
          <w:p w14:paraId="1BDE79BD" w14:textId="77777777" w:rsidR="007F6DF7" w:rsidRDefault="002C4268">
            <w:pPr>
              <w:pStyle w:val="TableParagraph"/>
              <w:spacing w:before="2" w:line="255" w:lineRule="exact"/>
              <w:ind w:left="109"/>
              <w:jc w:val="both"/>
            </w:pPr>
            <w:r>
              <w:t>circumstances.</w:t>
            </w:r>
          </w:p>
        </w:tc>
        <w:tc>
          <w:tcPr>
            <w:tcW w:w="4792" w:type="dxa"/>
          </w:tcPr>
          <w:p w14:paraId="40F1137D" w14:textId="77777777" w:rsidR="007F6DF7" w:rsidRDefault="002C4268">
            <w:pPr>
              <w:pStyle w:val="TableParagraph"/>
              <w:spacing w:before="53"/>
              <w:ind w:left="109" w:right="92"/>
              <w:jc w:val="both"/>
            </w:pPr>
            <w:r>
              <w:t xml:space="preserve">Assessment of adherence, and for any </w:t>
            </w:r>
            <w:proofErr w:type="gramStart"/>
            <w:r>
              <w:t>indication  of</w:t>
            </w:r>
            <w:proofErr w:type="gramEnd"/>
            <w:r>
              <w:t xml:space="preserve"> </w:t>
            </w:r>
            <w:proofErr w:type="spellStart"/>
            <w:r>
              <w:t>lisdexamfetamine</w:t>
            </w:r>
            <w:proofErr w:type="spellEnd"/>
            <w:r>
              <w:t xml:space="preserve"> abuse, misuse, or diversion. If necessary, discuss with the Adult ADHD/substance misuse specialist</w:t>
            </w:r>
            <w:r>
              <w:rPr>
                <w:spacing w:val="-3"/>
              </w:rPr>
              <w:t xml:space="preserve"> </w:t>
            </w:r>
            <w:r>
              <w:t>team.</w:t>
            </w:r>
          </w:p>
        </w:tc>
      </w:tr>
    </w:tbl>
    <w:p w14:paraId="49F400D2" w14:textId="77777777" w:rsidR="007F6DF7" w:rsidRDefault="007F6DF7">
      <w:pPr>
        <w:pStyle w:val="BodyText"/>
        <w:spacing w:before="9"/>
        <w:rPr>
          <w:b/>
          <w:sz w:val="26"/>
        </w:rPr>
      </w:pPr>
    </w:p>
    <w:p w14:paraId="30D04D55" w14:textId="77777777" w:rsidR="007F6DF7" w:rsidRDefault="002C4268">
      <w:pPr>
        <w:pStyle w:val="Heading3"/>
        <w:spacing w:before="56"/>
      </w:pPr>
      <w:r>
        <w:t>Atomoxetine</w:t>
      </w:r>
    </w:p>
    <w:p w14:paraId="423395F0" w14:textId="77777777" w:rsidR="007F6DF7" w:rsidRDefault="002C4268">
      <w:pPr>
        <w:pStyle w:val="ListParagraph"/>
        <w:numPr>
          <w:ilvl w:val="1"/>
          <w:numId w:val="2"/>
        </w:numPr>
        <w:tabs>
          <w:tab w:val="left" w:pos="1453"/>
          <w:tab w:val="left" w:pos="1454"/>
        </w:tabs>
        <w:spacing w:before="60"/>
      </w:pPr>
      <w:r>
        <w:t xml:space="preserve">Patient report for </w:t>
      </w:r>
      <w:proofErr w:type="spellStart"/>
      <w:r>
        <w:t>dysmenorrhoea</w:t>
      </w:r>
      <w:proofErr w:type="spellEnd"/>
      <w:r>
        <w:t xml:space="preserve">, erectile </w:t>
      </w:r>
      <w:proofErr w:type="gramStart"/>
      <w:r>
        <w:t>dysfunction</w:t>
      </w:r>
      <w:proofErr w:type="gramEnd"/>
      <w:r>
        <w:t xml:space="preserve"> and ejaculatory</w:t>
      </w:r>
      <w:r>
        <w:rPr>
          <w:spacing w:val="-12"/>
        </w:rPr>
        <w:t xml:space="preserve"> </w:t>
      </w:r>
      <w:r>
        <w:t>dysfunction</w:t>
      </w:r>
    </w:p>
    <w:p w14:paraId="500BECC8" w14:textId="77777777" w:rsidR="007F6DF7" w:rsidRDefault="002C4268">
      <w:pPr>
        <w:pStyle w:val="ListParagraph"/>
        <w:numPr>
          <w:ilvl w:val="1"/>
          <w:numId w:val="2"/>
        </w:numPr>
        <w:tabs>
          <w:tab w:val="left" w:pos="1454"/>
        </w:tabs>
        <w:spacing w:before="59"/>
        <w:ind w:right="716"/>
        <w:jc w:val="both"/>
      </w:pPr>
      <w:r>
        <w:t xml:space="preserve">Patent report for agitation, irritability, suicidal thinking and self-harming </w:t>
      </w:r>
      <w:proofErr w:type="spellStart"/>
      <w:r>
        <w:t>behaviour</w:t>
      </w:r>
      <w:proofErr w:type="spellEnd"/>
      <w:r>
        <w:t xml:space="preserve">, and unusual changes in </w:t>
      </w:r>
      <w:proofErr w:type="spellStart"/>
      <w:r>
        <w:t>behaviour</w:t>
      </w:r>
      <w:proofErr w:type="spellEnd"/>
      <w:r>
        <w:t>, particularly during the initial months of treatment, or after a dose change.</w:t>
      </w:r>
    </w:p>
    <w:p w14:paraId="74879144" w14:textId="77777777" w:rsidR="007F6DF7" w:rsidRDefault="002C4268">
      <w:pPr>
        <w:pStyle w:val="ListParagraph"/>
        <w:numPr>
          <w:ilvl w:val="1"/>
          <w:numId w:val="2"/>
        </w:numPr>
        <w:tabs>
          <w:tab w:val="left" w:pos="1454"/>
        </w:tabs>
        <w:ind w:right="717"/>
        <w:jc w:val="both"/>
      </w:pPr>
      <w:r>
        <w:t xml:space="preserve">Patients should be warned about the potential for: increased agitation, anxiety, suicidal </w:t>
      </w:r>
      <w:proofErr w:type="gramStart"/>
      <w:r>
        <w:t>thinking</w:t>
      </w:r>
      <w:proofErr w:type="gramEnd"/>
      <w:r>
        <w:t xml:space="preserve"> and self-harming </w:t>
      </w:r>
      <w:proofErr w:type="spellStart"/>
      <w:r>
        <w:t>behaviour</w:t>
      </w:r>
      <w:proofErr w:type="spellEnd"/>
      <w:r>
        <w:t xml:space="preserve"> especially during the first few weeks of treatment and liver damage in rare cases (usually presenting as abdominal pain, unexplained nausea, malaise, darkening of the urine or</w:t>
      </w:r>
      <w:r>
        <w:rPr>
          <w:spacing w:val="-3"/>
        </w:rPr>
        <w:t xml:space="preserve"> </w:t>
      </w:r>
      <w:r>
        <w:t>jaundice).</w:t>
      </w:r>
    </w:p>
    <w:p w14:paraId="0FDCCB07" w14:textId="77777777" w:rsidR="007F6DF7" w:rsidRDefault="007F6DF7">
      <w:pPr>
        <w:jc w:val="both"/>
        <w:sectPr w:rsidR="007F6DF7">
          <w:headerReference w:type="default" r:id="rId57"/>
          <w:pgSz w:w="11910" w:h="16840"/>
          <w:pgMar w:top="1120" w:right="720" w:bottom="1880" w:left="400" w:header="0" w:footer="1595" w:gutter="0"/>
          <w:cols w:space="720"/>
        </w:sectPr>
      </w:pPr>
    </w:p>
    <w:p w14:paraId="24657F9F" w14:textId="77777777" w:rsidR="007F6DF7" w:rsidRDefault="002C4268">
      <w:pPr>
        <w:pStyle w:val="Heading1"/>
        <w:numPr>
          <w:ilvl w:val="0"/>
          <w:numId w:val="19"/>
        </w:numPr>
        <w:tabs>
          <w:tab w:val="left" w:pos="1299"/>
          <w:tab w:val="left" w:pos="1300"/>
          <w:tab w:val="left" w:pos="10095"/>
        </w:tabs>
        <w:spacing w:before="14"/>
        <w:ind w:hanging="566"/>
      </w:pPr>
      <w:bookmarkStart w:id="13" w:name="_bookmark13"/>
      <w:bookmarkEnd w:id="13"/>
      <w:r>
        <w:rPr>
          <w:color w:val="FFFFFF"/>
          <w:shd w:val="clear" w:color="auto" w:fill="538DD3"/>
        </w:rPr>
        <w:lastRenderedPageBreak/>
        <w:t>Contraindications</w:t>
      </w:r>
      <w:r>
        <w:rPr>
          <w:color w:val="FFFFFF"/>
          <w:shd w:val="clear" w:color="auto" w:fill="538DD3"/>
        </w:rPr>
        <w:tab/>
      </w:r>
    </w:p>
    <w:p w14:paraId="64DDB374" w14:textId="77777777" w:rsidR="007F6DF7" w:rsidRDefault="002C4268">
      <w:pPr>
        <w:pStyle w:val="BodyText"/>
        <w:spacing w:before="121"/>
        <w:ind w:left="733"/>
      </w:pPr>
      <w:r>
        <w:t xml:space="preserve">For a full list of contraindications, refer to the individual </w:t>
      </w:r>
      <w:hyperlink r:id="rId58">
        <w:r>
          <w:rPr>
            <w:color w:val="0000FF"/>
            <w:u w:val="single" w:color="0000FF"/>
          </w:rPr>
          <w:t>SmPC</w:t>
        </w:r>
        <w:r>
          <w:t>.</w:t>
        </w:r>
      </w:hyperlink>
    </w:p>
    <w:p w14:paraId="283A47ED" w14:textId="77777777" w:rsidR="007F6DF7" w:rsidRDefault="007F6DF7">
      <w:pPr>
        <w:pStyle w:val="BodyText"/>
        <w:spacing w:before="3"/>
        <w:rPr>
          <w:sz w:val="27"/>
        </w:rPr>
      </w:pPr>
    </w:p>
    <w:p w14:paraId="5EE62052" w14:textId="77777777" w:rsidR="007F6DF7" w:rsidRDefault="002C4268">
      <w:pPr>
        <w:pStyle w:val="BodyText"/>
        <w:spacing w:before="57"/>
        <w:ind w:left="733" w:right="716"/>
        <w:jc w:val="both"/>
      </w:pPr>
      <w:r>
        <w:rPr>
          <w:b/>
        </w:rPr>
        <w:t xml:space="preserve">Methylphenidate: </w:t>
      </w:r>
      <w:r>
        <w:t xml:space="preserve">Anorexia nervosa; arrhythmias; cardiomyopathy; cardiovascular disease; cerebrovascular disorders; heart failure; hyperthyroidism; mania; phaeochromocytoma; psychosis; severe depression; severe hypertension; structural cardiac abnormalities; suicidal tendencies; uncontrolled bipolar disorder; vasculitis; glaucoma, during treatment with MAOI, or within 14 days of discontinuing those drugs, due to the risk of hypertensive crisis; hypersensitivity to methylphenidate or to any of the excipients; </w:t>
      </w:r>
      <w:proofErr w:type="spellStart"/>
      <w:r>
        <w:t>Medikinet</w:t>
      </w:r>
      <w:proofErr w:type="spellEnd"/>
      <w:r>
        <w:t>® XL only: history of pronounced anacidity of the stomach with a pH value above 5.5, or during therapy with H2 receptor blockers, proton pump inhibitors or antacids.</w:t>
      </w:r>
    </w:p>
    <w:p w14:paraId="3D72BFBB" w14:textId="77777777" w:rsidR="007F6DF7" w:rsidRDefault="007F6DF7">
      <w:pPr>
        <w:pStyle w:val="BodyText"/>
        <w:spacing w:before="9"/>
        <w:rPr>
          <w:sz w:val="31"/>
        </w:rPr>
      </w:pPr>
    </w:p>
    <w:p w14:paraId="76324FE2" w14:textId="77777777" w:rsidR="007F6DF7" w:rsidRDefault="002C4268">
      <w:pPr>
        <w:pStyle w:val="BodyText"/>
        <w:ind w:left="733" w:right="716"/>
        <w:jc w:val="both"/>
      </w:pPr>
      <w:proofErr w:type="spellStart"/>
      <w:r>
        <w:rPr>
          <w:b/>
        </w:rPr>
        <w:t>Dexamfetamine</w:t>
      </w:r>
      <w:proofErr w:type="spellEnd"/>
      <w:r>
        <w:rPr>
          <w:b/>
        </w:rPr>
        <w:t xml:space="preserve">/: </w:t>
      </w:r>
      <w:r>
        <w:t xml:space="preserve">Advanced arteriosclerosis; hyperthyroidism; moderate or severe hypertension; symptomatic cardiovascular disease, concomitant use of MAOI or within 14 days of MAOI treatment (due to the risk of hypertensive crisis), glaucoma; known hypersensitivity to the active substance, any of the excipients, or sympathomimetic amines; phaeochromocytoma; Gilles de la Tourette syndrome or similar </w:t>
      </w:r>
      <w:proofErr w:type="spellStart"/>
      <w:r>
        <w:t>dystonias</w:t>
      </w:r>
      <w:proofErr w:type="spellEnd"/>
      <w:r>
        <w:t>; porphyria; psychiatric disorders including severe depression, schizophrenia,  borderline personality disorder and uncontrolled bipolar disorder; suicidal tendencies; anorexia; cerebrovascular disorders; history of drug or alcohol</w:t>
      </w:r>
      <w:r>
        <w:rPr>
          <w:spacing w:val="-13"/>
        </w:rPr>
        <w:t xml:space="preserve"> </w:t>
      </w:r>
      <w:r>
        <w:t>abuse.</w:t>
      </w:r>
    </w:p>
    <w:p w14:paraId="032F80F9" w14:textId="77777777" w:rsidR="007F6DF7" w:rsidRDefault="007F6DF7">
      <w:pPr>
        <w:pStyle w:val="BodyText"/>
        <w:spacing w:before="10"/>
        <w:rPr>
          <w:sz w:val="31"/>
        </w:rPr>
      </w:pPr>
    </w:p>
    <w:p w14:paraId="50738B46" w14:textId="77777777" w:rsidR="007F6DF7" w:rsidRDefault="002C4268">
      <w:pPr>
        <w:pStyle w:val="BodyText"/>
        <w:spacing w:before="1"/>
        <w:ind w:left="733" w:right="713"/>
        <w:jc w:val="both"/>
      </w:pPr>
      <w:proofErr w:type="spellStart"/>
      <w:r>
        <w:rPr>
          <w:b/>
        </w:rPr>
        <w:t>Lisdexamfetamine</w:t>
      </w:r>
      <w:proofErr w:type="spellEnd"/>
      <w:r>
        <w:rPr>
          <w:b/>
        </w:rPr>
        <w:t xml:space="preserve">: </w:t>
      </w:r>
      <w:r>
        <w:t xml:space="preserve">Advanced arteriosclerosis; agitated states; hyperthyroidism; moderate or severe hypertension; symptomatic cardiovascular disease, concomitant use of MAOI or within 14 days of MAOI treatment (due to the risk of hypertensive crisis), glaucoma; known hypersensitivity to the active substance, any of the excipients, or sympathomimetic </w:t>
      </w:r>
      <w:proofErr w:type="gramStart"/>
      <w:r>
        <w:t>amines;</w:t>
      </w:r>
      <w:proofErr w:type="gramEnd"/>
    </w:p>
    <w:p w14:paraId="7BB2ECD2" w14:textId="77777777" w:rsidR="007F6DF7" w:rsidRDefault="007F6DF7">
      <w:pPr>
        <w:pStyle w:val="BodyText"/>
        <w:spacing w:before="9"/>
        <w:rPr>
          <w:sz w:val="31"/>
        </w:rPr>
      </w:pPr>
    </w:p>
    <w:p w14:paraId="6027B396" w14:textId="631F75E4" w:rsidR="007F6DF7" w:rsidRPr="00A25F02" w:rsidRDefault="002C4268" w:rsidP="00A25F02">
      <w:pPr>
        <w:pStyle w:val="BodyText"/>
        <w:tabs>
          <w:tab w:val="left" w:pos="8654"/>
        </w:tabs>
        <w:ind w:left="733" w:right="713"/>
      </w:pPr>
      <w:r>
        <w:rPr>
          <w:b/>
        </w:rPr>
        <w:t xml:space="preserve">Atomoxetine: </w:t>
      </w:r>
      <w:r>
        <w:t>Phaeochromocytoma; severe cardiovascular disease; severe cerebrovascular disease; hypersensitivity to the active substance or to any of the excipients; during treatment with MAOI, or within 14 days of discontinuing those drugs, due to the risk of</w:t>
      </w:r>
      <w:r>
        <w:rPr>
          <w:spacing w:val="-17"/>
        </w:rPr>
        <w:t xml:space="preserve"> </w:t>
      </w:r>
      <w:r>
        <w:t>hypertensive crisis;</w:t>
      </w:r>
      <w:r>
        <w:tab/>
        <w:t>narrow-angle glaucoma.</w:t>
      </w:r>
    </w:p>
    <w:p w14:paraId="6E215C27" w14:textId="77777777" w:rsidR="007F6DF7" w:rsidRDefault="007F6DF7">
      <w:pPr>
        <w:pStyle w:val="BodyText"/>
        <w:spacing w:before="1"/>
        <w:rPr>
          <w:sz w:val="23"/>
        </w:rPr>
      </w:pPr>
    </w:p>
    <w:p w14:paraId="10D93C22" w14:textId="77777777" w:rsidR="007F6DF7" w:rsidRDefault="002C4268">
      <w:pPr>
        <w:pStyle w:val="Heading1"/>
        <w:numPr>
          <w:ilvl w:val="0"/>
          <w:numId w:val="19"/>
        </w:numPr>
        <w:tabs>
          <w:tab w:val="left" w:pos="1299"/>
          <w:tab w:val="left" w:pos="1300"/>
          <w:tab w:val="left" w:pos="10095"/>
        </w:tabs>
        <w:ind w:hanging="566"/>
      </w:pPr>
      <w:bookmarkStart w:id="14" w:name="_bookmark14"/>
      <w:bookmarkEnd w:id="14"/>
      <w:r>
        <w:rPr>
          <w:color w:val="FFFFFF"/>
          <w:shd w:val="clear" w:color="auto" w:fill="538DD3"/>
        </w:rPr>
        <w:t>Drug</w:t>
      </w:r>
      <w:r>
        <w:rPr>
          <w:color w:val="FFFFFF"/>
          <w:spacing w:val="-4"/>
          <w:shd w:val="clear" w:color="auto" w:fill="538DD3"/>
        </w:rPr>
        <w:t xml:space="preserve"> </w:t>
      </w:r>
      <w:r>
        <w:rPr>
          <w:color w:val="FFFFFF"/>
          <w:shd w:val="clear" w:color="auto" w:fill="538DD3"/>
        </w:rPr>
        <w:t>Interactions</w:t>
      </w:r>
      <w:r>
        <w:rPr>
          <w:color w:val="FFFFFF"/>
          <w:shd w:val="clear" w:color="auto" w:fill="538DD3"/>
        </w:rPr>
        <w:tab/>
      </w:r>
    </w:p>
    <w:p w14:paraId="78E4907B" w14:textId="77777777" w:rsidR="007F6DF7" w:rsidRDefault="002C4268">
      <w:pPr>
        <w:pStyle w:val="BodyText"/>
        <w:spacing w:before="119"/>
        <w:ind w:left="733"/>
      </w:pPr>
      <w:r>
        <w:t xml:space="preserve">For a full list of drug interactions, refer to the individual </w:t>
      </w:r>
      <w:hyperlink r:id="rId59">
        <w:r>
          <w:rPr>
            <w:color w:val="0000FF"/>
            <w:u w:val="single" w:color="0000FF"/>
          </w:rPr>
          <w:t>SmPC</w:t>
        </w:r>
        <w:r>
          <w:t>.</w:t>
        </w:r>
      </w:hyperlink>
    </w:p>
    <w:p w14:paraId="7387BE5C" w14:textId="77777777" w:rsidR="007F6DF7" w:rsidRDefault="007F6DF7">
      <w:pPr>
        <w:pStyle w:val="BodyText"/>
        <w:spacing w:before="4"/>
        <w:rPr>
          <w:sz w:val="27"/>
        </w:rPr>
      </w:pPr>
    </w:p>
    <w:p w14:paraId="399EBD0B" w14:textId="77777777" w:rsidR="007F6DF7" w:rsidRDefault="002C4268">
      <w:pPr>
        <w:pStyle w:val="Heading3"/>
        <w:spacing w:before="56"/>
      </w:pPr>
      <w:r>
        <w:t>Methylphenidate:</w:t>
      </w:r>
    </w:p>
    <w:p w14:paraId="19C71EF2" w14:textId="77777777" w:rsidR="007F6DF7" w:rsidRDefault="002C4268">
      <w:pPr>
        <w:pStyle w:val="ListParagraph"/>
        <w:numPr>
          <w:ilvl w:val="1"/>
          <w:numId w:val="19"/>
        </w:numPr>
        <w:tabs>
          <w:tab w:val="left" w:pos="1454"/>
        </w:tabs>
        <w:ind w:right="715"/>
        <w:jc w:val="both"/>
      </w:pPr>
      <w:r>
        <w:rPr>
          <w:b/>
        </w:rPr>
        <w:t xml:space="preserve">Monoamine oxidase inhibitors (MAOIs): </w:t>
      </w:r>
      <w:r>
        <w:t>risk of hypertensive crisis. The combination is contraindicated, and the use of methylphenidate and MAOIs should be separated by at least 14 days.</w:t>
      </w:r>
    </w:p>
    <w:p w14:paraId="06FAFC7D" w14:textId="77777777" w:rsidR="007F6DF7" w:rsidRDefault="002C4268">
      <w:pPr>
        <w:pStyle w:val="ListParagraph"/>
        <w:numPr>
          <w:ilvl w:val="1"/>
          <w:numId w:val="19"/>
        </w:numPr>
        <w:tabs>
          <w:tab w:val="left" w:pos="1454"/>
        </w:tabs>
        <w:ind w:right="714"/>
        <w:jc w:val="both"/>
      </w:pPr>
      <w:r>
        <w:rPr>
          <w:b/>
        </w:rPr>
        <w:t xml:space="preserve">Coumarin anticoagulants, anticonvulsants (e.g. phenobarbital, phenytoin, primidone), selective serotonin reuptake inhibitors (SSRIs) and tricyclic antidepressants (TCAs): </w:t>
      </w:r>
      <w:r>
        <w:t>metabolism may be inhibited by methylphenidate. Dose adjustment may be required when starting or stopping</w:t>
      </w:r>
      <w:r>
        <w:rPr>
          <w:spacing w:val="-7"/>
        </w:rPr>
        <w:t xml:space="preserve"> </w:t>
      </w:r>
      <w:r>
        <w:t>methylphenidate.</w:t>
      </w:r>
    </w:p>
    <w:p w14:paraId="65B50154" w14:textId="77777777" w:rsidR="007F6DF7" w:rsidRDefault="002C4268">
      <w:pPr>
        <w:pStyle w:val="ListParagraph"/>
        <w:numPr>
          <w:ilvl w:val="1"/>
          <w:numId w:val="19"/>
        </w:numPr>
        <w:tabs>
          <w:tab w:val="left" w:pos="1453"/>
          <w:tab w:val="left" w:pos="1454"/>
        </w:tabs>
        <w:spacing w:before="58"/>
      </w:pPr>
      <w:r>
        <w:rPr>
          <w:b/>
        </w:rPr>
        <w:t xml:space="preserve">Anti-hypertensive drugs: </w:t>
      </w:r>
      <w:r>
        <w:t>effectiveness may be reduced by</w:t>
      </w:r>
      <w:r>
        <w:rPr>
          <w:spacing w:val="-5"/>
        </w:rPr>
        <w:t xml:space="preserve"> </w:t>
      </w:r>
      <w:r>
        <w:t>methylphenidate.</w:t>
      </w:r>
    </w:p>
    <w:p w14:paraId="6C00DD03" w14:textId="77777777" w:rsidR="007F6DF7" w:rsidRDefault="002C4268">
      <w:pPr>
        <w:pStyle w:val="ListParagraph"/>
        <w:numPr>
          <w:ilvl w:val="1"/>
          <w:numId w:val="19"/>
        </w:numPr>
        <w:tabs>
          <w:tab w:val="left" w:pos="1453"/>
          <w:tab w:val="left" w:pos="1454"/>
        </w:tabs>
      </w:pPr>
      <w:r>
        <w:rPr>
          <w:b/>
        </w:rPr>
        <w:t xml:space="preserve">Other drugs which elevate blood pressure: </w:t>
      </w:r>
      <w:r>
        <w:t>risk of additive effects (e.g.</w:t>
      </w:r>
      <w:r>
        <w:rPr>
          <w:spacing w:val="-16"/>
        </w:rPr>
        <w:t xml:space="preserve"> </w:t>
      </w:r>
      <w:r>
        <w:t>linezolid).</w:t>
      </w:r>
    </w:p>
    <w:p w14:paraId="782BB2B3" w14:textId="77777777" w:rsidR="007F6DF7" w:rsidRDefault="002C4268">
      <w:pPr>
        <w:pStyle w:val="ListParagraph"/>
        <w:numPr>
          <w:ilvl w:val="1"/>
          <w:numId w:val="19"/>
        </w:numPr>
        <w:tabs>
          <w:tab w:val="left" w:pos="1453"/>
          <w:tab w:val="left" w:pos="1454"/>
        </w:tabs>
        <w:spacing w:before="60"/>
      </w:pPr>
      <w:r>
        <w:rPr>
          <w:b/>
        </w:rPr>
        <w:t xml:space="preserve">Alcohol: </w:t>
      </w:r>
      <w:r>
        <w:t>may exacerbate adverse CNS effects of</w:t>
      </w:r>
      <w:r>
        <w:rPr>
          <w:spacing w:val="-11"/>
        </w:rPr>
        <w:t xml:space="preserve"> </w:t>
      </w:r>
      <w:r>
        <w:t>methylphenidate.</w:t>
      </w:r>
    </w:p>
    <w:p w14:paraId="3F736B8C" w14:textId="77777777" w:rsidR="007F6DF7" w:rsidRDefault="007F6DF7">
      <w:pPr>
        <w:sectPr w:rsidR="007F6DF7">
          <w:headerReference w:type="default" r:id="rId60"/>
          <w:pgSz w:w="11910" w:h="16840"/>
          <w:pgMar w:top="1100" w:right="720" w:bottom="1880" w:left="400" w:header="0" w:footer="1595" w:gutter="0"/>
          <w:cols w:space="720"/>
        </w:sectPr>
      </w:pPr>
    </w:p>
    <w:p w14:paraId="49F1B0B3" w14:textId="77777777" w:rsidR="007F6DF7" w:rsidRDefault="002C4268">
      <w:pPr>
        <w:pStyle w:val="ListParagraph"/>
        <w:numPr>
          <w:ilvl w:val="1"/>
          <w:numId w:val="19"/>
        </w:numPr>
        <w:tabs>
          <w:tab w:val="left" w:pos="1453"/>
          <w:tab w:val="left" w:pos="1454"/>
        </w:tabs>
        <w:spacing w:before="74"/>
        <w:ind w:right="715"/>
      </w:pPr>
      <w:r>
        <w:rPr>
          <w:b/>
        </w:rPr>
        <w:lastRenderedPageBreak/>
        <w:t xml:space="preserve">Serotonergic drugs, including SSRIs and MAOIs: </w:t>
      </w:r>
      <w:r>
        <w:t>increased risk of CNS adverse effects, risk of serotonin</w:t>
      </w:r>
      <w:r>
        <w:rPr>
          <w:spacing w:val="-2"/>
        </w:rPr>
        <w:t xml:space="preserve"> </w:t>
      </w:r>
      <w:r>
        <w:t>syndrome.</w:t>
      </w:r>
    </w:p>
    <w:p w14:paraId="5814B0DF" w14:textId="77777777" w:rsidR="007F6DF7" w:rsidRDefault="002C4268">
      <w:pPr>
        <w:pStyle w:val="ListParagraph"/>
        <w:numPr>
          <w:ilvl w:val="1"/>
          <w:numId w:val="19"/>
        </w:numPr>
        <w:tabs>
          <w:tab w:val="left" w:pos="1453"/>
          <w:tab w:val="left" w:pos="1454"/>
        </w:tabs>
        <w:ind w:right="716"/>
      </w:pPr>
      <w:r>
        <w:rPr>
          <w:b/>
        </w:rPr>
        <w:t xml:space="preserve">Halogenated </w:t>
      </w:r>
      <w:proofErr w:type="spellStart"/>
      <w:r>
        <w:rPr>
          <w:b/>
        </w:rPr>
        <w:t>anaesthetics</w:t>
      </w:r>
      <w:proofErr w:type="spellEnd"/>
      <w:r>
        <w:rPr>
          <w:b/>
        </w:rPr>
        <w:t xml:space="preserve">: </w:t>
      </w:r>
      <w:r>
        <w:t>risk of sudden blood pressure increase during surgery. Avoid methylphenidate on the day of planned</w:t>
      </w:r>
      <w:r>
        <w:rPr>
          <w:spacing w:val="-9"/>
        </w:rPr>
        <w:t xml:space="preserve"> </w:t>
      </w:r>
      <w:r>
        <w:t>surgery.</w:t>
      </w:r>
    </w:p>
    <w:p w14:paraId="2CD23FCB" w14:textId="77777777" w:rsidR="007F6DF7" w:rsidRDefault="002C4268">
      <w:pPr>
        <w:pStyle w:val="ListParagraph"/>
        <w:numPr>
          <w:ilvl w:val="1"/>
          <w:numId w:val="19"/>
        </w:numPr>
        <w:tabs>
          <w:tab w:val="left" w:pos="1454"/>
        </w:tabs>
        <w:ind w:right="719"/>
        <w:jc w:val="both"/>
      </w:pPr>
      <w:r>
        <w:rPr>
          <w:b/>
        </w:rPr>
        <w:t xml:space="preserve">Dopaminergic drugs, including antipsychotics (e.g. risperidone, paliperidone, selegiline, rasagiline): </w:t>
      </w:r>
      <w:r>
        <w:t>increased risk of pharmacodynamic interactions including dyskinesias or hypertensive</w:t>
      </w:r>
      <w:r>
        <w:rPr>
          <w:spacing w:val="-3"/>
        </w:rPr>
        <w:t xml:space="preserve"> </w:t>
      </w:r>
      <w:r>
        <w:t>crisis.</w:t>
      </w:r>
    </w:p>
    <w:p w14:paraId="18E60DFD" w14:textId="77777777" w:rsidR="007F6DF7" w:rsidRDefault="002C4268">
      <w:pPr>
        <w:pStyle w:val="ListParagraph"/>
        <w:numPr>
          <w:ilvl w:val="1"/>
          <w:numId w:val="19"/>
        </w:numPr>
        <w:tabs>
          <w:tab w:val="left" w:pos="1453"/>
          <w:tab w:val="left" w:pos="1454"/>
        </w:tabs>
        <w:spacing w:before="58"/>
      </w:pPr>
      <w:r>
        <w:rPr>
          <w:b/>
        </w:rPr>
        <w:t xml:space="preserve">Apraclonidine: </w:t>
      </w:r>
      <w:r>
        <w:t>effects decreased by</w:t>
      </w:r>
      <w:r>
        <w:rPr>
          <w:spacing w:val="-7"/>
        </w:rPr>
        <w:t xml:space="preserve"> </w:t>
      </w:r>
      <w:r>
        <w:t>methylphenidate.</w:t>
      </w:r>
    </w:p>
    <w:p w14:paraId="4CB36213" w14:textId="77777777" w:rsidR="007F6DF7" w:rsidRDefault="002C4268">
      <w:pPr>
        <w:pStyle w:val="ListParagraph"/>
        <w:numPr>
          <w:ilvl w:val="1"/>
          <w:numId w:val="19"/>
        </w:numPr>
        <w:tabs>
          <w:tab w:val="left" w:pos="1453"/>
          <w:tab w:val="left" w:pos="1454"/>
        </w:tabs>
      </w:pPr>
      <w:r>
        <w:rPr>
          <w:b/>
        </w:rPr>
        <w:t xml:space="preserve">Carbamazepine: </w:t>
      </w:r>
      <w:r>
        <w:t>may decrease methylphenidate</w:t>
      </w:r>
      <w:r>
        <w:rPr>
          <w:spacing w:val="-3"/>
        </w:rPr>
        <w:t xml:space="preserve"> </w:t>
      </w:r>
      <w:r>
        <w:t>levels.</w:t>
      </w:r>
    </w:p>
    <w:p w14:paraId="18C65177" w14:textId="77777777" w:rsidR="007F6DF7" w:rsidRDefault="002C4268">
      <w:pPr>
        <w:pStyle w:val="ListParagraph"/>
        <w:numPr>
          <w:ilvl w:val="1"/>
          <w:numId w:val="19"/>
        </w:numPr>
        <w:tabs>
          <w:tab w:val="left" w:pos="1453"/>
          <w:tab w:val="left" w:pos="1454"/>
        </w:tabs>
        <w:spacing w:before="60"/>
      </w:pPr>
      <w:r>
        <w:rPr>
          <w:b/>
        </w:rPr>
        <w:t xml:space="preserve">Ozanimod: </w:t>
      </w:r>
      <w:r>
        <w:t>may increase risk of hypertensive</w:t>
      </w:r>
      <w:r>
        <w:rPr>
          <w:spacing w:val="-5"/>
        </w:rPr>
        <w:t xml:space="preserve"> </w:t>
      </w:r>
      <w:r>
        <w:t>crisis.</w:t>
      </w:r>
    </w:p>
    <w:p w14:paraId="0B2FFE8D" w14:textId="77777777" w:rsidR="007F6DF7" w:rsidRDefault="007F6DF7">
      <w:pPr>
        <w:pStyle w:val="BodyText"/>
        <w:spacing w:before="11"/>
        <w:rPr>
          <w:sz w:val="31"/>
        </w:rPr>
      </w:pPr>
    </w:p>
    <w:p w14:paraId="4B45232A" w14:textId="77777777" w:rsidR="007F6DF7" w:rsidRDefault="002C4268">
      <w:pPr>
        <w:pStyle w:val="Heading3"/>
        <w:spacing w:before="1"/>
      </w:pPr>
      <w:proofErr w:type="spellStart"/>
      <w:r>
        <w:t>Lisdexamfetamine</w:t>
      </w:r>
      <w:proofErr w:type="spellEnd"/>
      <w:r>
        <w:t>:</w:t>
      </w:r>
    </w:p>
    <w:p w14:paraId="3662E816" w14:textId="77777777" w:rsidR="007F6DF7" w:rsidRDefault="002C4268">
      <w:pPr>
        <w:pStyle w:val="ListParagraph"/>
        <w:numPr>
          <w:ilvl w:val="1"/>
          <w:numId w:val="19"/>
        </w:numPr>
        <w:tabs>
          <w:tab w:val="left" w:pos="1453"/>
          <w:tab w:val="left" w:pos="1454"/>
        </w:tabs>
        <w:spacing w:before="58"/>
        <w:ind w:right="1611"/>
      </w:pPr>
      <w:r>
        <w:rPr>
          <w:b/>
        </w:rPr>
        <w:t xml:space="preserve">MAOIs and other sympathomimetics (e.g. rasagiline, selegiline, safinamide): </w:t>
      </w:r>
      <w:r>
        <w:t xml:space="preserve">additive hypertensive effect. The combination with MAOI is contraindicated, and use of </w:t>
      </w:r>
      <w:proofErr w:type="spellStart"/>
      <w:r>
        <w:t>lisdexamfetamine</w:t>
      </w:r>
      <w:proofErr w:type="spellEnd"/>
      <w:r>
        <w:t xml:space="preserve"> and MAOIs should be separated by at least 14</w:t>
      </w:r>
      <w:r>
        <w:rPr>
          <w:spacing w:val="-15"/>
        </w:rPr>
        <w:t xml:space="preserve"> </w:t>
      </w:r>
      <w:r>
        <w:t>days.</w:t>
      </w:r>
    </w:p>
    <w:p w14:paraId="0B6E6811" w14:textId="77777777" w:rsidR="007F6DF7" w:rsidRDefault="002C4268">
      <w:pPr>
        <w:pStyle w:val="ListParagraph"/>
        <w:numPr>
          <w:ilvl w:val="1"/>
          <w:numId w:val="19"/>
        </w:numPr>
        <w:tabs>
          <w:tab w:val="left" w:pos="1453"/>
          <w:tab w:val="left" w:pos="1454"/>
        </w:tabs>
        <w:ind w:right="1554"/>
      </w:pPr>
      <w:r>
        <w:rPr>
          <w:b/>
        </w:rPr>
        <w:t xml:space="preserve">SSRIs (e.g. fluoxetine, paroxetine): </w:t>
      </w:r>
      <w:r>
        <w:t xml:space="preserve">may increase exposure to </w:t>
      </w:r>
      <w:proofErr w:type="spellStart"/>
      <w:r>
        <w:t>lisdexamfetamine</w:t>
      </w:r>
      <w:proofErr w:type="spellEnd"/>
      <w:r>
        <w:t>, risk of serotonin</w:t>
      </w:r>
      <w:r>
        <w:rPr>
          <w:spacing w:val="-2"/>
        </w:rPr>
        <w:t xml:space="preserve"> </w:t>
      </w:r>
      <w:r>
        <w:t>syndrome.</w:t>
      </w:r>
    </w:p>
    <w:p w14:paraId="259B0003" w14:textId="77777777" w:rsidR="007F6DF7" w:rsidRDefault="002C4268">
      <w:pPr>
        <w:pStyle w:val="ListParagraph"/>
        <w:numPr>
          <w:ilvl w:val="1"/>
          <w:numId w:val="19"/>
        </w:numPr>
        <w:tabs>
          <w:tab w:val="left" w:pos="1453"/>
          <w:tab w:val="left" w:pos="1454"/>
        </w:tabs>
      </w:pPr>
      <w:r>
        <w:rPr>
          <w:b/>
        </w:rPr>
        <w:t xml:space="preserve">Serotonergic drugs, bupropion, </w:t>
      </w:r>
      <w:proofErr w:type="spellStart"/>
      <w:r>
        <w:rPr>
          <w:b/>
        </w:rPr>
        <w:t>tapentadol</w:t>
      </w:r>
      <w:proofErr w:type="spellEnd"/>
      <w:r>
        <w:rPr>
          <w:b/>
        </w:rPr>
        <w:t xml:space="preserve">, tramadol: </w:t>
      </w:r>
      <w:r>
        <w:t>Risk of serotonin</w:t>
      </w:r>
      <w:r>
        <w:rPr>
          <w:spacing w:val="-5"/>
        </w:rPr>
        <w:t xml:space="preserve"> </w:t>
      </w:r>
      <w:r>
        <w:t>syndrome.</w:t>
      </w:r>
    </w:p>
    <w:p w14:paraId="465C3088" w14:textId="77777777" w:rsidR="007F6DF7" w:rsidRDefault="002C4268">
      <w:pPr>
        <w:pStyle w:val="ListParagraph"/>
        <w:numPr>
          <w:ilvl w:val="1"/>
          <w:numId w:val="19"/>
        </w:numPr>
        <w:tabs>
          <w:tab w:val="left" w:pos="1453"/>
          <w:tab w:val="left" w:pos="1454"/>
        </w:tabs>
        <w:spacing w:before="58"/>
        <w:ind w:right="1191"/>
      </w:pPr>
      <w:r>
        <w:rPr>
          <w:b/>
        </w:rPr>
        <w:t xml:space="preserve">Tricyclic antidepressants (TCAs) and nabilone: </w:t>
      </w:r>
      <w:r>
        <w:t>may increase risk of cardiovascular adverse events.</w:t>
      </w:r>
    </w:p>
    <w:p w14:paraId="59BEA925" w14:textId="77777777" w:rsidR="007F6DF7" w:rsidRDefault="002C4268">
      <w:pPr>
        <w:pStyle w:val="ListParagraph"/>
        <w:numPr>
          <w:ilvl w:val="1"/>
          <w:numId w:val="19"/>
        </w:numPr>
        <w:tabs>
          <w:tab w:val="left" w:pos="1453"/>
          <w:tab w:val="left" w:pos="1454"/>
        </w:tabs>
        <w:spacing w:before="60"/>
        <w:ind w:right="1175"/>
      </w:pPr>
      <w:r>
        <w:rPr>
          <w:b/>
        </w:rPr>
        <w:t xml:space="preserve">Ascorbic acid and other agents and conditions (e.g. thiazide diuretics, diets high in animal protein, diabetes, respiratory acidosis) </w:t>
      </w:r>
      <w:r>
        <w:t>that acidify urine increase urinary excretion and decrease the half-life of</w:t>
      </w:r>
      <w:r>
        <w:rPr>
          <w:spacing w:val="-5"/>
        </w:rPr>
        <w:t xml:space="preserve"> </w:t>
      </w:r>
      <w:proofErr w:type="spellStart"/>
      <w:r>
        <w:t>amfetamine</w:t>
      </w:r>
      <w:proofErr w:type="spellEnd"/>
      <w:r>
        <w:t>.</w:t>
      </w:r>
    </w:p>
    <w:p w14:paraId="026BE52F" w14:textId="77777777" w:rsidR="007F6DF7" w:rsidRDefault="002C4268">
      <w:pPr>
        <w:pStyle w:val="ListParagraph"/>
        <w:numPr>
          <w:ilvl w:val="1"/>
          <w:numId w:val="19"/>
        </w:numPr>
        <w:tabs>
          <w:tab w:val="left" w:pos="1453"/>
          <w:tab w:val="left" w:pos="1454"/>
        </w:tabs>
        <w:spacing w:before="62"/>
        <w:ind w:right="853"/>
      </w:pPr>
      <w:r>
        <w:rPr>
          <w:b/>
        </w:rPr>
        <w:t xml:space="preserve">Sodium bicarbonate and other agents and conditions (e.g. diets high in fruits and vegetables, urinary tract infections and vomiting) </w:t>
      </w:r>
      <w:r>
        <w:t xml:space="preserve">that </w:t>
      </w:r>
      <w:proofErr w:type="spellStart"/>
      <w:r>
        <w:t>alkalinise</w:t>
      </w:r>
      <w:proofErr w:type="spellEnd"/>
      <w:r>
        <w:t xml:space="preserve"> urine decrease urinary excretion and extend the half-life of</w:t>
      </w:r>
      <w:r>
        <w:rPr>
          <w:spacing w:val="-10"/>
        </w:rPr>
        <w:t xml:space="preserve"> </w:t>
      </w:r>
      <w:proofErr w:type="spellStart"/>
      <w:r>
        <w:t>lisdexamfetamine</w:t>
      </w:r>
      <w:proofErr w:type="spellEnd"/>
      <w:r>
        <w:t>.</w:t>
      </w:r>
    </w:p>
    <w:p w14:paraId="0043EF68" w14:textId="77777777" w:rsidR="007F6DF7" w:rsidRDefault="002C4268">
      <w:pPr>
        <w:pStyle w:val="ListParagraph"/>
        <w:numPr>
          <w:ilvl w:val="1"/>
          <w:numId w:val="19"/>
        </w:numPr>
        <w:tabs>
          <w:tab w:val="left" w:pos="1453"/>
          <w:tab w:val="left" w:pos="1454"/>
        </w:tabs>
        <w:spacing w:before="59"/>
      </w:pPr>
      <w:r>
        <w:rPr>
          <w:b/>
        </w:rPr>
        <w:t xml:space="preserve">Antihypertensives, including guanethidine: </w:t>
      </w:r>
      <w:r>
        <w:t>effects may be reduced by</w:t>
      </w:r>
      <w:r>
        <w:rPr>
          <w:spacing w:val="-5"/>
        </w:rPr>
        <w:t xml:space="preserve"> </w:t>
      </w:r>
      <w:proofErr w:type="spellStart"/>
      <w:r>
        <w:t>lisdexamfetamine</w:t>
      </w:r>
      <w:proofErr w:type="spellEnd"/>
      <w:r>
        <w:t>.</w:t>
      </w:r>
    </w:p>
    <w:p w14:paraId="49440628" w14:textId="77777777" w:rsidR="007F6DF7" w:rsidRDefault="002C4268">
      <w:pPr>
        <w:pStyle w:val="ListParagraph"/>
        <w:numPr>
          <w:ilvl w:val="1"/>
          <w:numId w:val="19"/>
        </w:numPr>
        <w:tabs>
          <w:tab w:val="left" w:pos="1453"/>
          <w:tab w:val="left" w:pos="1454"/>
        </w:tabs>
        <w:spacing w:before="60"/>
      </w:pPr>
      <w:r>
        <w:rPr>
          <w:b/>
        </w:rPr>
        <w:t xml:space="preserve">Lithium, phenothiazines, and haloperidol: </w:t>
      </w:r>
      <w:r>
        <w:t>may reduce the effects of</w:t>
      </w:r>
      <w:r>
        <w:rPr>
          <w:spacing w:val="-6"/>
        </w:rPr>
        <w:t xml:space="preserve"> </w:t>
      </w:r>
      <w:proofErr w:type="spellStart"/>
      <w:r>
        <w:t>lisdexamfetamine</w:t>
      </w:r>
      <w:proofErr w:type="spellEnd"/>
      <w:r>
        <w:t>.</w:t>
      </w:r>
    </w:p>
    <w:p w14:paraId="51ACFECC" w14:textId="77777777" w:rsidR="007F6DF7" w:rsidRDefault="002C4268">
      <w:pPr>
        <w:pStyle w:val="ListParagraph"/>
        <w:numPr>
          <w:ilvl w:val="1"/>
          <w:numId w:val="19"/>
        </w:numPr>
        <w:tabs>
          <w:tab w:val="left" w:pos="1453"/>
          <w:tab w:val="left" w:pos="1454"/>
        </w:tabs>
        <w:ind w:right="1803"/>
      </w:pPr>
      <w:r>
        <w:rPr>
          <w:b/>
        </w:rPr>
        <w:t xml:space="preserve">Opioids (including </w:t>
      </w:r>
      <w:proofErr w:type="spellStart"/>
      <w:r>
        <w:rPr>
          <w:b/>
        </w:rPr>
        <w:t>tapentadol</w:t>
      </w:r>
      <w:proofErr w:type="spellEnd"/>
      <w:r>
        <w:rPr>
          <w:b/>
        </w:rPr>
        <w:t xml:space="preserve"> and tramadol): </w:t>
      </w:r>
      <w:r>
        <w:t xml:space="preserve">analgesic effects may be increased by </w:t>
      </w:r>
      <w:proofErr w:type="spellStart"/>
      <w:r>
        <w:t>lisdexamfetamine</w:t>
      </w:r>
      <w:proofErr w:type="spellEnd"/>
      <w:r>
        <w:t>.</w:t>
      </w:r>
    </w:p>
    <w:p w14:paraId="74B7B29F" w14:textId="77777777" w:rsidR="007F6DF7" w:rsidRDefault="002C4268">
      <w:pPr>
        <w:pStyle w:val="ListParagraph"/>
        <w:numPr>
          <w:ilvl w:val="1"/>
          <w:numId w:val="19"/>
        </w:numPr>
        <w:tabs>
          <w:tab w:val="left" w:pos="1453"/>
          <w:tab w:val="left" w:pos="1454"/>
        </w:tabs>
        <w:spacing w:before="58"/>
        <w:ind w:right="1068"/>
      </w:pPr>
      <w:r>
        <w:rPr>
          <w:b/>
        </w:rPr>
        <w:t xml:space="preserve">Alcohol: </w:t>
      </w:r>
      <w:r>
        <w:t xml:space="preserve">limited data is </w:t>
      </w:r>
      <w:proofErr w:type="gramStart"/>
      <w:r>
        <w:t>available,</w:t>
      </w:r>
      <w:proofErr w:type="gramEnd"/>
      <w:r>
        <w:t xml:space="preserve"> therefore caution is advised as alcohol may exacerbate the CNS side effects of</w:t>
      </w:r>
      <w:r>
        <w:rPr>
          <w:spacing w:val="-3"/>
        </w:rPr>
        <w:t xml:space="preserve"> </w:t>
      </w:r>
      <w:proofErr w:type="spellStart"/>
      <w:r>
        <w:t>lisdexamfetamine</w:t>
      </w:r>
      <w:proofErr w:type="spellEnd"/>
      <w:r>
        <w:t>.</w:t>
      </w:r>
    </w:p>
    <w:p w14:paraId="464C67C9" w14:textId="77777777" w:rsidR="007F6DF7" w:rsidRDefault="002C4268">
      <w:pPr>
        <w:pStyle w:val="ListParagraph"/>
        <w:numPr>
          <w:ilvl w:val="1"/>
          <w:numId w:val="19"/>
        </w:numPr>
        <w:tabs>
          <w:tab w:val="left" w:pos="1453"/>
          <w:tab w:val="left" w:pos="1454"/>
        </w:tabs>
      </w:pPr>
      <w:r>
        <w:rPr>
          <w:b/>
        </w:rPr>
        <w:t xml:space="preserve">Apraclonidine: </w:t>
      </w:r>
      <w:r>
        <w:t>effects decreased by</w:t>
      </w:r>
      <w:r>
        <w:rPr>
          <w:spacing w:val="-5"/>
        </w:rPr>
        <w:t xml:space="preserve"> </w:t>
      </w:r>
      <w:proofErr w:type="spellStart"/>
      <w:r>
        <w:t>lisdexamfetamine</w:t>
      </w:r>
      <w:proofErr w:type="spellEnd"/>
      <w:r>
        <w:t>.</w:t>
      </w:r>
    </w:p>
    <w:p w14:paraId="7C3664C1" w14:textId="77777777" w:rsidR="007F6DF7" w:rsidRDefault="002C4268">
      <w:pPr>
        <w:pStyle w:val="ListParagraph"/>
        <w:numPr>
          <w:ilvl w:val="1"/>
          <w:numId w:val="19"/>
        </w:numPr>
        <w:tabs>
          <w:tab w:val="left" w:pos="1453"/>
          <w:tab w:val="left" w:pos="1454"/>
        </w:tabs>
      </w:pPr>
      <w:r>
        <w:rPr>
          <w:b/>
        </w:rPr>
        <w:t xml:space="preserve">Ritonavir, tipranavir: </w:t>
      </w:r>
      <w:r>
        <w:t>may increase exposure to</w:t>
      </w:r>
      <w:r>
        <w:rPr>
          <w:spacing w:val="-9"/>
        </w:rPr>
        <w:t xml:space="preserve"> </w:t>
      </w:r>
      <w:proofErr w:type="spellStart"/>
      <w:r>
        <w:t>lisdexamfetamine</w:t>
      </w:r>
      <w:proofErr w:type="spellEnd"/>
      <w:r>
        <w:t>.</w:t>
      </w:r>
    </w:p>
    <w:p w14:paraId="4DC43F0B" w14:textId="77777777" w:rsidR="007F6DF7" w:rsidRDefault="002C4268">
      <w:pPr>
        <w:pStyle w:val="ListParagraph"/>
        <w:numPr>
          <w:ilvl w:val="1"/>
          <w:numId w:val="19"/>
        </w:numPr>
        <w:tabs>
          <w:tab w:val="left" w:pos="1453"/>
          <w:tab w:val="left" w:pos="1454"/>
        </w:tabs>
        <w:spacing w:before="60"/>
        <w:ind w:right="979"/>
      </w:pPr>
      <w:r>
        <w:rPr>
          <w:b/>
        </w:rPr>
        <w:t xml:space="preserve">Safinamide, selegiline, rasagiline: </w:t>
      </w:r>
      <w:r>
        <w:t>predicted to increase the risk of severe hypertension when given with</w:t>
      </w:r>
      <w:r>
        <w:rPr>
          <w:spacing w:val="-2"/>
        </w:rPr>
        <w:t xml:space="preserve"> </w:t>
      </w:r>
      <w:proofErr w:type="spellStart"/>
      <w:r>
        <w:t>lisdexamfetamine</w:t>
      </w:r>
      <w:proofErr w:type="spellEnd"/>
      <w:r>
        <w:t>.</w:t>
      </w:r>
    </w:p>
    <w:p w14:paraId="7CB35771" w14:textId="77777777" w:rsidR="007F6DF7" w:rsidRDefault="002C4268">
      <w:pPr>
        <w:pStyle w:val="ListParagraph"/>
        <w:numPr>
          <w:ilvl w:val="1"/>
          <w:numId w:val="19"/>
        </w:numPr>
        <w:tabs>
          <w:tab w:val="left" w:pos="1453"/>
          <w:tab w:val="left" w:pos="1454"/>
        </w:tabs>
        <w:spacing w:before="59"/>
      </w:pPr>
      <w:r>
        <w:rPr>
          <w:b/>
        </w:rPr>
        <w:t xml:space="preserve">Atomoxetine: </w:t>
      </w:r>
      <w:r>
        <w:t>increased risk of adverse</w:t>
      </w:r>
      <w:r>
        <w:rPr>
          <w:spacing w:val="-6"/>
        </w:rPr>
        <w:t xml:space="preserve"> </w:t>
      </w:r>
      <w:r>
        <w:t>effects.</w:t>
      </w:r>
    </w:p>
    <w:p w14:paraId="072E9113" w14:textId="77777777" w:rsidR="007F6DF7" w:rsidRDefault="007F6DF7">
      <w:pPr>
        <w:pStyle w:val="BodyText"/>
        <w:spacing w:before="10"/>
        <w:rPr>
          <w:sz w:val="31"/>
        </w:rPr>
      </w:pPr>
    </w:p>
    <w:p w14:paraId="208045AB" w14:textId="77777777" w:rsidR="007F6DF7" w:rsidRDefault="002C4268">
      <w:pPr>
        <w:pStyle w:val="Heading3"/>
      </w:pPr>
      <w:proofErr w:type="spellStart"/>
      <w:r>
        <w:t>Dexamfetamine</w:t>
      </w:r>
      <w:proofErr w:type="spellEnd"/>
      <w:r>
        <w:t>:</w:t>
      </w:r>
    </w:p>
    <w:p w14:paraId="73FD7AB3" w14:textId="77777777" w:rsidR="007F6DF7" w:rsidRDefault="002C4268">
      <w:pPr>
        <w:pStyle w:val="ListParagraph"/>
        <w:numPr>
          <w:ilvl w:val="1"/>
          <w:numId w:val="19"/>
        </w:numPr>
        <w:tabs>
          <w:tab w:val="left" w:pos="1454"/>
        </w:tabs>
        <w:ind w:right="713"/>
        <w:jc w:val="both"/>
      </w:pPr>
      <w:r>
        <w:rPr>
          <w:b/>
        </w:rPr>
        <w:t xml:space="preserve">MAOIs and other sympathomimetics (e.g. rasagiline, selegiline, safinamide): </w:t>
      </w:r>
      <w:r>
        <w:t xml:space="preserve">additive hypertensive effect. The combination with MAOI is contraindicated, and use of </w:t>
      </w:r>
      <w:proofErr w:type="spellStart"/>
      <w:r>
        <w:t>dexamfetamine</w:t>
      </w:r>
      <w:proofErr w:type="spellEnd"/>
      <w:r>
        <w:t xml:space="preserve"> and MAOIs should be separated by at least 14</w:t>
      </w:r>
      <w:r>
        <w:rPr>
          <w:spacing w:val="-10"/>
        </w:rPr>
        <w:t xml:space="preserve"> </w:t>
      </w:r>
      <w:r>
        <w:t>days.</w:t>
      </w:r>
    </w:p>
    <w:p w14:paraId="5E590D1A" w14:textId="77777777" w:rsidR="007F6DF7" w:rsidRDefault="002C4268">
      <w:pPr>
        <w:pStyle w:val="ListParagraph"/>
        <w:numPr>
          <w:ilvl w:val="1"/>
          <w:numId w:val="19"/>
        </w:numPr>
        <w:tabs>
          <w:tab w:val="left" w:pos="1453"/>
          <w:tab w:val="left" w:pos="1454"/>
        </w:tabs>
        <w:spacing w:before="59"/>
        <w:ind w:right="718"/>
      </w:pPr>
      <w:r>
        <w:rPr>
          <w:b/>
        </w:rPr>
        <w:t xml:space="preserve">Clonidine </w:t>
      </w:r>
      <w:r>
        <w:t xml:space="preserve">– increased duration of action of </w:t>
      </w:r>
      <w:proofErr w:type="spellStart"/>
      <w:r>
        <w:t>dexamfetamine</w:t>
      </w:r>
      <w:proofErr w:type="spellEnd"/>
      <w:r>
        <w:t>, reduced antihypertensive action of clonidine.</w:t>
      </w:r>
    </w:p>
    <w:p w14:paraId="195883D3" w14:textId="77777777" w:rsidR="007F6DF7" w:rsidRDefault="007F6DF7">
      <w:pPr>
        <w:sectPr w:rsidR="007F6DF7">
          <w:headerReference w:type="default" r:id="rId61"/>
          <w:pgSz w:w="11910" w:h="16840"/>
          <w:pgMar w:top="1040" w:right="720" w:bottom="1880" w:left="400" w:header="0" w:footer="1595" w:gutter="0"/>
          <w:cols w:space="720"/>
        </w:sectPr>
      </w:pPr>
    </w:p>
    <w:p w14:paraId="73C60646" w14:textId="77777777" w:rsidR="007F6DF7" w:rsidRDefault="002C4268">
      <w:pPr>
        <w:pStyle w:val="ListParagraph"/>
        <w:numPr>
          <w:ilvl w:val="1"/>
          <w:numId w:val="19"/>
        </w:numPr>
        <w:tabs>
          <w:tab w:val="left" w:pos="1453"/>
          <w:tab w:val="left" w:pos="1454"/>
        </w:tabs>
        <w:spacing w:before="74"/>
        <w:ind w:right="717"/>
      </w:pPr>
      <w:r>
        <w:rPr>
          <w:b/>
        </w:rPr>
        <w:lastRenderedPageBreak/>
        <w:t xml:space="preserve">Coumarin anticoagulants, anticonvulsants, </w:t>
      </w:r>
      <w:proofErr w:type="gramStart"/>
      <w:r>
        <w:rPr>
          <w:b/>
        </w:rPr>
        <w:t>SSRIs</w:t>
      </w:r>
      <w:proofErr w:type="gramEnd"/>
      <w:r>
        <w:rPr>
          <w:b/>
        </w:rPr>
        <w:t xml:space="preserve"> and TCAs: </w:t>
      </w:r>
      <w:r>
        <w:t xml:space="preserve">metabolism may be inhibited by </w:t>
      </w:r>
      <w:proofErr w:type="spellStart"/>
      <w:r>
        <w:t>dexamfetamine</w:t>
      </w:r>
      <w:proofErr w:type="spellEnd"/>
      <w:r>
        <w:t>. Dose adjustment may be required when starting or stopping</w:t>
      </w:r>
      <w:r>
        <w:rPr>
          <w:spacing w:val="-20"/>
        </w:rPr>
        <w:t xml:space="preserve"> </w:t>
      </w:r>
      <w:proofErr w:type="spellStart"/>
      <w:r>
        <w:t>dexamfetamine</w:t>
      </w:r>
      <w:proofErr w:type="spellEnd"/>
      <w:r>
        <w:t>.</w:t>
      </w:r>
    </w:p>
    <w:p w14:paraId="0EEB965B" w14:textId="77777777" w:rsidR="007F6DF7" w:rsidRDefault="002C4268">
      <w:pPr>
        <w:pStyle w:val="ListParagraph"/>
        <w:numPr>
          <w:ilvl w:val="1"/>
          <w:numId w:val="19"/>
        </w:numPr>
        <w:tabs>
          <w:tab w:val="left" w:pos="1453"/>
          <w:tab w:val="left" w:pos="1454"/>
        </w:tabs>
        <w:ind w:right="718"/>
      </w:pPr>
      <w:r>
        <w:rPr>
          <w:b/>
        </w:rPr>
        <w:t xml:space="preserve">SSRIs (e.g. fluoxetine, paroxetine): </w:t>
      </w:r>
      <w:r>
        <w:t xml:space="preserve">may increase exposure to </w:t>
      </w:r>
      <w:proofErr w:type="spellStart"/>
      <w:r>
        <w:t>dexamfetamine</w:t>
      </w:r>
      <w:proofErr w:type="spellEnd"/>
      <w:r>
        <w:t>. Risk of serotonin syndrome.</w:t>
      </w:r>
    </w:p>
    <w:p w14:paraId="7EF3DC53" w14:textId="77777777" w:rsidR="007F6DF7" w:rsidRDefault="002C4268">
      <w:pPr>
        <w:pStyle w:val="ListParagraph"/>
        <w:numPr>
          <w:ilvl w:val="1"/>
          <w:numId w:val="19"/>
        </w:numPr>
        <w:tabs>
          <w:tab w:val="left" w:pos="1453"/>
          <w:tab w:val="left" w:pos="1454"/>
        </w:tabs>
      </w:pPr>
      <w:r>
        <w:rPr>
          <w:b/>
        </w:rPr>
        <w:t xml:space="preserve">Serotonergic drugs, bupropion, </w:t>
      </w:r>
      <w:proofErr w:type="spellStart"/>
      <w:r>
        <w:rPr>
          <w:b/>
        </w:rPr>
        <w:t>tapentadol</w:t>
      </w:r>
      <w:proofErr w:type="spellEnd"/>
      <w:r>
        <w:rPr>
          <w:b/>
        </w:rPr>
        <w:t xml:space="preserve">, tramadol: </w:t>
      </w:r>
      <w:r>
        <w:t>Risk of serotonin</w:t>
      </w:r>
      <w:r>
        <w:rPr>
          <w:spacing w:val="-5"/>
        </w:rPr>
        <w:t xml:space="preserve"> </w:t>
      </w:r>
      <w:r>
        <w:t>syndrome.</w:t>
      </w:r>
    </w:p>
    <w:p w14:paraId="6C584FFD" w14:textId="77777777" w:rsidR="007F6DF7" w:rsidRDefault="002C4268">
      <w:pPr>
        <w:pStyle w:val="ListParagraph"/>
        <w:numPr>
          <w:ilvl w:val="1"/>
          <w:numId w:val="19"/>
        </w:numPr>
        <w:tabs>
          <w:tab w:val="left" w:pos="1453"/>
          <w:tab w:val="left" w:pos="1454"/>
        </w:tabs>
        <w:spacing w:before="58"/>
      </w:pPr>
      <w:r>
        <w:rPr>
          <w:b/>
        </w:rPr>
        <w:t xml:space="preserve">TCAs and nabilone: </w:t>
      </w:r>
      <w:r>
        <w:t>may increase risk of cardiovascular adverse</w:t>
      </w:r>
      <w:r>
        <w:rPr>
          <w:spacing w:val="-5"/>
        </w:rPr>
        <w:t xml:space="preserve"> </w:t>
      </w:r>
      <w:r>
        <w:t>events.</w:t>
      </w:r>
    </w:p>
    <w:p w14:paraId="13019639" w14:textId="77777777" w:rsidR="007F6DF7" w:rsidRDefault="002C4268">
      <w:pPr>
        <w:pStyle w:val="ListParagraph"/>
        <w:numPr>
          <w:ilvl w:val="1"/>
          <w:numId w:val="19"/>
        </w:numPr>
        <w:tabs>
          <w:tab w:val="left" w:pos="1454"/>
        </w:tabs>
        <w:spacing w:before="60"/>
        <w:ind w:right="716"/>
        <w:jc w:val="both"/>
      </w:pPr>
      <w:r>
        <w:rPr>
          <w:b/>
        </w:rPr>
        <w:t xml:space="preserve">Anticonvulsants (e.g. phenobarbital, phenytoin, primidone): </w:t>
      </w:r>
      <w:r>
        <w:t xml:space="preserve">Metabolism may be </w:t>
      </w:r>
      <w:proofErr w:type="gramStart"/>
      <w:r>
        <w:t>inhibited</w:t>
      </w:r>
      <w:proofErr w:type="gramEnd"/>
      <w:r>
        <w:t xml:space="preserve"> and absorption may be delayed by </w:t>
      </w:r>
      <w:proofErr w:type="spellStart"/>
      <w:r>
        <w:t>dexamfetamine</w:t>
      </w:r>
      <w:proofErr w:type="spellEnd"/>
      <w:r>
        <w:t>. Dose adjustment may be required when stopping or starting</w:t>
      </w:r>
      <w:r>
        <w:rPr>
          <w:spacing w:val="-6"/>
        </w:rPr>
        <w:t xml:space="preserve"> </w:t>
      </w:r>
      <w:proofErr w:type="spellStart"/>
      <w:r>
        <w:t>dexamfetamine</w:t>
      </w:r>
      <w:proofErr w:type="spellEnd"/>
      <w:r>
        <w:t>.</w:t>
      </w:r>
    </w:p>
    <w:p w14:paraId="3EECBF2E" w14:textId="77777777" w:rsidR="007F6DF7" w:rsidRDefault="002C4268">
      <w:pPr>
        <w:pStyle w:val="ListParagraph"/>
        <w:numPr>
          <w:ilvl w:val="1"/>
          <w:numId w:val="19"/>
        </w:numPr>
        <w:tabs>
          <w:tab w:val="left" w:pos="1453"/>
          <w:tab w:val="left" w:pos="1454"/>
        </w:tabs>
        <w:ind w:right="725"/>
      </w:pPr>
      <w:r>
        <w:rPr>
          <w:b/>
        </w:rPr>
        <w:t xml:space="preserve">Antacids (e.g. sodium bicarbonate) and urinary alkalinizing agents (e.g. acetazolamide, some thiazides): </w:t>
      </w:r>
      <w:r>
        <w:t xml:space="preserve">may increase exposure to </w:t>
      </w:r>
      <w:proofErr w:type="spellStart"/>
      <w:r>
        <w:t>dexamfetamine</w:t>
      </w:r>
      <w:proofErr w:type="spellEnd"/>
      <w:r>
        <w:t>.</w:t>
      </w:r>
    </w:p>
    <w:p w14:paraId="1B6F2393" w14:textId="77777777" w:rsidR="007F6DF7" w:rsidRDefault="002C4268">
      <w:pPr>
        <w:pStyle w:val="Heading3"/>
        <w:numPr>
          <w:ilvl w:val="1"/>
          <w:numId w:val="19"/>
        </w:numPr>
        <w:tabs>
          <w:tab w:val="left" w:pos="1453"/>
          <w:tab w:val="left" w:pos="1454"/>
        </w:tabs>
        <w:spacing w:before="59"/>
        <w:ind w:right="718"/>
        <w:rPr>
          <w:b w:val="0"/>
        </w:rPr>
      </w:pPr>
      <w:r>
        <w:t xml:space="preserve">Gastrointestinal acidifying agents (e.g. ascorbic acid, fruit juices) and urinary acidifying agents (e.g. ammonium chloride, sodium acid phosphate): </w:t>
      </w:r>
      <w:r>
        <w:rPr>
          <w:b w:val="0"/>
        </w:rPr>
        <w:t>may reduce exposure to</w:t>
      </w:r>
      <w:r>
        <w:rPr>
          <w:b w:val="0"/>
          <w:spacing w:val="-24"/>
        </w:rPr>
        <w:t xml:space="preserve"> </w:t>
      </w:r>
      <w:proofErr w:type="spellStart"/>
      <w:proofErr w:type="gramStart"/>
      <w:r>
        <w:rPr>
          <w:b w:val="0"/>
        </w:rPr>
        <w:t>dexamfetamine</w:t>
      </w:r>
      <w:proofErr w:type="spellEnd"/>
      <w:proofErr w:type="gramEnd"/>
    </w:p>
    <w:p w14:paraId="11B48C68" w14:textId="77777777" w:rsidR="007F6DF7" w:rsidRDefault="002C4268">
      <w:pPr>
        <w:pStyle w:val="ListParagraph"/>
        <w:numPr>
          <w:ilvl w:val="1"/>
          <w:numId w:val="19"/>
        </w:numPr>
        <w:tabs>
          <w:tab w:val="left" w:pos="1453"/>
          <w:tab w:val="left" w:pos="1454"/>
        </w:tabs>
      </w:pPr>
      <w:r>
        <w:rPr>
          <w:b/>
        </w:rPr>
        <w:t xml:space="preserve">Antihistamines: </w:t>
      </w:r>
      <w:r>
        <w:t>sedative effect may be</w:t>
      </w:r>
      <w:r>
        <w:rPr>
          <w:spacing w:val="-6"/>
        </w:rPr>
        <w:t xml:space="preserve"> </w:t>
      </w:r>
      <w:r>
        <w:t>counteracted.</w:t>
      </w:r>
    </w:p>
    <w:p w14:paraId="567B28A1" w14:textId="77777777" w:rsidR="007F6DF7" w:rsidRDefault="002C4268">
      <w:pPr>
        <w:pStyle w:val="ListParagraph"/>
        <w:numPr>
          <w:ilvl w:val="1"/>
          <w:numId w:val="19"/>
        </w:numPr>
        <w:tabs>
          <w:tab w:val="left" w:pos="1453"/>
          <w:tab w:val="left" w:pos="1454"/>
        </w:tabs>
      </w:pPr>
      <w:r>
        <w:rPr>
          <w:b/>
        </w:rPr>
        <w:t xml:space="preserve">Antihypertensives, including guanethidine: </w:t>
      </w:r>
      <w:r>
        <w:t>effects may be reduced by</w:t>
      </w:r>
      <w:r>
        <w:rPr>
          <w:spacing w:val="-5"/>
        </w:rPr>
        <w:t xml:space="preserve"> </w:t>
      </w:r>
      <w:proofErr w:type="spellStart"/>
      <w:r>
        <w:t>dexamfetamine</w:t>
      </w:r>
      <w:proofErr w:type="spellEnd"/>
      <w:r>
        <w:t>.</w:t>
      </w:r>
    </w:p>
    <w:p w14:paraId="4DD280D4" w14:textId="77777777" w:rsidR="007F6DF7" w:rsidRDefault="002C4268">
      <w:pPr>
        <w:pStyle w:val="ListParagraph"/>
        <w:numPr>
          <w:ilvl w:val="1"/>
          <w:numId w:val="19"/>
        </w:numPr>
        <w:tabs>
          <w:tab w:val="left" w:pos="1453"/>
          <w:tab w:val="left" w:pos="1454"/>
        </w:tabs>
        <w:spacing w:before="60"/>
        <w:ind w:right="717"/>
      </w:pPr>
      <w:r>
        <w:rPr>
          <w:b/>
        </w:rPr>
        <w:t xml:space="preserve">Beta-blockers (e.g. propranolol): </w:t>
      </w:r>
      <w:r>
        <w:t xml:space="preserve">risk of severe hypertonia. May reduce effects of </w:t>
      </w:r>
      <w:proofErr w:type="spellStart"/>
      <w:r>
        <w:t>dexamfetamine</w:t>
      </w:r>
      <w:proofErr w:type="spellEnd"/>
      <w:r>
        <w:t>.</w:t>
      </w:r>
    </w:p>
    <w:p w14:paraId="1FA524C7" w14:textId="77777777" w:rsidR="007F6DF7" w:rsidRDefault="002C4268">
      <w:pPr>
        <w:pStyle w:val="ListParagraph"/>
        <w:numPr>
          <w:ilvl w:val="1"/>
          <w:numId w:val="19"/>
        </w:numPr>
        <w:tabs>
          <w:tab w:val="left" w:pos="1453"/>
          <w:tab w:val="left" w:pos="1454"/>
        </w:tabs>
        <w:spacing w:before="59"/>
      </w:pPr>
      <w:r>
        <w:rPr>
          <w:b/>
        </w:rPr>
        <w:t xml:space="preserve">Lithium, phenothiazines, and haloperidol: </w:t>
      </w:r>
      <w:r>
        <w:t>may reduce the effects of</w:t>
      </w:r>
      <w:r>
        <w:rPr>
          <w:spacing w:val="-6"/>
        </w:rPr>
        <w:t xml:space="preserve"> </w:t>
      </w:r>
      <w:proofErr w:type="spellStart"/>
      <w:r>
        <w:t>dexamfetamine</w:t>
      </w:r>
      <w:proofErr w:type="spellEnd"/>
      <w:r>
        <w:t>.</w:t>
      </w:r>
    </w:p>
    <w:p w14:paraId="1D809F04" w14:textId="77777777" w:rsidR="007F6DF7" w:rsidRDefault="002C4268">
      <w:pPr>
        <w:pStyle w:val="ListParagraph"/>
        <w:numPr>
          <w:ilvl w:val="1"/>
          <w:numId w:val="19"/>
        </w:numPr>
        <w:tabs>
          <w:tab w:val="left" w:pos="1453"/>
          <w:tab w:val="left" w:pos="1454"/>
        </w:tabs>
        <w:spacing w:before="60"/>
      </w:pPr>
      <w:r>
        <w:rPr>
          <w:b/>
        </w:rPr>
        <w:t xml:space="preserve">Disulfiram: </w:t>
      </w:r>
      <w:r>
        <w:t>may inhibit metabolism and excretion of</w:t>
      </w:r>
      <w:r>
        <w:rPr>
          <w:spacing w:val="-8"/>
        </w:rPr>
        <w:t xml:space="preserve"> </w:t>
      </w:r>
      <w:proofErr w:type="spellStart"/>
      <w:r>
        <w:t>dexamfetamine</w:t>
      </w:r>
      <w:proofErr w:type="spellEnd"/>
      <w:r>
        <w:t>.</w:t>
      </w:r>
    </w:p>
    <w:p w14:paraId="6A61232F" w14:textId="77777777" w:rsidR="007F6DF7" w:rsidRDefault="002C4268">
      <w:pPr>
        <w:pStyle w:val="ListParagraph"/>
        <w:numPr>
          <w:ilvl w:val="1"/>
          <w:numId w:val="19"/>
        </w:numPr>
        <w:tabs>
          <w:tab w:val="left" w:pos="1453"/>
          <w:tab w:val="left" w:pos="1454"/>
        </w:tabs>
        <w:ind w:right="718"/>
      </w:pPr>
      <w:r>
        <w:rPr>
          <w:b/>
        </w:rPr>
        <w:t xml:space="preserve">Opioids: </w:t>
      </w:r>
      <w:r>
        <w:t xml:space="preserve">analgesic effects may be </w:t>
      </w:r>
      <w:proofErr w:type="gramStart"/>
      <w:r>
        <w:t>increased</w:t>
      </w:r>
      <w:proofErr w:type="gramEnd"/>
      <w:r>
        <w:t xml:space="preserve"> and the depressant effects (e.g. respiratory depression) may be decreased by</w:t>
      </w:r>
      <w:r>
        <w:rPr>
          <w:spacing w:val="-2"/>
        </w:rPr>
        <w:t xml:space="preserve"> </w:t>
      </w:r>
      <w:proofErr w:type="spellStart"/>
      <w:r>
        <w:t>dexamfetamine</w:t>
      </w:r>
      <w:proofErr w:type="spellEnd"/>
      <w:r>
        <w:t>.</w:t>
      </w:r>
    </w:p>
    <w:p w14:paraId="2B8FADE6" w14:textId="77777777" w:rsidR="007F6DF7" w:rsidRDefault="002C4268">
      <w:pPr>
        <w:pStyle w:val="ListParagraph"/>
        <w:numPr>
          <w:ilvl w:val="1"/>
          <w:numId w:val="19"/>
        </w:numPr>
        <w:tabs>
          <w:tab w:val="left" w:pos="1453"/>
          <w:tab w:val="left" w:pos="1454"/>
        </w:tabs>
        <w:spacing w:before="60"/>
        <w:ind w:right="716"/>
      </w:pPr>
      <w:r>
        <w:rPr>
          <w:b/>
        </w:rPr>
        <w:t xml:space="preserve">Halogenated </w:t>
      </w:r>
      <w:proofErr w:type="spellStart"/>
      <w:r>
        <w:rPr>
          <w:b/>
        </w:rPr>
        <w:t>anaesthetics</w:t>
      </w:r>
      <w:proofErr w:type="spellEnd"/>
      <w:r>
        <w:rPr>
          <w:b/>
        </w:rPr>
        <w:t xml:space="preserve">: </w:t>
      </w:r>
      <w:r>
        <w:t xml:space="preserve">risk of sudden blood pressure increase during surgery. Avoid </w:t>
      </w:r>
      <w:proofErr w:type="spellStart"/>
      <w:r>
        <w:t>dexamfetamine</w:t>
      </w:r>
      <w:proofErr w:type="spellEnd"/>
      <w:r>
        <w:t xml:space="preserve"> on the day of planned</w:t>
      </w:r>
      <w:r>
        <w:rPr>
          <w:spacing w:val="-5"/>
        </w:rPr>
        <w:t xml:space="preserve"> </w:t>
      </w:r>
      <w:r>
        <w:t>surgery.</w:t>
      </w:r>
    </w:p>
    <w:p w14:paraId="420F12A4" w14:textId="77777777" w:rsidR="007F6DF7" w:rsidRDefault="002C4268">
      <w:pPr>
        <w:pStyle w:val="ListParagraph"/>
        <w:numPr>
          <w:ilvl w:val="1"/>
          <w:numId w:val="19"/>
        </w:numPr>
        <w:tabs>
          <w:tab w:val="left" w:pos="1453"/>
          <w:tab w:val="left" w:pos="1454"/>
        </w:tabs>
        <w:spacing w:before="59"/>
        <w:ind w:right="719"/>
      </w:pPr>
      <w:r>
        <w:rPr>
          <w:b/>
        </w:rPr>
        <w:t xml:space="preserve">Cytochrome P450 (CYP450) substrates, </w:t>
      </w:r>
      <w:proofErr w:type="gramStart"/>
      <w:r>
        <w:rPr>
          <w:b/>
        </w:rPr>
        <w:t>inducers</w:t>
      </w:r>
      <w:proofErr w:type="gramEnd"/>
      <w:r>
        <w:rPr>
          <w:b/>
        </w:rPr>
        <w:t xml:space="preserve"> or inhibitors: </w:t>
      </w:r>
      <w:r>
        <w:t xml:space="preserve">use with caution; role of CYP450 in </w:t>
      </w:r>
      <w:proofErr w:type="spellStart"/>
      <w:r>
        <w:t>dexamfetamine</w:t>
      </w:r>
      <w:proofErr w:type="spellEnd"/>
      <w:r>
        <w:t xml:space="preserve"> metabolism is not</w:t>
      </w:r>
      <w:r>
        <w:rPr>
          <w:spacing w:val="-8"/>
        </w:rPr>
        <w:t xml:space="preserve"> </w:t>
      </w:r>
      <w:r>
        <w:t>known.</w:t>
      </w:r>
    </w:p>
    <w:p w14:paraId="574AFF5C" w14:textId="77777777" w:rsidR="007F6DF7" w:rsidRDefault="002C4268">
      <w:pPr>
        <w:pStyle w:val="ListParagraph"/>
        <w:numPr>
          <w:ilvl w:val="1"/>
          <w:numId w:val="19"/>
        </w:numPr>
        <w:tabs>
          <w:tab w:val="left" w:pos="1453"/>
          <w:tab w:val="left" w:pos="1454"/>
        </w:tabs>
      </w:pPr>
      <w:r>
        <w:rPr>
          <w:b/>
        </w:rPr>
        <w:t xml:space="preserve">Alcohol: </w:t>
      </w:r>
      <w:r>
        <w:t>may exacerbate adverse CNS effects of</w:t>
      </w:r>
      <w:r>
        <w:rPr>
          <w:spacing w:val="-9"/>
        </w:rPr>
        <w:t xml:space="preserve"> </w:t>
      </w:r>
      <w:proofErr w:type="spellStart"/>
      <w:r>
        <w:t>dexamfetamine</w:t>
      </w:r>
      <w:proofErr w:type="spellEnd"/>
      <w:r>
        <w:t>.</w:t>
      </w:r>
    </w:p>
    <w:p w14:paraId="733347D5" w14:textId="77777777" w:rsidR="007F6DF7" w:rsidRDefault="002C4268">
      <w:pPr>
        <w:pStyle w:val="ListParagraph"/>
        <w:numPr>
          <w:ilvl w:val="1"/>
          <w:numId w:val="19"/>
        </w:numPr>
        <w:tabs>
          <w:tab w:val="left" w:pos="1453"/>
          <w:tab w:val="left" w:pos="1454"/>
        </w:tabs>
      </w:pPr>
      <w:r>
        <w:rPr>
          <w:b/>
        </w:rPr>
        <w:t xml:space="preserve">Apraclonidine: </w:t>
      </w:r>
      <w:r>
        <w:t>effects decreased by</w:t>
      </w:r>
      <w:r>
        <w:rPr>
          <w:spacing w:val="-5"/>
        </w:rPr>
        <w:t xml:space="preserve"> </w:t>
      </w:r>
      <w:proofErr w:type="spellStart"/>
      <w:r>
        <w:t>dexamfetamine</w:t>
      </w:r>
      <w:proofErr w:type="spellEnd"/>
      <w:r>
        <w:t>.</w:t>
      </w:r>
    </w:p>
    <w:p w14:paraId="1157A74D" w14:textId="77777777" w:rsidR="007F6DF7" w:rsidRDefault="002C4268">
      <w:pPr>
        <w:pStyle w:val="ListParagraph"/>
        <w:numPr>
          <w:ilvl w:val="1"/>
          <w:numId w:val="19"/>
        </w:numPr>
        <w:tabs>
          <w:tab w:val="left" w:pos="1453"/>
          <w:tab w:val="left" w:pos="1454"/>
        </w:tabs>
        <w:spacing w:before="58"/>
      </w:pPr>
      <w:r>
        <w:rPr>
          <w:b/>
        </w:rPr>
        <w:t xml:space="preserve">Ritonavir, tipranavir: </w:t>
      </w:r>
      <w:r>
        <w:t>may increase exposure to</w:t>
      </w:r>
      <w:r>
        <w:rPr>
          <w:spacing w:val="-9"/>
        </w:rPr>
        <w:t xml:space="preserve"> </w:t>
      </w:r>
      <w:proofErr w:type="spellStart"/>
      <w:r>
        <w:t>dexamfetamine</w:t>
      </w:r>
      <w:proofErr w:type="spellEnd"/>
      <w:r>
        <w:t>.</w:t>
      </w:r>
    </w:p>
    <w:p w14:paraId="6AB9DE42" w14:textId="77777777" w:rsidR="007F6DF7" w:rsidRDefault="002C4268">
      <w:pPr>
        <w:pStyle w:val="ListParagraph"/>
        <w:numPr>
          <w:ilvl w:val="1"/>
          <w:numId w:val="19"/>
        </w:numPr>
        <w:tabs>
          <w:tab w:val="left" w:pos="1453"/>
          <w:tab w:val="left" w:pos="1454"/>
        </w:tabs>
        <w:spacing w:before="60"/>
        <w:ind w:right="979"/>
      </w:pPr>
      <w:r>
        <w:rPr>
          <w:b/>
        </w:rPr>
        <w:t xml:space="preserve">Safinamide, selegiline, rasagiline: </w:t>
      </w:r>
      <w:r>
        <w:t>predicted to increase the risk of severe hypertension when given with</w:t>
      </w:r>
      <w:r>
        <w:rPr>
          <w:spacing w:val="-2"/>
        </w:rPr>
        <w:t xml:space="preserve"> </w:t>
      </w:r>
      <w:proofErr w:type="spellStart"/>
      <w:r>
        <w:t>dexamfetamine</w:t>
      </w:r>
      <w:proofErr w:type="spellEnd"/>
      <w:r>
        <w:t>.</w:t>
      </w:r>
    </w:p>
    <w:p w14:paraId="77906709" w14:textId="77777777" w:rsidR="007F6DF7" w:rsidRDefault="007F6DF7">
      <w:pPr>
        <w:pStyle w:val="BodyText"/>
        <w:spacing w:before="11"/>
        <w:rPr>
          <w:sz w:val="31"/>
        </w:rPr>
      </w:pPr>
    </w:p>
    <w:p w14:paraId="79CDB509" w14:textId="77777777" w:rsidR="007F6DF7" w:rsidRDefault="002C4268">
      <w:pPr>
        <w:pStyle w:val="Heading3"/>
      </w:pPr>
      <w:r>
        <w:t>Atomoxetine:</w:t>
      </w:r>
    </w:p>
    <w:p w14:paraId="63A70258" w14:textId="77777777" w:rsidR="007F6DF7" w:rsidRDefault="002C4268">
      <w:pPr>
        <w:pStyle w:val="ListParagraph"/>
        <w:numPr>
          <w:ilvl w:val="1"/>
          <w:numId w:val="19"/>
        </w:numPr>
        <w:tabs>
          <w:tab w:val="left" w:pos="1453"/>
          <w:tab w:val="left" w:pos="1454"/>
        </w:tabs>
        <w:ind w:right="775"/>
      </w:pPr>
      <w:r>
        <w:rPr>
          <w:b/>
        </w:rPr>
        <w:t xml:space="preserve">MAOIs: </w:t>
      </w:r>
      <w:r>
        <w:t>avoid atomoxetine use whilst using MAOIs and for a minimum of 14 days after stopping MAOIs. Increased risk of adverse</w:t>
      </w:r>
      <w:r>
        <w:rPr>
          <w:spacing w:val="-2"/>
        </w:rPr>
        <w:t xml:space="preserve"> </w:t>
      </w:r>
      <w:r>
        <w:t>effects.</w:t>
      </w:r>
    </w:p>
    <w:p w14:paraId="1911CF59" w14:textId="77777777" w:rsidR="007F6DF7" w:rsidRDefault="002C4268">
      <w:pPr>
        <w:pStyle w:val="ListParagraph"/>
        <w:numPr>
          <w:ilvl w:val="1"/>
          <w:numId w:val="19"/>
        </w:numPr>
        <w:tabs>
          <w:tab w:val="left" w:pos="1453"/>
          <w:tab w:val="left" w:pos="1454"/>
        </w:tabs>
        <w:spacing w:before="59"/>
        <w:ind w:right="804"/>
      </w:pPr>
      <w:r>
        <w:rPr>
          <w:b/>
        </w:rPr>
        <w:t xml:space="preserve">CYP2D6 inhibitors e.g. SSRIs, quinidine, terbinafine, bupropion, cinacalcet, dacomitinib, and </w:t>
      </w:r>
      <w:proofErr w:type="spellStart"/>
      <w:r>
        <w:rPr>
          <w:b/>
        </w:rPr>
        <w:t>panobinostat</w:t>
      </w:r>
      <w:proofErr w:type="spellEnd"/>
      <w:r>
        <w:rPr>
          <w:b/>
        </w:rPr>
        <w:t xml:space="preserve">: </w:t>
      </w:r>
      <w:r>
        <w:t>increased atomoxetine exposure. Slower dose titration and lower final dose may be necessary. Clinical response and tolerability should be re-evaluated if a CYP2D6 inhibitor is started or</w:t>
      </w:r>
      <w:r>
        <w:rPr>
          <w:spacing w:val="-4"/>
        </w:rPr>
        <w:t xml:space="preserve"> </w:t>
      </w:r>
      <w:r>
        <w:t>stopped.</w:t>
      </w:r>
    </w:p>
    <w:p w14:paraId="5B4C59F4" w14:textId="77777777" w:rsidR="007F6DF7" w:rsidRDefault="002C4268">
      <w:pPr>
        <w:pStyle w:val="ListParagraph"/>
        <w:numPr>
          <w:ilvl w:val="1"/>
          <w:numId w:val="19"/>
        </w:numPr>
        <w:tabs>
          <w:tab w:val="left" w:pos="1453"/>
          <w:tab w:val="left" w:pos="1454"/>
        </w:tabs>
        <w:ind w:right="1258"/>
      </w:pPr>
      <w:r>
        <w:rPr>
          <w:b/>
        </w:rPr>
        <w:t xml:space="preserve">Potent inhibitors of other cytochrome P450 isoforms </w:t>
      </w:r>
      <w:r>
        <w:t xml:space="preserve">in patients who are poor CYP2D6 </w:t>
      </w:r>
      <w:proofErr w:type="spellStart"/>
      <w:r>
        <w:t>metabolisers</w:t>
      </w:r>
      <w:proofErr w:type="spellEnd"/>
      <w:r>
        <w:t>. It is not clear whether there is a clinically significant increase in atomoxetine exposure in this patient</w:t>
      </w:r>
      <w:r>
        <w:rPr>
          <w:spacing w:val="-1"/>
        </w:rPr>
        <w:t xml:space="preserve"> </w:t>
      </w:r>
      <w:r>
        <w:t>group.</w:t>
      </w:r>
    </w:p>
    <w:p w14:paraId="1B23D091" w14:textId="77777777" w:rsidR="007F6DF7" w:rsidRDefault="002C4268">
      <w:pPr>
        <w:pStyle w:val="ListParagraph"/>
        <w:numPr>
          <w:ilvl w:val="1"/>
          <w:numId w:val="19"/>
        </w:numPr>
        <w:tabs>
          <w:tab w:val="left" w:pos="1453"/>
          <w:tab w:val="left" w:pos="1454"/>
        </w:tabs>
        <w:spacing w:before="59"/>
      </w:pPr>
      <w:r>
        <w:rPr>
          <w:b/>
        </w:rPr>
        <w:t xml:space="preserve">Beta-2 agonists, including salbutamol: </w:t>
      </w:r>
      <w:r>
        <w:t>high doses may potentiate cardiovascular</w:t>
      </w:r>
      <w:r>
        <w:rPr>
          <w:spacing w:val="-14"/>
        </w:rPr>
        <w:t xml:space="preserve"> </w:t>
      </w:r>
      <w:r>
        <w:t>effects.</w:t>
      </w:r>
    </w:p>
    <w:p w14:paraId="480505DE" w14:textId="77777777" w:rsidR="007F6DF7" w:rsidRDefault="007F6DF7">
      <w:pPr>
        <w:sectPr w:rsidR="007F6DF7">
          <w:headerReference w:type="default" r:id="rId62"/>
          <w:pgSz w:w="11910" w:h="16840"/>
          <w:pgMar w:top="1040" w:right="720" w:bottom="1880" w:left="400" w:header="0" w:footer="1595" w:gutter="0"/>
          <w:cols w:space="720"/>
        </w:sectPr>
      </w:pPr>
    </w:p>
    <w:p w14:paraId="03BF0286" w14:textId="77777777" w:rsidR="007F6DF7" w:rsidRDefault="002C4268">
      <w:pPr>
        <w:pStyle w:val="Heading3"/>
        <w:numPr>
          <w:ilvl w:val="1"/>
          <w:numId w:val="19"/>
        </w:numPr>
        <w:tabs>
          <w:tab w:val="left" w:pos="1453"/>
          <w:tab w:val="left" w:pos="1454"/>
        </w:tabs>
        <w:spacing w:before="74"/>
        <w:ind w:right="719"/>
        <w:rPr>
          <w:b w:val="0"/>
        </w:rPr>
      </w:pPr>
      <w:r>
        <w:lastRenderedPageBreak/>
        <w:t>Drugs which prolong the QT interval e.g. antipsychotics, class IA and III anti-</w:t>
      </w:r>
      <w:proofErr w:type="spellStart"/>
      <w:r>
        <w:t>arrhythmics</w:t>
      </w:r>
      <w:proofErr w:type="spellEnd"/>
      <w:r>
        <w:t xml:space="preserve">, some antibiotics such as ciprofloxacin or erythromycin, methadone, mefloquine, TCAs, lithium, and some SSRIs such as citalopram: </w:t>
      </w:r>
      <w:r>
        <w:rPr>
          <w:b w:val="0"/>
        </w:rPr>
        <w:t>risk of QT interval</w:t>
      </w:r>
      <w:r>
        <w:rPr>
          <w:b w:val="0"/>
          <w:spacing w:val="-15"/>
        </w:rPr>
        <w:t xml:space="preserve"> </w:t>
      </w:r>
      <w:r>
        <w:rPr>
          <w:b w:val="0"/>
        </w:rPr>
        <w:t>prolongation.</w:t>
      </w:r>
    </w:p>
    <w:p w14:paraId="51D07F3C" w14:textId="77777777" w:rsidR="007F6DF7" w:rsidRDefault="002C4268">
      <w:pPr>
        <w:pStyle w:val="ListParagraph"/>
        <w:numPr>
          <w:ilvl w:val="1"/>
          <w:numId w:val="19"/>
        </w:numPr>
        <w:tabs>
          <w:tab w:val="left" w:pos="1453"/>
          <w:tab w:val="left" w:pos="1454"/>
        </w:tabs>
        <w:ind w:right="1921"/>
      </w:pPr>
      <w:r>
        <w:rPr>
          <w:b/>
        </w:rPr>
        <w:t xml:space="preserve">Drugs which cause electrolyte imbalance e.g. thiazide diuretics: </w:t>
      </w:r>
      <w:r>
        <w:t>risk of QT interval prolongation.</w:t>
      </w:r>
    </w:p>
    <w:p w14:paraId="46ADEF3F" w14:textId="77777777" w:rsidR="007F6DF7" w:rsidRDefault="002C4268">
      <w:pPr>
        <w:pStyle w:val="ListParagraph"/>
        <w:numPr>
          <w:ilvl w:val="1"/>
          <w:numId w:val="19"/>
        </w:numPr>
        <w:tabs>
          <w:tab w:val="left" w:pos="1453"/>
          <w:tab w:val="left" w:pos="1454"/>
        </w:tabs>
        <w:ind w:right="840"/>
      </w:pPr>
      <w:r>
        <w:rPr>
          <w:b/>
        </w:rPr>
        <w:t xml:space="preserve">Drugs which lower the seizure threshold e.g. tricyclic antidepressants, SSRIs, antipsychotics, phenothiazines, mefloquine, chloroquine, bupropion, and tramadol: </w:t>
      </w:r>
      <w:r>
        <w:t>risk of seizures. Use with caution when stopping medications that may induce seizures on withdrawal, such as benzodiazepines.</w:t>
      </w:r>
    </w:p>
    <w:p w14:paraId="19C0248C" w14:textId="77777777" w:rsidR="007F6DF7" w:rsidRDefault="002C4268">
      <w:pPr>
        <w:pStyle w:val="ListParagraph"/>
        <w:numPr>
          <w:ilvl w:val="1"/>
          <w:numId w:val="19"/>
        </w:numPr>
        <w:tabs>
          <w:tab w:val="left" w:pos="1453"/>
          <w:tab w:val="left" w:pos="1454"/>
        </w:tabs>
        <w:spacing w:before="59"/>
        <w:ind w:right="1009"/>
      </w:pPr>
      <w:r>
        <w:rPr>
          <w:b/>
        </w:rPr>
        <w:t xml:space="preserve">Antihypertensive drugs: </w:t>
      </w:r>
      <w:r>
        <w:t>effectiveness of anti-hypertensives may be decreased, monitoring is required.</w:t>
      </w:r>
    </w:p>
    <w:p w14:paraId="7B46CE78" w14:textId="77777777" w:rsidR="007F6DF7" w:rsidRDefault="002C4268">
      <w:pPr>
        <w:pStyle w:val="ListParagraph"/>
        <w:numPr>
          <w:ilvl w:val="1"/>
          <w:numId w:val="19"/>
        </w:numPr>
        <w:tabs>
          <w:tab w:val="left" w:pos="1453"/>
          <w:tab w:val="left" w:pos="1454"/>
        </w:tabs>
      </w:pPr>
      <w:r>
        <w:rPr>
          <w:b/>
        </w:rPr>
        <w:t xml:space="preserve">Drugs that increase blood pressure: </w:t>
      </w:r>
      <w:r>
        <w:t>possible additive effects, monitoring is</w:t>
      </w:r>
      <w:r>
        <w:rPr>
          <w:spacing w:val="-12"/>
        </w:rPr>
        <w:t xml:space="preserve"> </w:t>
      </w:r>
      <w:r>
        <w:t>required.</w:t>
      </w:r>
    </w:p>
    <w:p w14:paraId="666BD9F6" w14:textId="77777777" w:rsidR="007F6DF7" w:rsidRDefault="002C4268">
      <w:pPr>
        <w:pStyle w:val="ListParagraph"/>
        <w:numPr>
          <w:ilvl w:val="1"/>
          <w:numId w:val="19"/>
        </w:numPr>
        <w:tabs>
          <w:tab w:val="left" w:pos="1453"/>
          <w:tab w:val="left" w:pos="1454"/>
        </w:tabs>
        <w:spacing w:before="58"/>
        <w:ind w:right="1072"/>
      </w:pPr>
      <w:r>
        <w:rPr>
          <w:b/>
        </w:rPr>
        <w:t xml:space="preserve">Drugs that affect noradrenaline e.g. </w:t>
      </w:r>
      <w:proofErr w:type="spellStart"/>
      <w:r>
        <w:rPr>
          <w:b/>
        </w:rPr>
        <w:t>dexamfetamine</w:t>
      </w:r>
      <w:proofErr w:type="spellEnd"/>
      <w:r>
        <w:rPr>
          <w:b/>
        </w:rPr>
        <w:t xml:space="preserve">, </w:t>
      </w:r>
      <w:proofErr w:type="spellStart"/>
      <w:r>
        <w:rPr>
          <w:b/>
        </w:rPr>
        <w:t>lisdexamfetamine</w:t>
      </w:r>
      <w:proofErr w:type="spellEnd"/>
      <w:r>
        <w:rPr>
          <w:b/>
        </w:rPr>
        <w:t xml:space="preserve">, imipramine, venlafaxine, mirtazapine, pseudoephedrine, phenylephrine: </w:t>
      </w:r>
      <w:r>
        <w:t>possible additive or synergistic pharmacological</w:t>
      </w:r>
      <w:r>
        <w:rPr>
          <w:spacing w:val="-4"/>
        </w:rPr>
        <w:t xml:space="preserve"> </w:t>
      </w:r>
      <w:r>
        <w:t>effects.</w:t>
      </w:r>
    </w:p>
    <w:p w14:paraId="74D1DAAF" w14:textId="77777777" w:rsidR="007F6DF7" w:rsidRDefault="007F6DF7">
      <w:pPr>
        <w:pStyle w:val="BodyText"/>
        <w:rPr>
          <w:sz w:val="20"/>
        </w:rPr>
      </w:pPr>
    </w:p>
    <w:p w14:paraId="31BF5D77" w14:textId="77777777" w:rsidR="007F6DF7" w:rsidRDefault="002C4268">
      <w:pPr>
        <w:pStyle w:val="Heading1"/>
        <w:numPr>
          <w:ilvl w:val="0"/>
          <w:numId w:val="19"/>
        </w:numPr>
        <w:tabs>
          <w:tab w:val="left" w:pos="1299"/>
          <w:tab w:val="left" w:pos="1300"/>
          <w:tab w:val="left" w:pos="10095"/>
        </w:tabs>
        <w:spacing w:before="167"/>
        <w:ind w:hanging="566"/>
      </w:pPr>
      <w:bookmarkStart w:id="15" w:name="_bookmark15"/>
      <w:bookmarkEnd w:id="15"/>
      <w:r>
        <w:rPr>
          <w:color w:val="FFFFFF"/>
          <w:shd w:val="clear" w:color="auto" w:fill="538DD3"/>
        </w:rPr>
        <w:t>References</w:t>
      </w:r>
      <w:r>
        <w:rPr>
          <w:color w:val="FFFFFF"/>
          <w:shd w:val="clear" w:color="auto" w:fill="538DD3"/>
        </w:rPr>
        <w:tab/>
      </w:r>
    </w:p>
    <w:p w14:paraId="15717BAB" w14:textId="77777777" w:rsidR="007F6DF7" w:rsidRDefault="002C4268">
      <w:pPr>
        <w:pStyle w:val="ListParagraph"/>
        <w:numPr>
          <w:ilvl w:val="0"/>
          <w:numId w:val="1"/>
        </w:numPr>
        <w:tabs>
          <w:tab w:val="left" w:pos="903"/>
        </w:tabs>
        <w:spacing w:before="118"/>
        <w:ind w:right="713" w:firstLine="0"/>
        <w:jc w:val="both"/>
        <w:rPr>
          <w:sz w:val="20"/>
        </w:rPr>
      </w:pPr>
      <w:r>
        <w:t xml:space="preserve">NICE guideline [NG87] 87; </w:t>
      </w:r>
      <w:proofErr w:type="gramStart"/>
      <w:r>
        <w:t>Attention Deficit Hyperactivity Disorder</w:t>
      </w:r>
      <w:proofErr w:type="gramEnd"/>
      <w:r>
        <w:t>: diagnosis and management; March 2018. Last updated: 13 September 2019</w:t>
      </w:r>
      <w:r>
        <w:rPr>
          <w:color w:val="0000FF"/>
        </w:rPr>
        <w:t xml:space="preserve"> </w:t>
      </w:r>
      <w:hyperlink r:id="rId63">
        <w:r>
          <w:rPr>
            <w:color w:val="0000FF"/>
            <w:u w:val="single" w:color="0000FF"/>
          </w:rPr>
          <w:t>https://www.nice.org.uk/guidance/ng87</w:t>
        </w:r>
      </w:hyperlink>
      <w:r>
        <w:t>. Accessed on 07/05/2024.</w:t>
      </w:r>
    </w:p>
    <w:p w14:paraId="3DA21601" w14:textId="77777777" w:rsidR="007F6DF7" w:rsidRDefault="002C4268">
      <w:pPr>
        <w:pStyle w:val="ListParagraph"/>
        <w:numPr>
          <w:ilvl w:val="0"/>
          <w:numId w:val="1"/>
        </w:numPr>
        <w:tabs>
          <w:tab w:val="left" w:pos="903"/>
        </w:tabs>
        <w:ind w:left="902" w:hanging="169"/>
        <w:rPr>
          <w:sz w:val="20"/>
        </w:rPr>
      </w:pPr>
      <w:r>
        <w:t>BNF –</w:t>
      </w:r>
      <w:r>
        <w:rPr>
          <w:color w:val="0000FF"/>
        </w:rPr>
        <w:t xml:space="preserve"> </w:t>
      </w:r>
      <w:hyperlink r:id="rId64">
        <w:r>
          <w:rPr>
            <w:color w:val="0000FF"/>
            <w:u w:val="single" w:color="0000FF"/>
          </w:rPr>
          <w:t>https://bnf.nice.org.uk/</w:t>
        </w:r>
        <w:r>
          <w:rPr>
            <w:color w:val="0000FF"/>
          </w:rPr>
          <w:t xml:space="preserve"> </w:t>
        </w:r>
      </w:hyperlink>
      <w:r>
        <w:t>last updated: 23 November</w:t>
      </w:r>
      <w:r>
        <w:rPr>
          <w:spacing w:val="-4"/>
        </w:rPr>
        <w:t xml:space="preserve"> </w:t>
      </w:r>
      <w:r>
        <w:t>2022.</w:t>
      </w:r>
    </w:p>
    <w:p w14:paraId="0E32F7C3" w14:textId="77777777" w:rsidR="007F6DF7" w:rsidRDefault="002C4268">
      <w:pPr>
        <w:pStyle w:val="ListParagraph"/>
        <w:numPr>
          <w:ilvl w:val="0"/>
          <w:numId w:val="1"/>
        </w:numPr>
        <w:tabs>
          <w:tab w:val="left" w:pos="903"/>
        </w:tabs>
        <w:ind w:left="902" w:hanging="169"/>
        <w:jc w:val="both"/>
        <w:rPr>
          <w:sz w:val="20"/>
        </w:rPr>
      </w:pPr>
      <w:r>
        <w:t>Summary of Product Characteristics</w:t>
      </w:r>
      <w:r>
        <w:rPr>
          <w:color w:val="0000FF"/>
        </w:rPr>
        <w:t xml:space="preserve"> </w:t>
      </w:r>
      <w:hyperlink r:id="rId65">
        <w:r>
          <w:rPr>
            <w:color w:val="0000FF"/>
            <w:u w:val="single" w:color="0000FF"/>
          </w:rPr>
          <w:t>http://www.medicines.org.uk</w:t>
        </w:r>
      </w:hyperlink>
      <w:r>
        <w:t>. Accessed on</w:t>
      </w:r>
      <w:r>
        <w:rPr>
          <w:spacing w:val="37"/>
        </w:rPr>
        <w:t xml:space="preserve"> </w:t>
      </w:r>
      <w:r>
        <w:t>07/05/2024.</w:t>
      </w:r>
    </w:p>
    <w:p w14:paraId="5457ADAF" w14:textId="77777777" w:rsidR="007F6DF7" w:rsidRDefault="002C4268">
      <w:pPr>
        <w:pStyle w:val="ListParagraph"/>
        <w:numPr>
          <w:ilvl w:val="0"/>
          <w:numId w:val="1"/>
        </w:numPr>
        <w:tabs>
          <w:tab w:val="left" w:pos="903"/>
        </w:tabs>
        <w:spacing w:before="60"/>
        <w:ind w:right="719" w:firstLine="0"/>
        <w:jc w:val="both"/>
        <w:rPr>
          <w:sz w:val="20"/>
        </w:rPr>
      </w:pPr>
      <w:r>
        <w:t xml:space="preserve">Camden &amp; Islington NHS Foundation Trust, shared care guidelines for methylphenidate, </w:t>
      </w:r>
      <w:proofErr w:type="spellStart"/>
      <w:r>
        <w:t>dexamfetamine</w:t>
      </w:r>
      <w:proofErr w:type="spellEnd"/>
      <w:r>
        <w:t xml:space="preserve"> and atomoxetine for ADHD in adults, PHA43, July</w:t>
      </w:r>
      <w:r>
        <w:rPr>
          <w:spacing w:val="-9"/>
        </w:rPr>
        <w:t xml:space="preserve"> </w:t>
      </w:r>
      <w:r>
        <w:t>2015</w:t>
      </w:r>
    </w:p>
    <w:p w14:paraId="42AEF51B" w14:textId="77777777" w:rsidR="007F6DF7" w:rsidRDefault="002C4268">
      <w:pPr>
        <w:pStyle w:val="ListParagraph"/>
        <w:numPr>
          <w:ilvl w:val="0"/>
          <w:numId w:val="1"/>
        </w:numPr>
        <w:tabs>
          <w:tab w:val="left" w:pos="903"/>
        </w:tabs>
        <w:spacing w:before="60"/>
        <w:ind w:right="716" w:firstLine="0"/>
        <w:jc w:val="both"/>
        <w:rPr>
          <w:sz w:val="20"/>
        </w:rPr>
      </w:pPr>
      <w:r>
        <w:t xml:space="preserve">Barnet, </w:t>
      </w:r>
      <w:proofErr w:type="gramStart"/>
      <w:r>
        <w:t>Enfield</w:t>
      </w:r>
      <w:proofErr w:type="gramEnd"/>
      <w:r>
        <w:t xml:space="preserve"> and Haringey Mental Health Trust shared care guidelines for methylphenidate, </w:t>
      </w:r>
      <w:proofErr w:type="spellStart"/>
      <w:r>
        <w:t>dexamfetamine</w:t>
      </w:r>
      <w:proofErr w:type="spellEnd"/>
      <w:r>
        <w:t xml:space="preserve"> and atomoxetine for ADHD in adults, 2010 (Reviewed</w:t>
      </w:r>
      <w:r>
        <w:rPr>
          <w:spacing w:val="-12"/>
        </w:rPr>
        <w:t xml:space="preserve"> </w:t>
      </w:r>
      <w:r>
        <w:t>2015)</w:t>
      </w:r>
    </w:p>
    <w:p w14:paraId="4CFDE12D" w14:textId="77777777" w:rsidR="007F6DF7" w:rsidRDefault="002C4268">
      <w:pPr>
        <w:pStyle w:val="ListParagraph"/>
        <w:numPr>
          <w:ilvl w:val="0"/>
          <w:numId w:val="1"/>
        </w:numPr>
        <w:tabs>
          <w:tab w:val="left" w:pos="966"/>
        </w:tabs>
        <w:spacing w:before="58"/>
        <w:ind w:right="716" w:firstLine="0"/>
      </w:pPr>
      <w:r>
        <w:t>MHRA. Drug Safety Update. Methylphenidate long-acting (modified-release) preparations: caution if switching between products due to differences in formulations, September 2022. Available at:</w:t>
      </w:r>
      <w:hyperlink r:id="rId66">
        <w:r>
          <w:rPr>
            <w:color w:val="0000FF"/>
            <w:u w:val="single" w:color="0000FF"/>
          </w:rPr>
          <w:t xml:space="preserve"> https://www.gov.uk/drug-safety-update/methylphenidate-long-acting-modified-release-preparations-</w:t>
        </w:r>
      </w:hyperlink>
      <w:hyperlink r:id="rId67">
        <w:r>
          <w:rPr>
            <w:color w:val="0000FF"/>
            <w:u w:val="single" w:color="0000FF"/>
          </w:rPr>
          <w:t xml:space="preserve"> caution-if-switching-between-products-due-to-differences-in-formulations</w:t>
        </w:r>
      </w:hyperlink>
      <w:r>
        <w:rPr>
          <w:color w:val="0000FF"/>
          <w:u w:val="single" w:color="0000FF"/>
        </w:rPr>
        <w:t>.</w:t>
      </w:r>
      <w:r>
        <w:rPr>
          <w:color w:val="0000FF"/>
        </w:rPr>
        <w:t xml:space="preserve"> </w:t>
      </w:r>
      <w:r>
        <w:t>Accessed on</w:t>
      </w:r>
      <w:r>
        <w:rPr>
          <w:spacing w:val="35"/>
        </w:rPr>
        <w:t xml:space="preserve"> </w:t>
      </w:r>
      <w:r>
        <w:t>07/05/2024.</w:t>
      </w:r>
    </w:p>
    <w:p w14:paraId="42B4696B" w14:textId="77777777" w:rsidR="007F6DF7" w:rsidRDefault="002C4268">
      <w:pPr>
        <w:pStyle w:val="ListParagraph"/>
        <w:numPr>
          <w:ilvl w:val="0"/>
          <w:numId w:val="1"/>
        </w:numPr>
        <w:tabs>
          <w:tab w:val="left" w:pos="957"/>
        </w:tabs>
        <w:ind w:right="712" w:firstLine="0"/>
        <w:jc w:val="both"/>
      </w:pPr>
      <w:r>
        <w:t>NHS England,, National shared care protocol: Methylphenidate in adult services, July 2022, Version 1, Review date – January 2025 Available at:</w:t>
      </w:r>
      <w:r>
        <w:rPr>
          <w:color w:val="0000FF"/>
        </w:rPr>
        <w:t xml:space="preserve"> </w:t>
      </w:r>
      <w:hyperlink r:id="rId68">
        <w:r>
          <w:rPr>
            <w:color w:val="0000FF"/>
            <w:u w:val="single" w:color="0000FF"/>
          </w:rPr>
          <w:t>https://www.england.nhs.uk/medicines-2/regional-medicines-</w:t>
        </w:r>
      </w:hyperlink>
      <w:hyperlink r:id="rId69">
        <w:r>
          <w:rPr>
            <w:color w:val="0000FF"/>
            <w:u w:val="single" w:color="0000FF"/>
          </w:rPr>
          <w:t xml:space="preserve"> </w:t>
        </w:r>
        <w:proofErr w:type="spellStart"/>
        <w:r>
          <w:rPr>
            <w:color w:val="0000FF"/>
            <w:u w:val="single" w:color="0000FF"/>
          </w:rPr>
          <w:t>optimisation</w:t>
        </w:r>
        <w:proofErr w:type="spellEnd"/>
        <w:r>
          <w:rPr>
            <w:color w:val="0000FF"/>
            <w:u w:val="single" w:color="0000FF"/>
          </w:rPr>
          <w:t>-committees-advice/shared-care-protocols/</w:t>
        </w:r>
      </w:hyperlink>
      <w:r>
        <w:rPr>
          <w:color w:val="0000FF"/>
          <w:u w:val="single" w:color="0000FF"/>
        </w:rPr>
        <w:t>.</w:t>
      </w:r>
      <w:r>
        <w:rPr>
          <w:color w:val="0000FF"/>
        </w:rPr>
        <w:t xml:space="preserve"> </w:t>
      </w:r>
      <w:r>
        <w:t>Accessed on</w:t>
      </w:r>
      <w:r>
        <w:rPr>
          <w:spacing w:val="41"/>
        </w:rPr>
        <w:t xml:space="preserve"> </w:t>
      </w:r>
      <w:r>
        <w:t>07/05/2024.</w:t>
      </w:r>
    </w:p>
    <w:p w14:paraId="1E3D0132" w14:textId="77777777" w:rsidR="007F6DF7" w:rsidRDefault="002C4268">
      <w:pPr>
        <w:pStyle w:val="ListParagraph"/>
        <w:numPr>
          <w:ilvl w:val="0"/>
          <w:numId w:val="1"/>
        </w:numPr>
        <w:tabs>
          <w:tab w:val="left" w:pos="957"/>
          <w:tab w:val="left" w:pos="8407"/>
          <w:tab w:val="left" w:pos="9838"/>
        </w:tabs>
        <w:spacing w:before="62"/>
        <w:ind w:right="712" w:firstLine="0"/>
        <w:jc w:val="both"/>
      </w:pPr>
      <w:r>
        <w:t xml:space="preserve">NHS England, National shared care protocol: </w:t>
      </w:r>
      <w:proofErr w:type="spellStart"/>
      <w:r>
        <w:t>Lisdexamfetamine</w:t>
      </w:r>
      <w:proofErr w:type="spellEnd"/>
      <w:r>
        <w:t xml:space="preserve"> for patients within adult services, July 2022, Version 1, Review date – January 2025 Available at:</w:t>
      </w:r>
      <w:r>
        <w:rPr>
          <w:color w:val="0000FF"/>
        </w:rPr>
        <w:t xml:space="preserve"> </w:t>
      </w:r>
      <w:hyperlink r:id="rId70">
        <w:r>
          <w:rPr>
            <w:color w:val="0000FF"/>
            <w:u w:val="single" w:color="0000FF"/>
          </w:rPr>
          <w:t>https://www.england.nhs.uk/medicines-</w:t>
        </w:r>
      </w:hyperlink>
      <w:hyperlink r:id="rId71">
        <w:r>
          <w:rPr>
            <w:color w:val="0000FF"/>
            <w:u w:val="single" w:color="0000FF"/>
          </w:rPr>
          <w:t xml:space="preserve"> 2/regional-medicines-optimisation-committees-advice/shared-care-protocols/</w:t>
        </w:r>
      </w:hyperlink>
      <w:r>
        <w:t>.</w:t>
      </w:r>
      <w:r>
        <w:tab/>
        <w:t>Accessed</w:t>
      </w:r>
      <w:r>
        <w:tab/>
      </w:r>
      <w:r>
        <w:rPr>
          <w:spacing w:val="-13"/>
        </w:rPr>
        <w:t xml:space="preserve">on </w:t>
      </w:r>
      <w:r>
        <w:t>07/05/2024.</w:t>
      </w:r>
    </w:p>
    <w:p w14:paraId="25638E0B" w14:textId="77777777" w:rsidR="007F6DF7" w:rsidRDefault="002C4268">
      <w:pPr>
        <w:pStyle w:val="ListParagraph"/>
        <w:numPr>
          <w:ilvl w:val="0"/>
          <w:numId w:val="1"/>
        </w:numPr>
        <w:tabs>
          <w:tab w:val="left" w:pos="1003"/>
        </w:tabs>
        <w:spacing w:before="58"/>
        <w:ind w:right="717" w:firstLine="0"/>
        <w:jc w:val="both"/>
      </w:pPr>
      <w:r>
        <w:t xml:space="preserve">NHS England, National shared care protocol: National shared care protocol: </w:t>
      </w:r>
      <w:proofErr w:type="spellStart"/>
      <w:r>
        <w:t>Dexamfetamine</w:t>
      </w:r>
      <w:proofErr w:type="spellEnd"/>
      <w:r>
        <w:t xml:space="preserve"> for patients within adult services, July 2022, Version 1, Review date – January 2025 Available at:</w:t>
      </w:r>
      <w:hyperlink r:id="rId72">
        <w:r>
          <w:rPr>
            <w:color w:val="0000FF"/>
            <w:u w:val="single" w:color="0000FF"/>
          </w:rPr>
          <w:t xml:space="preserve"> https://www.england.nhs.uk/medicines-2/regional-medicines-optimisation-committees-advice/shared-</w:t>
        </w:r>
      </w:hyperlink>
      <w:hyperlink r:id="rId73">
        <w:r>
          <w:rPr>
            <w:color w:val="0000FF"/>
            <w:u w:val="single" w:color="0000FF"/>
          </w:rPr>
          <w:t xml:space="preserve"> care-protocols/</w:t>
        </w:r>
        <w:r>
          <w:t xml:space="preserve">. </w:t>
        </w:r>
      </w:hyperlink>
      <w:r>
        <w:t>Accessed on</w:t>
      </w:r>
      <w:r>
        <w:rPr>
          <w:spacing w:val="43"/>
        </w:rPr>
        <w:t xml:space="preserve"> </w:t>
      </w:r>
      <w:r>
        <w:t>07/05/2024.</w:t>
      </w:r>
    </w:p>
    <w:p w14:paraId="774CFC48" w14:textId="77777777" w:rsidR="007F6DF7" w:rsidRDefault="002C4268">
      <w:pPr>
        <w:pStyle w:val="ListParagraph"/>
        <w:numPr>
          <w:ilvl w:val="0"/>
          <w:numId w:val="1"/>
        </w:numPr>
        <w:tabs>
          <w:tab w:val="left" w:pos="1101"/>
        </w:tabs>
        <w:ind w:right="713" w:firstLine="0"/>
        <w:jc w:val="both"/>
      </w:pPr>
      <w:r>
        <w:t>NHS England, National shared care protocol Atomoxetine for patients within adult services, July 2022, Version 1, Review date – January 2025 Available at:</w:t>
      </w:r>
      <w:r>
        <w:rPr>
          <w:color w:val="0000FF"/>
          <w:spacing w:val="24"/>
        </w:rPr>
        <w:t xml:space="preserve"> </w:t>
      </w:r>
      <w:hyperlink r:id="rId74">
        <w:r>
          <w:rPr>
            <w:color w:val="0000FF"/>
            <w:u w:val="single" w:color="0000FF"/>
          </w:rPr>
          <w:t>https://www.england.nhs.uk/medicines-</w:t>
        </w:r>
      </w:hyperlink>
    </w:p>
    <w:p w14:paraId="5F775083" w14:textId="77777777" w:rsidR="007F6DF7" w:rsidRDefault="007F6DF7">
      <w:pPr>
        <w:jc w:val="both"/>
        <w:sectPr w:rsidR="007F6DF7">
          <w:headerReference w:type="default" r:id="rId75"/>
          <w:pgSz w:w="11910" w:h="16840"/>
          <w:pgMar w:top="1040" w:right="720" w:bottom="1880" w:left="400" w:header="0" w:footer="1595" w:gutter="0"/>
          <w:cols w:space="720"/>
        </w:sectPr>
      </w:pPr>
    </w:p>
    <w:p w14:paraId="7F58A341" w14:textId="77777777" w:rsidR="007F6DF7" w:rsidRDefault="00A06B9E">
      <w:pPr>
        <w:pStyle w:val="BodyText"/>
        <w:tabs>
          <w:tab w:val="left" w:pos="8407"/>
          <w:tab w:val="left" w:pos="9838"/>
        </w:tabs>
        <w:spacing w:before="33"/>
        <w:ind w:left="733" w:right="712"/>
      </w:pPr>
      <w:hyperlink r:id="rId76">
        <w:r w:rsidR="002C4268">
          <w:rPr>
            <w:color w:val="0000FF"/>
            <w:u w:val="single" w:color="0000FF"/>
          </w:rPr>
          <w:t>2/regional-medicines-optimisation-committees-advice/shared-care-protocols/</w:t>
        </w:r>
      </w:hyperlink>
      <w:r w:rsidR="002C4268">
        <w:rPr>
          <w:color w:val="0000FF"/>
          <w:u w:val="single" w:color="0000FF"/>
        </w:rPr>
        <w:t>.</w:t>
      </w:r>
      <w:r w:rsidR="002C4268">
        <w:rPr>
          <w:color w:val="0000FF"/>
          <w:u w:val="single" w:color="0000FF"/>
        </w:rPr>
        <w:tab/>
      </w:r>
      <w:r w:rsidR="002C4268">
        <w:t>Accessed</w:t>
      </w:r>
      <w:r w:rsidR="002C4268">
        <w:tab/>
      </w:r>
      <w:r w:rsidR="002C4268">
        <w:rPr>
          <w:spacing w:val="-13"/>
        </w:rPr>
        <w:t xml:space="preserve">on </w:t>
      </w:r>
      <w:r w:rsidR="002C4268">
        <w:t>07/05/2024.</w:t>
      </w:r>
    </w:p>
    <w:p w14:paraId="067BE383" w14:textId="77777777" w:rsidR="007F6DF7" w:rsidRDefault="002C4268">
      <w:pPr>
        <w:pStyle w:val="ListParagraph"/>
        <w:numPr>
          <w:ilvl w:val="0"/>
          <w:numId w:val="1"/>
        </w:numPr>
        <w:tabs>
          <w:tab w:val="left" w:pos="1151"/>
        </w:tabs>
        <w:ind w:right="715" w:firstLine="0"/>
      </w:pPr>
      <w:r>
        <w:t>UKTIS. Use of methylphenidate in pregnancy. Last updated November 2023. Accessed via</w:t>
      </w:r>
      <w:hyperlink r:id="rId77">
        <w:r>
          <w:rPr>
            <w:color w:val="0000FF"/>
            <w:u w:val="single" w:color="0000FF"/>
          </w:rPr>
          <w:t xml:space="preserve"> https://uktis.org/monographs/use-of-methylphenidate-in-pregnancy/</w:t>
        </w:r>
        <w:r>
          <w:t>.</w:t>
        </w:r>
      </w:hyperlink>
      <w:r>
        <w:t xml:space="preserve"> Accessed on</w:t>
      </w:r>
      <w:r>
        <w:rPr>
          <w:spacing w:val="39"/>
        </w:rPr>
        <w:t xml:space="preserve"> </w:t>
      </w:r>
      <w:r>
        <w:t>07/05/2024.</w:t>
      </w:r>
    </w:p>
    <w:p w14:paraId="59D3C578" w14:textId="77777777" w:rsidR="007F6DF7" w:rsidRDefault="002C4268">
      <w:pPr>
        <w:pStyle w:val="ListParagraph"/>
        <w:numPr>
          <w:ilvl w:val="0"/>
          <w:numId w:val="1"/>
        </w:numPr>
        <w:tabs>
          <w:tab w:val="left" w:pos="1214"/>
          <w:tab w:val="left" w:pos="1987"/>
          <w:tab w:val="left" w:pos="4614"/>
          <w:tab w:val="left" w:pos="7313"/>
          <w:tab w:val="left" w:pos="8093"/>
          <w:tab w:val="left" w:pos="8795"/>
        </w:tabs>
        <w:ind w:right="717" w:firstLine="0"/>
      </w:pPr>
      <w:r>
        <w:t>UKTIS.</w:t>
      </w:r>
      <w:r>
        <w:tab/>
        <w:t xml:space="preserve">Use    of  </w:t>
      </w:r>
      <w:r>
        <w:rPr>
          <w:spacing w:val="47"/>
        </w:rPr>
        <w:t xml:space="preserve"> </w:t>
      </w:r>
      <w:r>
        <w:t xml:space="preserve">atomoxetine  </w:t>
      </w:r>
      <w:r>
        <w:rPr>
          <w:spacing w:val="49"/>
        </w:rPr>
        <w:t xml:space="preserve"> </w:t>
      </w:r>
      <w:r>
        <w:t>in</w:t>
      </w:r>
      <w:r>
        <w:tab/>
        <w:t xml:space="preserve">pregnancy.  </w:t>
      </w:r>
      <w:r>
        <w:rPr>
          <w:spacing w:val="47"/>
        </w:rPr>
        <w:t xml:space="preserve"> </w:t>
      </w:r>
      <w:r>
        <w:t xml:space="preserve">Last  </w:t>
      </w:r>
      <w:r>
        <w:rPr>
          <w:spacing w:val="48"/>
        </w:rPr>
        <w:t xml:space="preserve"> </w:t>
      </w:r>
      <w:r>
        <w:t>updated</w:t>
      </w:r>
      <w:r>
        <w:tab/>
        <w:t>March</w:t>
      </w:r>
      <w:r>
        <w:tab/>
        <w:t>2023.</w:t>
      </w:r>
      <w:r>
        <w:tab/>
        <w:t xml:space="preserve">Accessed </w:t>
      </w:r>
      <w:r>
        <w:rPr>
          <w:spacing w:val="-7"/>
        </w:rPr>
        <w:t>via</w:t>
      </w:r>
      <w:hyperlink r:id="rId78">
        <w:r>
          <w:rPr>
            <w:color w:val="0000FF"/>
            <w:spacing w:val="-7"/>
            <w:u w:val="single" w:color="0000FF"/>
          </w:rPr>
          <w:t xml:space="preserve"> </w:t>
        </w:r>
        <w:r>
          <w:rPr>
            <w:color w:val="0000FF"/>
            <w:u w:val="single" w:color="0000FF"/>
          </w:rPr>
          <w:t>https://uktis.org/monographs/use-of-atomoxetine-in-pregnancy/</w:t>
        </w:r>
        <w:r>
          <w:t xml:space="preserve">. </w:t>
        </w:r>
      </w:hyperlink>
      <w:r>
        <w:t>Accessed on</w:t>
      </w:r>
      <w:r>
        <w:rPr>
          <w:spacing w:val="40"/>
        </w:rPr>
        <w:t xml:space="preserve"> </w:t>
      </w:r>
      <w:proofErr w:type="gramStart"/>
      <w:r>
        <w:t>07/05/2024</w:t>
      </w:r>
      <w:proofErr w:type="gramEnd"/>
    </w:p>
    <w:p w14:paraId="2C4B853B" w14:textId="77777777" w:rsidR="007F6DF7" w:rsidRDefault="007F6DF7">
      <w:pPr>
        <w:pStyle w:val="BodyText"/>
        <w:spacing w:before="1"/>
        <w:rPr>
          <w:sz w:val="16"/>
        </w:rPr>
      </w:pPr>
    </w:p>
    <w:p w14:paraId="6842ECD7" w14:textId="77777777" w:rsidR="007F6DF7" w:rsidRDefault="002C4268">
      <w:pPr>
        <w:pStyle w:val="Heading1"/>
        <w:numPr>
          <w:ilvl w:val="0"/>
          <w:numId w:val="1"/>
        </w:numPr>
        <w:tabs>
          <w:tab w:val="left" w:pos="1299"/>
          <w:tab w:val="left" w:pos="1300"/>
          <w:tab w:val="left" w:pos="10095"/>
        </w:tabs>
        <w:ind w:left="1299" w:hanging="566"/>
        <w:rPr>
          <w:color w:val="FFFFFF"/>
        </w:rPr>
      </w:pPr>
      <w:bookmarkStart w:id="16" w:name="_bookmark16"/>
      <w:bookmarkEnd w:id="16"/>
      <w:r>
        <w:rPr>
          <w:color w:val="FFFFFF"/>
          <w:shd w:val="clear" w:color="auto" w:fill="538DD3"/>
        </w:rPr>
        <w:t>Associated</w:t>
      </w:r>
      <w:r>
        <w:rPr>
          <w:color w:val="FFFFFF"/>
          <w:spacing w:val="-9"/>
          <w:shd w:val="clear" w:color="auto" w:fill="538DD3"/>
        </w:rPr>
        <w:t xml:space="preserve"> </w:t>
      </w:r>
      <w:r>
        <w:rPr>
          <w:color w:val="FFFFFF"/>
          <w:shd w:val="clear" w:color="auto" w:fill="538DD3"/>
        </w:rPr>
        <w:t>documents</w:t>
      </w:r>
      <w:r>
        <w:rPr>
          <w:color w:val="FFFFFF"/>
          <w:shd w:val="clear" w:color="auto" w:fill="538DD3"/>
        </w:rPr>
        <w:tab/>
      </w:r>
    </w:p>
    <w:p w14:paraId="6A84EE16" w14:textId="77777777" w:rsidR="007F6DF7" w:rsidRDefault="002C4268">
      <w:pPr>
        <w:pStyle w:val="ListParagraph"/>
        <w:numPr>
          <w:ilvl w:val="1"/>
          <w:numId w:val="1"/>
        </w:numPr>
        <w:tabs>
          <w:tab w:val="left" w:pos="1454"/>
        </w:tabs>
        <w:spacing w:before="119" w:line="276" w:lineRule="auto"/>
        <w:ind w:right="763"/>
      </w:pPr>
      <w:r>
        <w:t xml:space="preserve">Adult ADHD: Additional information for prescribing in adults in primary care - the document has been endorsed by C&amp;I and BEH Mental Health Trust DTCs, and has been created to provide additional information to GPs when they consider requests to continue prescriptions for adult patients receiving stable doses for whom treatment was started by ADHD specialists working outside the NCL commissioned services (e.g., private </w:t>
      </w:r>
      <w:proofErr w:type="spellStart"/>
      <w:r>
        <w:t>organisations</w:t>
      </w:r>
      <w:proofErr w:type="spellEnd"/>
      <w:r>
        <w:t xml:space="preserve"> or overseas</w:t>
      </w:r>
      <w:r>
        <w:rPr>
          <w:spacing w:val="-18"/>
        </w:rPr>
        <w:t xml:space="preserve"> </w:t>
      </w:r>
      <w:r>
        <w:t>specialists).</w:t>
      </w:r>
    </w:p>
    <w:p w14:paraId="08AEB71C" w14:textId="77777777" w:rsidR="007F6DF7" w:rsidRDefault="00A06B9E">
      <w:pPr>
        <w:pStyle w:val="ListParagraph"/>
        <w:numPr>
          <w:ilvl w:val="1"/>
          <w:numId w:val="1"/>
        </w:numPr>
        <w:tabs>
          <w:tab w:val="left" w:pos="1454"/>
        </w:tabs>
        <w:spacing w:before="2"/>
      </w:pPr>
      <w:hyperlink r:id="rId79">
        <w:r w:rsidR="002C4268">
          <w:rPr>
            <w:color w:val="0000FF"/>
            <w:u w:val="single" w:color="0000FF"/>
          </w:rPr>
          <w:t>ADHD: Patients right to choose care</w:t>
        </w:r>
        <w:r w:rsidR="002C4268">
          <w:rPr>
            <w:color w:val="0000FF"/>
            <w:spacing w:val="-5"/>
            <w:u w:val="single" w:color="0000FF"/>
          </w:rPr>
          <w:t xml:space="preserve"> </w:t>
        </w:r>
        <w:r w:rsidR="002C4268">
          <w:rPr>
            <w:color w:val="0000FF"/>
            <w:u w:val="single" w:color="0000FF"/>
          </w:rPr>
          <w:t>provider</w:t>
        </w:r>
      </w:hyperlink>
    </w:p>
    <w:p w14:paraId="31B35CFA" w14:textId="77777777" w:rsidR="007F6DF7" w:rsidRDefault="002C4268">
      <w:pPr>
        <w:pStyle w:val="ListParagraph"/>
        <w:numPr>
          <w:ilvl w:val="1"/>
          <w:numId w:val="1"/>
        </w:numPr>
        <w:tabs>
          <w:tab w:val="left" w:pos="1454"/>
        </w:tabs>
        <w:spacing w:before="39" w:line="276" w:lineRule="auto"/>
        <w:ind w:right="915"/>
        <w:jc w:val="both"/>
      </w:pPr>
      <w:r>
        <w:t>NCL Prescribing Dilemmas – a guide for primary care prescribers (note: you must register with the NCL GP website and access via the NHS Secure Network to view this page for documents 1 and</w:t>
      </w:r>
      <w:r>
        <w:rPr>
          <w:spacing w:val="-1"/>
        </w:rPr>
        <w:t xml:space="preserve"> </w:t>
      </w:r>
      <w:r>
        <w:t>3).</w:t>
      </w:r>
    </w:p>
    <w:p w14:paraId="4902B850" w14:textId="77777777" w:rsidR="007F6DF7" w:rsidRDefault="007F6DF7">
      <w:pPr>
        <w:pStyle w:val="BodyText"/>
        <w:spacing w:before="6"/>
        <w:rPr>
          <w:sz w:val="16"/>
        </w:rPr>
      </w:pPr>
    </w:p>
    <w:p w14:paraId="0865B892" w14:textId="77777777" w:rsidR="007F6DF7" w:rsidRDefault="002C4268">
      <w:pPr>
        <w:pStyle w:val="Heading3"/>
      </w:pPr>
      <w:r>
        <w:t>Patient information:</w:t>
      </w:r>
    </w:p>
    <w:p w14:paraId="416674E8" w14:textId="77777777" w:rsidR="007F6DF7" w:rsidRDefault="007F6DF7">
      <w:pPr>
        <w:pStyle w:val="BodyText"/>
        <w:spacing w:before="8"/>
        <w:rPr>
          <w:b/>
          <w:sz w:val="19"/>
        </w:rPr>
      </w:pPr>
    </w:p>
    <w:p w14:paraId="129FC725" w14:textId="77777777" w:rsidR="007F6DF7" w:rsidRDefault="00A06B9E">
      <w:pPr>
        <w:pStyle w:val="ListParagraph"/>
        <w:numPr>
          <w:ilvl w:val="0"/>
          <w:numId w:val="2"/>
        </w:numPr>
        <w:tabs>
          <w:tab w:val="left" w:pos="1453"/>
          <w:tab w:val="left" w:pos="1454"/>
        </w:tabs>
        <w:spacing w:before="0"/>
        <w:ind w:left="1453"/>
      </w:pPr>
      <w:hyperlink r:id="rId80">
        <w:r w:rsidR="002C4268">
          <w:rPr>
            <w:color w:val="0000FF"/>
            <w:u w:val="single" w:color="0000FF"/>
          </w:rPr>
          <w:t>Royal College of Psychiatrists – ADHD in</w:t>
        </w:r>
        <w:r w:rsidR="002C4268">
          <w:rPr>
            <w:color w:val="0000FF"/>
            <w:spacing w:val="-6"/>
            <w:u w:val="single" w:color="0000FF"/>
          </w:rPr>
          <w:t xml:space="preserve"> </w:t>
        </w:r>
        <w:r w:rsidR="002C4268">
          <w:rPr>
            <w:color w:val="0000FF"/>
            <w:u w:val="single" w:color="0000FF"/>
          </w:rPr>
          <w:t>adults.</w:t>
        </w:r>
      </w:hyperlink>
    </w:p>
    <w:p w14:paraId="16A78846" w14:textId="77777777" w:rsidR="007F6DF7" w:rsidRDefault="007F6DF7">
      <w:pPr>
        <w:pStyle w:val="BodyText"/>
        <w:spacing w:before="1"/>
        <w:rPr>
          <w:sz w:val="15"/>
        </w:rPr>
      </w:pPr>
    </w:p>
    <w:p w14:paraId="342390E4" w14:textId="77777777" w:rsidR="007F6DF7" w:rsidRDefault="00A06B9E">
      <w:pPr>
        <w:pStyle w:val="ListParagraph"/>
        <w:numPr>
          <w:ilvl w:val="0"/>
          <w:numId w:val="2"/>
        </w:numPr>
        <w:tabs>
          <w:tab w:val="left" w:pos="1453"/>
          <w:tab w:val="left" w:pos="1454"/>
        </w:tabs>
        <w:spacing w:before="56"/>
        <w:ind w:left="1453"/>
      </w:pPr>
      <w:hyperlink r:id="rId81">
        <w:r w:rsidR="002C4268">
          <w:rPr>
            <w:color w:val="0000FF"/>
            <w:u w:val="single" w:color="0000FF"/>
          </w:rPr>
          <w:t xml:space="preserve">NHS – </w:t>
        </w:r>
        <w:proofErr w:type="gramStart"/>
        <w:r w:rsidR="002C4268">
          <w:rPr>
            <w:color w:val="0000FF"/>
            <w:u w:val="single" w:color="0000FF"/>
          </w:rPr>
          <w:t>Attention deficit hyperactivity</w:t>
        </w:r>
        <w:r w:rsidR="002C4268">
          <w:rPr>
            <w:color w:val="0000FF"/>
            <w:spacing w:val="-4"/>
            <w:u w:val="single" w:color="0000FF"/>
          </w:rPr>
          <w:t xml:space="preserve"> </w:t>
        </w:r>
        <w:r w:rsidR="002C4268">
          <w:rPr>
            <w:color w:val="0000FF"/>
            <w:u w:val="single" w:color="0000FF"/>
          </w:rPr>
          <w:t>disorder</w:t>
        </w:r>
        <w:proofErr w:type="gramEnd"/>
        <w:r w:rsidR="002C4268">
          <w:rPr>
            <w:color w:val="0000FF"/>
            <w:u w:val="single" w:color="0000FF"/>
          </w:rPr>
          <w:t>.</w:t>
        </w:r>
      </w:hyperlink>
    </w:p>
    <w:p w14:paraId="537A3BCA" w14:textId="77777777" w:rsidR="007F6DF7" w:rsidRDefault="007F6DF7">
      <w:pPr>
        <w:pStyle w:val="BodyText"/>
        <w:spacing w:before="1"/>
        <w:rPr>
          <w:sz w:val="15"/>
        </w:rPr>
      </w:pPr>
    </w:p>
    <w:p w14:paraId="1354A0BB" w14:textId="77777777" w:rsidR="007F6DF7" w:rsidRDefault="00A06B9E">
      <w:pPr>
        <w:pStyle w:val="ListParagraph"/>
        <w:numPr>
          <w:ilvl w:val="0"/>
          <w:numId w:val="2"/>
        </w:numPr>
        <w:tabs>
          <w:tab w:val="left" w:pos="1453"/>
          <w:tab w:val="left" w:pos="1454"/>
        </w:tabs>
        <w:spacing w:before="57"/>
        <w:ind w:left="1453"/>
      </w:pPr>
      <w:hyperlink r:id="rId82">
        <w:r w:rsidR="002C4268">
          <w:rPr>
            <w:color w:val="0000FF"/>
            <w:u w:val="single" w:color="0000FF"/>
          </w:rPr>
          <w:t>Choice and Medication: Camden and Islington MH</w:t>
        </w:r>
        <w:r w:rsidR="002C4268">
          <w:rPr>
            <w:color w:val="0000FF"/>
            <w:spacing w:val="-10"/>
            <w:u w:val="single" w:color="0000FF"/>
          </w:rPr>
          <w:t xml:space="preserve"> </w:t>
        </w:r>
        <w:r w:rsidR="002C4268">
          <w:rPr>
            <w:color w:val="0000FF"/>
            <w:u w:val="single" w:color="0000FF"/>
          </w:rPr>
          <w:t>FT:</w:t>
        </w:r>
      </w:hyperlink>
    </w:p>
    <w:p w14:paraId="30A6F270" w14:textId="77777777" w:rsidR="007F6DF7" w:rsidRDefault="007F6DF7">
      <w:pPr>
        <w:pStyle w:val="BodyText"/>
        <w:spacing w:before="8"/>
        <w:rPr>
          <w:sz w:val="19"/>
        </w:rPr>
      </w:pPr>
    </w:p>
    <w:p w14:paraId="0FAF77A0" w14:textId="77777777" w:rsidR="007F6DF7" w:rsidRDefault="00A06B9E">
      <w:pPr>
        <w:pStyle w:val="ListParagraph"/>
        <w:numPr>
          <w:ilvl w:val="1"/>
          <w:numId w:val="2"/>
        </w:numPr>
        <w:tabs>
          <w:tab w:val="left" w:pos="1453"/>
          <w:tab w:val="left" w:pos="1454"/>
        </w:tabs>
        <w:spacing w:before="0"/>
      </w:pPr>
      <w:hyperlink r:id="rId83">
        <w:r w:rsidR="002C4268">
          <w:rPr>
            <w:color w:val="0000FF"/>
            <w:u w:val="single" w:color="0000FF"/>
          </w:rPr>
          <w:t>bumps - best use of medicine in</w:t>
        </w:r>
        <w:r w:rsidR="002C4268">
          <w:rPr>
            <w:color w:val="0000FF"/>
            <w:spacing w:val="-5"/>
            <w:u w:val="single" w:color="0000FF"/>
          </w:rPr>
          <w:t xml:space="preserve"> </w:t>
        </w:r>
        <w:r w:rsidR="002C4268">
          <w:rPr>
            <w:color w:val="0000FF"/>
            <w:u w:val="single" w:color="0000FF"/>
          </w:rPr>
          <w:t>pregnancy</w:t>
        </w:r>
      </w:hyperlink>
    </w:p>
    <w:p w14:paraId="598CECCC" w14:textId="77777777" w:rsidR="007F6DF7" w:rsidRDefault="007F6DF7">
      <w:pPr>
        <w:pStyle w:val="BodyText"/>
        <w:spacing w:before="6"/>
        <w:rPr>
          <w:sz w:val="19"/>
        </w:rPr>
      </w:pPr>
    </w:p>
    <w:p w14:paraId="0E652661" w14:textId="77777777" w:rsidR="007F6DF7" w:rsidRDefault="002C4268">
      <w:pPr>
        <w:pStyle w:val="Heading1"/>
        <w:numPr>
          <w:ilvl w:val="0"/>
          <w:numId w:val="1"/>
        </w:numPr>
        <w:tabs>
          <w:tab w:val="left" w:pos="1299"/>
          <w:tab w:val="left" w:pos="1300"/>
          <w:tab w:val="left" w:pos="10095"/>
        </w:tabs>
        <w:ind w:left="1299" w:hanging="566"/>
        <w:rPr>
          <w:color w:val="FFFFFF"/>
        </w:rPr>
      </w:pPr>
      <w:bookmarkStart w:id="17" w:name="_bookmark17"/>
      <w:bookmarkEnd w:id="17"/>
      <w:r>
        <w:rPr>
          <w:color w:val="FFFFFF"/>
          <w:shd w:val="clear" w:color="auto" w:fill="538DD3"/>
        </w:rPr>
        <w:t>Contact</w:t>
      </w:r>
      <w:r>
        <w:rPr>
          <w:color w:val="FFFFFF"/>
          <w:spacing w:val="-10"/>
          <w:shd w:val="clear" w:color="auto" w:fill="538DD3"/>
        </w:rPr>
        <w:t xml:space="preserve"> </w:t>
      </w:r>
      <w:r>
        <w:rPr>
          <w:color w:val="FFFFFF"/>
          <w:shd w:val="clear" w:color="auto" w:fill="538DD3"/>
        </w:rPr>
        <w:t>Details</w:t>
      </w:r>
      <w:r>
        <w:rPr>
          <w:color w:val="FFFFFF"/>
          <w:shd w:val="clear" w:color="auto" w:fill="538DD3"/>
        </w:rPr>
        <w:tab/>
      </w:r>
    </w:p>
    <w:p w14:paraId="597E09AA" w14:textId="77777777" w:rsidR="007F6DF7" w:rsidRDefault="002C4268">
      <w:pPr>
        <w:pStyle w:val="Heading2"/>
        <w:ind w:left="591" w:firstLine="0"/>
      </w:pPr>
      <w:r>
        <w:t>Camden &amp; Islington NHS Foundation Trust</w:t>
      </w:r>
    </w:p>
    <w:p w14:paraId="5345A1F6" w14:textId="77777777" w:rsidR="007F6DF7" w:rsidRDefault="007F6DF7">
      <w:pPr>
        <w:pStyle w:val="BodyText"/>
        <w:rPr>
          <w:b/>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gridCol w:w="4371"/>
      </w:tblGrid>
      <w:tr w:rsidR="007F6DF7" w14:paraId="1CE4587F" w14:textId="77777777">
        <w:trPr>
          <w:trHeight w:val="1341"/>
        </w:trPr>
        <w:tc>
          <w:tcPr>
            <w:tcW w:w="4371" w:type="dxa"/>
          </w:tcPr>
          <w:p w14:paraId="31634717" w14:textId="77777777" w:rsidR="007F6DF7" w:rsidRDefault="002C4268">
            <w:pPr>
              <w:pStyle w:val="TableParagraph"/>
              <w:spacing w:line="268" w:lineRule="exact"/>
              <w:ind w:left="108"/>
              <w:rPr>
                <w:b/>
              </w:rPr>
            </w:pPr>
            <w:r>
              <w:rPr>
                <w:b/>
              </w:rPr>
              <w:t>Adult ADHD Clinic</w:t>
            </w:r>
          </w:p>
          <w:p w14:paraId="48AB0656" w14:textId="77777777" w:rsidR="007F6DF7" w:rsidRDefault="002C4268">
            <w:pPr>
              <w:pStyle w:val="TableParagraph"/>
              <w:ind w:left="108"/>
            </w:pPr>
            <w:r>
              <w:t>St Pancras Hospital</w:t>
            </w:r>
          </w:p>
          <w:p w14:paraId="641EE7EF" w14:textId="77777777" w:rsidR="007F6DF7" w:rsidRDefault="002C4268">
            <w:pPr>
              <w:pStyle w:val="TableParagraph"/>
              <w:ind w:left="108" w:right="453"/>
            </w:pPr>
            <w:r>
              <w:t>Neurodevelopmental Service (Adult ADHD and Adult ASD)</w:t>
            </w:r>
          </w:p>
          <w:p w14:paraId="10B49BBC" w14:textId="77777777" w:rsidR="007F6DF7" w:rsidRDefault="002C4268">
            <w:pPr>
              <w:pStyle w:val="TableParagraph"/>
              <w:spacing w:line="248" w:lineRule="exact"/>
              <w:ind w:left="108"/>
            </w:pPr>
            <w:r>
              <w:t>London, NW1 0PE</w:t>
            </w:r>
          </w:p>
        </w:tc>
        <w:tc>
          <w:tcPr>
            <w:tcW w:w="4371" w:type="dxa"/>
          </w:tcPr>
          <w:p w14:paraId="7BC741F3" w14:textId="77777777" w:rsidR="007F6DF7" w:rsidRDefault="002C4268">
            <w:pPr>
              <w:pStyle w:val="TableParagraph"/>
              <w:spacing w:line="268" w:lineRule="exact"/>
              <w:ind w:left="108"/>
            </w:pPr>
            <w:r>
              <w:t>Tel: 0203 317 7356</w:t>
            </w:r>
          </w:p>
          <w:p w14:paraId="263A127F" w14:textId="77777777" w:rsidR="007F6DF7" w:rsidRDefault="00A06B9E">
            <w:pPr>
              <w:pStyle w:val="TableParagraph"/>
              <w:ind w:left="108"/>
            </w:pPr>
            <w:hyperlink r:id="rId84">
              <w:r w:rsidR="002C4268">
                <w:t>adult.adhd@candi.nhs.uk</w:t>
              </w:r>
            </w:hyperlink>
          </w:p>
        </w:tc>
      </w:tr>
      <w:tr w:rsidR="007F6DF7" w14:paraId="4F2A2FBB" w14:textId="77777777">
        <w:trPr>
          <w:trHeight w:val="539"/>
        </w:trPr>
        <w:tc>
          <w:tcPr>
            <w:tcW w:w="4371" w:type="dxa"/>
          </w:tcPr>
          <w:p w14:paraId="7F23C91D" w14:textId="77777777" w:rsidR="007F6DF7" w:rsidRDefault="002C4268">
            <w:pPr>
              <w:pStyle w:val="TableParagraph"/>
              <w:spacing w:before="1" w:line="267" w:lineRule="exact"/>
              <w:ind w:left="108"/>
            </w:pPr>
            <w:r>
              <w:rPr>
                <w:b/>
              </w:rPr>
              <w:t>Highgate Mental Health Centre</w:t>
            </w:r>
            <w:r>
              <w:t>, Pharmacy</w:t>
            </w:r>
          </w:p>
          <w:p w14:paraId="1AE75A98" w14:textId="77777777" w:rsidR="007F6DF7" w:rsidRDefault="002C4268">
            <w:pPr>
              <w:pStyle w:val="TableParagraph"/>
              <w:spacing w:line="251" w:lineRule="exact"/>
              <w:ind w:left="108"/>
            </w:pPr>
            <w:r>
              <w:t>Department</w:t>
            </w:r>
          </w:p>
        </w:tc>
        <w:tc>
          <w:tcPr>
            <w:tcW w:w="4371" w:type="dxa"/>
          </w:tcPr>
          <w:p w14:paraId="388B32D7" w14:textId="77777777" w:rsidR="007F6DF7" w:rsidRDefault="002C4268">
            <w:pPr>
              <w:pStyle w:val="TableParagraph"/>
              <w:spacing w:before="1"/>
              <w:ind w:left="108"/>
            </w:pPr>
            <w:r>
              <w:t>Tel: 020 7561 4103</w:t>
            </w:r>
          </w:p>
        </w:tc>
      </w:tr>
    </w:tbl>
    <w:p w14:paraId="2075F9AB" w14:textId="77777777" w:rsidR="007F6DF7" w:rsidRDefault="007F6DF7">
      <w:pPr>
        <w:pStyle w:val="BodyText"/>
        <w:spacing w:before="9"/>
        <w:rPr>
          <w:b/>
          <w:sz w:val="21"/>
        </w:rPr>
      </w:pPr>
    </w:p>
    <w:p w14:paraId="68F7DBB4" w14:textId="0F414E08" w:rsidR="007F6DF7" w:rsidRDefault="002C4268">
      <w:pPr>
        <w:pStyle w:val="Heading2"/>
        <w:spacing w:before="0"/>
        <w:ind w:left="591" w:firstLine="0"/>
      </w:pPr>
      <w:r>
        <w:rPr>
          <w:noProof/>
        </w:rPr>
        <mc:AlternateContent>
          <mc:Choice Requires="wpg">
            <w:drawing>
              <wp:anchor distT="0" distB="0" distL="114300" distR="114300" simplePos="0" relativeHeight="251644416" behindDoc="1" locked="0" layoutInCell="1" allowOverlap="1" wp14:anchorId="7270E640" wp14:editId="4CDE8280">
                <wp:simplePos x="0" y="0"/>
                <wp:positionH relativeFrom="page">
                  <wp:posOffset>654050</wp:posOffset>
                </wp:positionH>
                <wp:positionV relativeFrom="paragraph">
                  <wp:posOffset>356870</wp:posOffset>
                </wp:positionV>
                <wp:extent cx="6010910" cy="1266825"/>
                <wp:effectExtent l="6350" t="13970" r="12065" b="508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910" cy="1266825"/>
                          <a:chOff x="1030" y="562"/>
                          <a:chExt cx="9466" cy="1995"/>
                        </a:xfrm>
                      </wpg:grpSpPr>
                      <wps:wsp>
                        <wps:cNvPr id="79" name="Line 71"/>
                        <wps:cNvCnPr>
                          <a:cxnSpLocks noChangeShapeType="1"/>
                        </wps:cNvCnPr>
                        <wps:spPr bwMode="auto">
                          <a:xfrm>
                            <a:off x="1104" y="2543"/>
                            <a:ext cx="9391" cy="0"/>
                          </a:xfrm>
                          <a:prstGeom prst="line">
                            <a:avLst/>
                          </a:prstGeom>
                          <a:noFill/>
                          <a:ln w="18288">
                            <a:solidFill>
                              <a:srgbClr val="A6A6A6"/>
                            </a:solidFill>
                            <a:round/>
                            <a:headEnd/>
                            <a:tailEnd/>
                          </a:ln>
                          <a:extLst>
                            <a:ext uri="{909E8E84-426E-40DD-AFC4-6F175D3DCCD1}">
                              <a14:hiddenFill xmlns:a14="http://schemas.microsoft.com/office/drawing/2010/main">
                                <a:noFill/>
                              </a14:hiddenFill>
                            </a:ext>
                          </a:extLst>
                        </wps:spPr>
                        <wps:bodyPr/>
                      </wps:wsp>
                      <wps:wsp>
                        <wps:cNvPr id="80" name="Line 70"/>
                        <wps:cNvCnPr>
                          <a:cxnSpLocks noChangeShapeType="1"/>
                        </wps:cNvCnPr>
                        <wps:spPr bwMode="auto">
                          <a:xfrm>
                            <a:off x="1030" y="2459"/>
                            <a:ext cx="4361"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81" name="Line 69"/>
                        <wps:cNvCnPr>
                          <a:cxnSpLocks noChangeShapeType="1"/>
                        </wps:cNvCnPr>
                        <wps:spPr bwMode="auto">
                          <a:xfrm>
                            <a:off x="5401" y="2459"/>
                            <a:ext cx="4362"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82" name="Line 68"/>
                        <wps:cNvCnPr>
                          <a:cxnSpLocks noChangeShapeType="1"/>
                        </wps:cNvCnPr>
                        <wps:spPr bwMode="auto">
                          <a:xfrm>
                            <a:off x="9768" y="562"/>
                            <a:ext cx="0" cy="190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0B5CE1" id="Group 67" o:spid="_x0000_s1026" style="position:absolute;margin-left:51.5pt;margin-top:28.1pt;width:473.3pt;height:99.75pt;z-index:-251672064;mso-position-horizontal-relative:page" coordorigin="1030,562" coordsize="9466,1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">
                <v:line id="Line 71" o:spid="_x0000_s1027" style="position:absolute;visibility:visible;mso-wrap-style:square" from="1104,2543" to="10495,2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" strokecolor="#a6a6a6" strokeweight="1.44pt"/>
                <v:line id="Line 70" o:spid="_x0000_s1028" style="position:absolute;visibility:visible;mso-wrap-style:square" from="1030,2459" to="5391,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" strokeweight=".16936mm"/>
                <v:line id="Line 69" o:spid="_x0000_s1029" style="position:absolute;visibility:visible;mso-wrap-style:square" from="5401,2459" to="9763,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" strokeweight=".16936mm"/>
                <v:line id="Line 68" o:spid="_x0000_s1030" style="position:absolute;visibility:visible;mso-wrap-style:square" from="9768,562" to="9768,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w10:wrap anchorx="page"/>
              </v:group>
            </w:pict>
          </mc:Fallback>
        </mc:AlternateContent>
      </w:r>
      <w:r>
        <w:t xml:space="preserve">Barnet, </w:t>
      </w:r>
      <w:proofErr w:type="gramStart"/>
      <w:r>
        <w:t>Enfield</w:t>
      </w:r>
      <w:proofErr w:type="gramEnd"/>
      <w:r>
        <w:t xml:space="preserve"> and Haringey Mental Health NHS Trust</w:t>
      </w:r>
    </w:p>
    <w:p w14:paraId="07B46648" w14:textId="77777777" w:rsidR="007F6DF7" w:rsidRDefault="007F6DF7">
      <w:pPr>
        <w:pStyle w:val="BodyText"/>
        <w:spacing w:before="1"/>
        <w:rPr>
          <w:b/>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gridCol w:w="5299"/>
      </w:tblGrid>
      <w:tr w:rsidR="007F6DF7" w14:paraId="7F481858" w14:textId="77777777">
        <w:trPr>
          <w:trHeight w:val="1984"/>
        </w:trPr>
        <w:tc>
          <w:tcPr>
            <w:tcW w:w="4371" w:type="dxa"/>
            <w:tcBorders>
              <w:bottom w:val="nil"/>
            </w:tcBorders>
          </w:tcPr>
          <w:p w14:paraId="2EC47C20" w14:textId="77777777" w:rsidR="007F6DF7" w:rsidRDefault="002C4268">
            <w:pPr>
              <w:pStyle w:val="TableParagraph"/>
              <w:spacing w:line="268" w:lineRule="exact"/>
              <w:ind w:left="108"/>
              <w:rPr>
                <w:b/>
              </w:rPr>
            </w:pPr>
            <w:r>
              <w:rPr>
                <w:b/>
              </w:rPr>
              <w:t>Adult ADHD Clinic</w:t>
            </w:r>
          </w:p>
          <w:p w14:paraId="42DA924B" w14:textId="77777777" w:rsidR="007F6DF7" w:rsidRDefault="002C4268">
            <w:pPr>
              <w:pStyle w:val="TableParagraph"/>
              <w:ind w:left="108"/>
            </w:pPr>
            <w:r>
              <w:t>Barnet Service Line</w:t>
            </w:r>
          </w:p>
          <w:p w14:paraId="562B29B3" w14:textId="77777777" w:rsidR="007F6DF7" w:rsidRDefault="002C4268">
            <w:pPr>
              <w:pStyle w:val="TableParagraph"/>
              <w:ind w:left="108" w:right="344"/>
            </w:pPr>
            <w:r>
              <w:t xml:space="preserve">Barnet, </w:t>
            </w:r>
            <w:proofErr w:type="gramStart"/>
            <w:r>
              <w:t>Enfield</w:t>
            </w:r>
            <w:proofErr w:type="gramEnd"/>
            <w:r>
              <w:t xml:space="preserve"> and Haringey Mental Health NHS Trust</w:t>
            </w:r>
          </w:p>
          <w:p w14:paraId="50EBABCA" w14:textId="2AC01589" w:rsidR="007F6DF7" w:rsidRDefault="00294027">
            <w:pPr>
              <w:pStyle w:val="TableParagraph"/>
              <w:spacing w:before="1"/>
              <w:ind w:left="108" w:right="432"/>
            </w:pPr>
            <w:r>
              <w:t>Springwell Centre</w:t>
            </w:r>
            <w:r w:rsidR="002C4268">
              <w:t xml:space="preserve"> | </w:t>
            </w:r>
            <w:r w:rsidR="004D4917">
              <w:t>Barnet</w:t>
            </w:r>
            <w:r w:rsidR="002C4268">
              <w:t xml:space="preserve"> Hospital |</w:t>
            </w:r>
            <w:r w:rsidR="004D4917">
              <w:t xml:space="preserve"> Wellhouse Lane, Barnet</w:t>
            </w:r>
            <w:r w:rsidR="002C4268">
              <w:t xml:space="preserve"> | </w:t>
            </w:r>
            <w:r w:rsidR="004D4917">
              <w:t>EN5</w:t>
            </w:r>
            <w:r w:rsidR="00DC4B55">
              <w:t xml:space="preserve"> 3DJ</w:t>
            </w:r>
          </w:p>
        </w:tc>
        <w:tc>
          <w:tcPr>
            <w:tcW w:w="5299" w:type="dxa"/>
            <w:tcBorders>
              <w:bottom w:val="nil"/>
              <w:right w:val="nil"/>
            </w:tcBorders>
          </w:tcPr>
          <w:p w14:paraId="7C2A5692" w14:textId="77777777" w:rsidR="007F6DF7" w:rsidRDefault="002C4268">
            <w:pPr>
              <w:pStyle w:val="TableParagraph"/>
              <w:spacing w:line="268" w:lineRule="exact"/>
              <w:ind w:left="108"/>
            </w:pPr>
            <w:r>
              <w:t>Tel: 020 8702 5544</w:t>
            </w:r>
          </w:p>
        </w:tc>
      </w:tr>
    </w:tbl>
    <w:p w14:paraId="0BDAEB2C" w14:textId="77777777" w:rsidR="007F6DF7" w:rsidRDefault="007F6DF7">
      <w:pPr>
        <w:spacing w:line="268" w:lineRule="exact"/>
        <w:sectPr w:rsidR="007F6DF7">
          <w:headerReference w:type="default" r:id="rId85"/>
          <w:footerReference w:type="default" r:id="rId86"/>
          <w:pgSz w:w="11910" w:h="16840"/>
          <w:pgMar w:top="1080" w:right="720" w:bottom="1740" w:left="400" w:header="0" w:footer="1557" w:gutter="0"/>
          <w:pgNumType w:start="23"/>
          <w:cols w:space="720"/>
        </w:sectPr>
      </w:pPr>
    </w:p>
    <w:p w14:paraId="687CAC8E" w14:textId="306B7CD0" w:rsidR="007F6DF7" w:rsidRDefault="002C4268">
      <w:pPr>
        <w:pStyle w:val="BodyText"/>
        <w:ind w:left="619"/>
        <w:rPr>
          <w:sz w:val="20"/>
        </w:rPr>
      </w:pPr>
      <w:r>
        <w:rPr>
          <w:noProof/>
          <w:sz w:val="20"/>
        </w:rPr>
        <w:lastRenderedPageBreak/>
        <mc:AlternateContent>
          <mc:Choice Requires="wpg">
            <w:drawing>
              <wp:inline distT="0" distB="0" distL="0" distR="0" wp14:anchorId="1AB12A95" wp14:editId="753FECC7">
                <wp:extent cx="5558155" cy="293370"/>
                <wp:effectExtent l="9525" t="9525" r="4445" b="11430"/>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8155" cy="293370"/>
                          <a:chOff x="0" y="0"/>
                          <a:chExt cx="8753" cy="462"/>
                        </a:xfrm>
                      </wpg:grpSpPr>
                      <wps:wsp>
                        <wps:cNvPr id="71" name="Line 66"/>
                        <wps:cNvCnPr>
                          <a:cxnSpLocks noChangeShapeType="1"/>
                        </wps:cNvCnPr>
                        <wps:spPr bwMode="auto">
                          <a:xfrm>
                            <a:off x="10" y="5"/>
                            <a:ext cx="436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65"/>
                        <wps:cNvCnPr>
                          <a:cxnSpLocks noChangeShapeType="1"/>
                        </wps:cNvCnPr>
                        <wps:spPr bwMode="auto">
                          <a:xfrm>
                            <a:off x="4381" y="5"/>
                            <a:ext cx="43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64"/>
                        <wps:cNvCnPr>
                          <a:cxnSpLocks noChangeShapeType="1"/>
                        </wps:cNvCnPr>
                        <wps:spPr bwMode="auto">
                          <a:xfrm>
                            <a:off x="5" y="0"/>
                            <a:ext cx="0" cy="4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63"/>
                        <wps:cNvCnPr>
                          <a:cxnSpLocks noChangeShapeType="1"/>
                        </wps:cNvCnPr>
                        <wps:spPr bwMode="auto">
                          <a:xfrm>
                            <a:off x="10" y="456"/>
                            <a:ext cx="4361" cy="0"/>
                          </a:xfrm>
                          <a:prstGeom prst="line">
                            <a:avLst/>
                          </a:prstGeom>
                          <a:noFill/>
                          <a:ln w="6401">
                            <a:solidFill>
                              <a:srgbClr val="000000"/>
                            </a:solidFill>
                            <a:round/>
                            <a:headEnd/>
                            <a:tailEnd/>
                          </a:ln>
                          <a:extLst>
                            <a:ext uri="{909E8E84-426E-40DD-AFC4-6F175D3DCCD1}">
                              <a14:hiddenFill xmlns:a14="http://schemas.microsoft.com/office/drawing/2010/main">
                                <a:noFill/>
                              </a14:hiddenFill>
                            </a:ext>
                          </a:extLst>
                        </wps:spPr>
                        <wps:bodyPr/>
                      </wps:wsp>
                      <wps:wsp>
                        <wps:cNvPr id="75" name="Line 62"/>
                        <wps:cNvCnPr>
                          <a:cxnSpLocks noChangeShapeType="1"/>
                        </wps:cNvCnPr>
                        <wps:spPr bwMode="auto">
                          <a:xfrm>
                            <a:off x="4376" y="0"/>
                            <a:ext cx="0" cy="4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Line 61"/>
                        <wps:cNvCnPr>
                          <a:cxnSpLocks noChangeShapeType="1"/>
                        </wps:cNvCnPr>
                        <wps:spPr bwMode="auto">
                          <a:xfrm>
                            <a:off x="4381" y="456"/>
                            <a:ext cx="4362" cy="0"/>
                          </a:xfrm>
                          <a:prstGeom prst="line">
                            <a:avLst/>
                          </a:prstGeom>
                          <a:noFill/>
                          <a:ln w="6401">
                            <a:solidFill>
                              <a:srgbClr val="000000"/>
                            </a:solidFill>
                            <a:round/>
                            <a:headEnd/>
                            <a:tailEnd/>
                          </a:ln>
                          <a:extLst>
                            <a:ext uri="{909E8E84-426E-40DD-AFC4-6F175D3DCCD1}">
                              <a14:hiddenFill xmlns:a14="http://schemas.microsoft.com/office/drawing/2010/main">
                                <a:noFill/>
                              </a14:hiddenFill>
                            </a:ext>
                          </a:extLst>
                        </wps:spPr>
                        <wps:bodyPr/>
                      </wps:wsp>
                      <wps:wsp>
                        <wps:cNvPr id="77" name="Line 60"/>
                        <wps:cNvCnPr>
                          <a:cxnSpLocks noChangeShapeType="1"/>
                        </wps:cNvCnPr>
                        <wps:spPr bwMode="auto">
                          <a:xfrm>
                            <a:off x="8748" y="0"/>
                            <a:ext cx="0" cy="46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AF6A48" id="Group 59" o:spid="_x0000_s1026" style="width:437.65pt;height:23.1pt;mso-position-horizontal-relative:char;mso-position-vertical-relative:line" coordsize="875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">
                <v:line id="Line 66" o:spid="_x0000_s1027" style="position:absolute;visibility:visible;mso-wrap-style:square" from="10,5" to="4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65" o:spid="_x0000_s1028" style="position:absolute;visibility:visible;mso-wrap-style:square" from="4381,5" to="8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64" o:spid="_x0000_s1029" style="position:absolute;visibility:visible;mso-wrap-style:square" from="5,0" to="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63" o:spid="_x0000_s1030" style="position:absolute;visibility:visible;mso-wrap-style:square" from="10,456" to="437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" strokeweight=".17781mm"/>
                <v:line id="Line 62" o:spid="_x0000_s1031" style="position:absolute;visibility:visible;mso-wrap-style:square" from="4376,0" to="4376,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61" o:spid="_x0000_s1032" style="position:absolute;visibility:visible;mso-wrap-style:square" from="4381,456" to="874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" strokeweight=".17781mm"/>
                <v:line id="Line 60" o:spid="_x0000_s1033" style="position:absolute;visibility:visible;mso-wrap-style:square" from="8748,0" to="874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w10:anchorlock/>
              </v:group>
            </w:pict>
          </mc:Fallback>
        </mc:AlternateContent>
      </w:r>
    </w:p>
    <w:p w14:paraId="11F4BEEC" w14:textId="77777777" w:rsidR="007F6DF7" w:rsidRDefault="007F6DF7">
      <w:pPr>
        <w:pStyle w:val="BodyText"/>
        <w:spacing w:before="8"/>
        <w:rPr>
          <w:b/>
          <w:sz w:val="13"/>
        </w:rPr>
      </w:pPr>
    </w:p>
    <w:p w14:paraId="754D1675" w14:textId="77777777" w:rsidR="007F6DF7" w:rsidRDefault="002C4268">
      <w:pPr>
        <w:pStyle w:val="Heading2"/>
        <w:spacing w:before="52"/>
        <w:ind w:left="591" w:firstLine="0"/>
      </w:pPr>
      <w:r>
        <w:t>National Hospital for Neurology and Neurosurgery</w:t>
      </w:r>
    </w:p>
    <w:p w14:paraId="29638596" w14:textId="77777777" w:rsidR="007F6DF7" w:rsidRDefault="007F6DF7">
      <w:pPr>
        <w:pStyle w:val="BodyText"/>
        <w:spacing w:after="1"/>
        <w:rPr>
          <w:b/>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1"/>
        <w:gridCol w:w="4371"/>
      </w:tblGrid>
      <w:tr w:rsidR="007F6DF7" w14:paraId="3B7B7CEF" w14:textId="77777777">
        <w:trPr>
          <w:trHeight w:val="1610"/>
        </w:trPr>
        <w:tc>
          <w:tcPr>
            <w:tcW w:w="4371" w:type="dxa"/>
          </w:tcPr>
          <w:p w14:paraId="6A08815D" w14:textId="77777777" w:rsidR="007F6DF7" w:rsidRDefault="002C4268">
            <w:pPr>
              <w:pStyle w:val="TableParagraph"/>
              <w:ind w:left="108" w:right="310"/>
            </w:pPr>
            <w:r>
              <w:rPr>
                <w:b/>
              </w:rPr>
              <w:t xml:space="preserve">The National Tourette’s Syndrome Service </w:t>
            </w:r>
            <w:r>
              <w:t>Box 19, The National Hospital for Neurology and Neurosurgery</w:t>
            </w:r>
          </w:p>
          <w:p w14:paraId="6357BDA0" w14:textId="77777777" w:rsidR="007F6DF7" w:rsidRDefault="002C4268">
            <w:pPr>
              <w:pStyle w:val="TableParagraph"/>
              <w:ind w:left="108" w:right="2525"/>
            </w:pPr>
            <w:r>
              <w:t>Queen Square London WC1N 3BG</w:t>
            </w:r>
          </w:p>
        </w:tc>
        <w:tc>
          <w:tcPr>
            <w:tcW w:w="4371" w:type="dxa"/>
          </w:tcPr>
          <w:p w14:paraId="38129218" w14:textId="77777777" w:rsidR="007F6DF7" w:rsidRDefault="002C4268">
            <w:pPr>
              <w:pStyle w:val="TableParagraph"/>
              <w:spacing w:line="268" w:lineRule="exact"/>
              <w:ind w:left="108"/>
            </w:pPr>
            <w:r>
              <w:t>Tel: 0203 448 3524</w:t>
            </w:r>
          </w:p>
        </w:tc>
      </w:tr>
    </w:tbl>
    <w:p w14:paraId="0B74AAFA" w14:textId="77777777" w:rsidR="007F6DF7" w:rsidRDefault="007F6DF7">
      <w:pPr>
        <w:pStyle w:val="BodyText"/>
        <w:rPr>
          <w:b/>
          <w:sz w:val="24"/>
        </w:rPr>
      </w:pPr>
    </w:p>
    <w:p w14:paraId="15CFFD9B" w14:textId="77777777" w:rsidR="007F6DF7" w:rsidRDefault="002C4268">
      <w:pPr>
        <w:pStyle w:val="Heading2"/>
        <w:spacing w:before="189"/>
        <w:ind w:left="733" w:firstLine="0"/>
      </w:pPr>
      <w:r>
        <w:t>North London Partners Specialist Perinatal Mental Health Service</w:t>
      </w:r>
    </w:p>
    <w:p w14:paraId="6740F368" w14:textId="77777777" w:rsidR="007F6DF7" w:rsidRDefault="007F6DF7">
      <w:pPr>
        <w:pStyle w:val="BodyText"/>
        <w:spacing w:before="11"/>
        <w:rPr>
          <w:b/>
          <w:sz w:val="19"/>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2"/>
        <w:gridCol w:w="4662"/>
      </w:tblGrid>
      <w:tr w:rsidR="007F6DF7" w14:paraId="1DDF37C5" w14:textId="77777777">
        <w:trPr>
          <w:trHeight w:val="3890"/>
        </w:trPr>
        <w:tc>
          <w:tcPr>
            <w:tcW w:w="4662" w:type="dxa"/>
          </w:tcPr>
          <w:p w14:paraId="41C6BD4A" w14:textId="77777777" w:rsidR="007F6DF7" w:rsidRDefault="00A06B9E">
            <w:pPr>
              <w:pStyle w:val="TableParagraph"/>
              <w:spacing w:before="1"/>
              <w:ind w:left="108"/>
            </w:pPr>
            <w:hyperlink r:id="rId87">
              <w:r w:rsidR="002C4268">
                <w:rPr>
                  <w:color w:val="0000FF"/>
                  <w:u w:val="single" w:color="0000FF"/>
                </w:rPr>
                <w:t>NCL.perinatal@candi.nhs.uk</w:t>
              </w:r>
            </w:hyperlink>
          </w:p>
          <w:p w14:paraId="005897EE" w14:textId="77777777" w:rsidR="007F6DF7" w:rsidRDefault="007F6DF7">
            <w:pPr>
              <w:pStyle w:val="TableParagraph"/>
              <w:spacing w:before="8"/>
              <w:rPr>
                <w:b/>
                <w:sz w:val="19"/>
              </w:rPr>
            </w:pPr>
          </w:p>
          <w:p w14:paraId="61C922FB" w14:textId="77777777" w:rsidR="007F6DF7" w:rsidRDefault="002C4268">
            <w:pPr>
              <w:pStyle w:val="TableParagraph"/>
              <w:spacing w:before="1" w:line="276" w:lineRule="auto"/>
              <w:ind w:left="108" w:right="149"/>
            </w:pPr>
            <w:r>
              <w:t>East Team (Enfield &amp; Haringey): Forest Road Primary Care Centre, Ground Floor, 308A Hertford Road, London, N9 7HD</w:t>
            </w:r>
          </w:p>
          <w:p w14:paraId="7C4FE6C0" w14:textId="77777777" w:rsidR="007F6DF7" w:rsidRDefault="007F6DF7">
            <w:pPr>
              <w:pStyle w:val="TableParagraph"/>
              <w:spacing w:before="3"/>
              <w:rPr>
                <w:b/>
                <w:sz w:val="16"/>
              </w:rPr>
            </w:pPr>
          </w:p>
          <w:p w14:paraId="20544DBC" w14:textId="77777777" w:rsidR="007F6DF7" w:rsidRDefault="002C4268">
            <w:pPr>
              <w:pStyle w:val="TableParagraph"/>
              <w:spacing w:line="276" w:lineRule="auto"/>
              <w:ind w:left="108" w:right="149"/>
            </w:pPr>
            <w:r>
              <w:t>West Team (Barnet): Cedar Place, North London Partners NHS, 890 High Road, North Finchley, N12 9RH</w:t>
            </w:r>
          </w:p>
          <w:p w14:paraId="5D36F40C" w14:textId="77777777" w:rsidR="007F6DF7" w:rsidRDefault="007F6DF7">
            <w:pPr>
              <w:pStyle w:val="TableParagraph"/>
              <w:spacing w:before="4"/>
              <w:rPr>
                <w:b/>
                <w:sz w:val="16"/>
              </w:rPr>
            </w:pPr>
          </w:p>
          <w:p w14:paraId="203D4687" w14:textId="77777777" w:rsidR="007F6DF7" w:rsidRDefault="002C4268">
            <w:pPr>
              <w:pStyle w:val="TableParagraph"/>
              <w:spacing w:line="276" w:lineRule="auto"/>
              <w:ind w:left="108" w:right="149"/>
            </w:pPr>
            <w:r>
              <w:t>South Team (Camden and Islington): Bloomsbury Building or 3rd floor East wing, St Pancras Hospital, London, NW1 0PE</w:t>
            </w:r>
          </w:p>
        </w:tc>
        <w:tc>
          <w:tcPr>
            <w:tcW w:w="4662" w:type="dxa"/>
          </w:tcPr>
          <w:p w14:paraId="69C77E89" w14:textId="77777777" w:rsidR="007F6DF7" w:rsidRDefault="007F6DF7">
            <w:pPr>
              <w:pStyle w:val="TableParagraph"/>
              <w:rPr>
                <w:b/>
              </w:rPr>
            </w:pPr>
          </w:p>
          <w:p w14:paraId="254E3147" w14:textId="77777777" w:rsidR="007F6DF7" w:rsidRDefault="007F6DF7">
            <w:pPr>
              <w:pStyle w:val="TableParagraph"/>
              <w:spacing w:before="9"/>
              <w:rPr>
                <w:b/>
                <w:sz w:val="19"/>
              </w:rPr>
            </w:pPr>
          </w:p>
          <w:p w14:paraId="43C52CA9" w14:textId="77777777" w:rsidR="007F6DF7" w:rsidRDefault="002C4268">
            <w:pPr>
              <w:pStyle w:val="TableParagraph"/>
              <w:spacing w:before="1"/>
              <w:ind w:left="110"/>
            </w:pPr>
            <w:r>
              <w:t>Tel: 020 3317</w:t>
            </w:r>
            <w:r>
              <w:rPr>
                <w:spacing w:val="-10"/>
              </w:rPr>
              <w:t xml:space="preserve"> </w:t>
            </w:r>
            <w:r>
              <w:t>7198</w:t>
            </w:r>
          </w:p>
          <w:p w14:paraId="7E4F2E40" w14:textId="77777777" w:rsidR="007F6DF7" w:rsidRDefault="007F6DF7">
            <w:pPr>
              <w:pStyle w:val="TableParagraph"/>
              <w:rPr>
                <w:b/>
              </w:rPr>
            </w:pPr>
          </w:p>
          <w:p w14:paraId="3EAE4BCE" w14:textId="77777777" w:rsidR="007F6DF7" w:rsidRDefault="007F6DF7">
            <w:pPr>
              <w:pStyle w:val="TableParagraph"/>
              <w:rPr>
                <w:b/>
              </w:rPr>
            </w:pPr>
          </w:p>
          <w:p w14:paraId="3F9EEFBC" w14:textId="77777777" w:rsidR="007F6DF7" w:rsidRDefault="007F6DF7">
            <w:pPr>
              <w:pStyle w:val="TableParagraph"/>
              <w:spacing w:before="4"/>
              <w:rPr>
                <w:b/>
                <w:sz w:val="17"/>
              </w:rPr>
            </w:pPr>
          </w:p>
          <w:p w14:paraId="4F5FC73A" w14:textId="77777777" w:rsidR="007F6DF7" w:rsidRDefault="002C4268">
            <w:pPr>
              <w:pStyle w:val="TableParagraph"/>
              <w:ind w:left="110"/>
            </w:pPr>
            <w:r>
              <w:t>Tel: 020 3317</w:t>
            </w:r>
            <w:r>
              <w:rPr>
                <w:spacing w:val="-10"/>
              </w:rPr>
              <w:t xml:space="preserve"> </w:t>
            </w:r>
            <w:r>
              <w:t>7001</w:t>
            </w:r>
          </w:p>
          <w:p w14:paraId="286AE44C" w14:textId="77777777" w:rsidR="007F6DF7" w:rsidRDefault="007F6DF7">
            <w:pPr>
              <w:pStyle w:val="TableParagraph"/>
              <w:rPr>
                <w:b/>
              </w:rPr>
            </w:pPr>
          </w:p>
          <w:p w14:paraId="27C5047D" w14:textId="77777777" w:rsidR="007F6DF7" w:rsidRDefault="007F6DF7">
            <w:pPr>
              <w:pStyle w:val="TableParagraph"/>
              <w:rPr>
                <w:b/>
              </w:rPr>
            </w:pPr>
          </w:p>
          <w:p w14:paraId="4C49F0D2" w14:textId="77777777" w:rsidR="007F6DF7" w:rsidRDefault="007F6DF7">
            <w:pPr>
              <w:pStyle w:val="TableParagraph"/>
              <w:spacing w:before="4"/>
              <w:rPr>
                <w:b/>
                <w:sz w:val="17"/>
              </w:rPr>
            </w:pPr>
          </w:p>
          <w:p w14:paraId="4BA89815" w14:textId="77777777" w:rsidR="007F6DF7" w:rsidRDefault="002C4268">
            <w:pPr>
              <w:pStyle w:val="TableParagraph"/>
              <w:ind w:left="110"/>
            </w:pPr>
            <w:r>
              <w:t>Tel: 020 3317</w:t>
            </w:r>
            <w:r>
              <w:rPr>
                <w:spacing w:val="-10"/>
              </w:rPr>
              <w:t xml:space="preserve"> </w:t>
            </w:r>
            <w:r>
              <w:t>7114</w:t>
            </w:r>
          </w:p>
        </w:tc>
      </w:tr>
    </w:tbl>
    <w:p w14:paraId="176B47C0" w14:textId="77777777" w:rsidR="007F6DF7" w:rsidRDefault="007F6DF7">
      <w:pPr>
        <w:pStyle w:val="BodyText"/>
        <w:rPr>
          <w:b/>
          <w:sz w:val="24"/>
        </w:rPr>
      </w:pPr>
    </w:p>
    <w:p w14:paraId="09AC59A9" w14:textId="77777777" w:rsidR="007F6DF7" w:rsidRDefault="002C4268">
      <w:pPr>
        <w:spacing w:before="188" w:line="273" w:lineRule="auto"/>
        <w:ind w:left="733" w:right="1078"/>
        <w:rPr>
          <w:sz w:val="20"/>
        </w:rPr>
      </w:pPr>
      <w:r>
        <w:rPr>
          <w:sz w:val="20"/>
        </w:rPr>
        <w:t xml:space="preserve">This document represents only </w:t>
      </w:r>
      <w:proofErr w:type="gramStart"/>
      <w:r>
        <w:rPr>
          <w:sz w:val="20"/>
        </w:rPr>
        <w:t>a brief summary</w:t>
      </w:r>
      <w:proofErr w:type="gramEnd"/>
      <w:r>
        <w:rPr>
          <w:sz w:val="20"/>
        </w:rPr>
        <w:t xml:space="preserve"> and is as accurate as possible. Always refer to the Adult ADHD Clinic for further information.</w:t>
      </w:r>
    </w:p>
    <w:p w14:paraId="33F851C2" w14:textId="77777777" w:rsidR="007F6DF7" w:rsidRDefault="007F6DF7">
      <w:pPr>
        <w:spacing w:line="273" w:lineRule="auto"/>
        <w:rPr>
          <w:sz w:val="20"/>
        </w:rPr>
        <w:sectPr w:rsidR="007F6DF7">
          <w:headerReference w:type="default" r:id="rId88"/>
          <w:footerReference w:type="default" r:id="rId89"/>
          <w:pgSz w:w="11910" w:h="16840"/>
          <w:pgMar w:top="1120" w:right="720" w:bottom="1780" w:left="400" w:header="0" w:footer="1595" w:gutter="0"/>
          <w:pgNumType w:start="24"/>
          <w:cols w:space="720"/>
        </w:sectPr>
      </w:pPr>
    </w:p>
    <w:p w14:paraId="58653D24" w14:textId="77777777" w:rsidR="007F6DF7" w:rsidRDefault="002C4268">
      <w:pPr>
        <w:spacing w:before="16"/>
        <w:ind w:left="733"/>
        <w:rPr>
          <w:b/>
          <w:sz w:val="28"/>
        </w:rPr>
      </w:pPr>
      <w:r>
        <w:rPr>
          <w:b/>
          <w:sz w:val="28"/>
        </w:rPr>
        <w:lastRenderedPageBreak/>
        <w:t xml:space="preserve">Document </w:t>
      </w:r>
      <w:proofErr w:type="gramStart"/>
      <w:r>
        <w:rPr>
          <w:b/>
          <w:sz w:val="28"/>
        </w:rPr>
        <w:t>control</w:t>
      </w:r>
      <w:proofErr w:type="gramEnd"/>
    </w:p>
    <w:p w14:paraId="3EE77AB9" w14:textId="77777777" w:rsidR="007F6DF7" w:rsidRDefault="007F6DF7">
      <w:pPr>
        <w:pStyle w:val="BodyText"/>
        <w:spacing w:before="10"/>
        <w:rPr>
          <w:b/>
          <w:sz w:val="9"/>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
        <w:gridCol w:w="850"/>
        <w:gridCol w:w="7550"/>
      </w:tblGrid>
      <w:tr w:rsidR="007F6DF7" w14:paraId="10A2DC2D" w14:textId="77777777" w:rsidTr="008D632C">
        <w:trPr>
          <w:trHeight w:val="364"/>
        </w:trPr>
        <w:tc>
          <w:tcPr>
            <w:tcW w:w="925" w:type="dxa"/>
            <w:shd w:val="clear" w:color="auto" w:fill="BEBEBE"/>
          </w:tcPr>
          <w:p w14:paraId="515BF395" w14:textId="77777777" w:rsidR="007F6DF7" w:rsidRDefault="002C4268">
            <w:pPr>
              <w:pStyle w:val="TableParagraph"/>
              <w:spacing w:before="61"/>
              <w:ind w:left="108"/>
              <w:rPr>
                <w:b/>
                <w:sz w:val="20"/>
              </w:rPr>
            </w:pPr>
            <w:r>
              <w:rPr>
                <w:b/>
                <w:sz w:val="20"/>
              </w:rPr>
              <w:t>Date</w:t>
            </w:r>
          </w:p>
        </w:tc>
        <w:tc>
          <w:tcPr>
            <w:tcW w:w="850" w:type="dxa"/>
            <w:shd w:val="clear" w:color="auto" w:fill="BEBEBE"/>
          </w:tcPr>
          <w:p w14:paraId="4F9C75F1" w14:textId="77777777" w:rsidR="007F6DF7" w:rsidRDefault="002C4268">
            <w:pPr>
              <w:pStyle w:val="TableParagraph"/>
              <w:spacing w:before="61"/>
              <w:ind w:left="107"/>
              <w:rPr>
                <w:b/>
                <w:sz w:val="20"/>
              </w:rPr>
            </w:pPr>
            <w:r>
              <w:rPr>
                <w:b/>
                <w:sz w:val="20"/>
              </w:rPr>
              <w:t>Version</w:t>
            </w:r>
          </w:p>
        </w:tc>
        <w:tc>
          <w:tcPr>
            <w:tcW w:w="7550" w:type="dxa"/>
            <w:shd w:val="clear" w:color="auto" w:fill="BEBEBE"/>
          </w:tcPr>
          <w:p w14:paraId="40657E16" w14:textId="77777777" w:rsidR="007F6DF7" w:rsidRDefault="002C4268">
            <w:pPr>
              <w:pStyle w:val="TableParagraph"/>
              <w:spacing w:before="61"/>
              <w:ind w:left="109"/>
              <w:rPr>
                <w:b/>
                <w:sz w:val="20"/>
              </w:rPr>
            </w:pPr>
            <w:r>
              <w:rPr>
                <w:b/>
                <w:sz w:val="20"/>
              </w:rPr>
              <w:t>Amendments</w:t>
            </w:r>
          </w:p>
        </w:tc>
      </w:tr>
      <w:tr w:rsidR="007F6DF7" w14:paraId="3609B679" w14:textId="77777777" w:rsidTr="008D632C">
        <w:trPr>
          <w:trHeight w:val="606"/>
        </w:trPr>
        <w:tc>
          <w:tcPr>
            <w:tcW w:w="925" w:type="dxa"/>
          </w:tcPr>
          <w:p w14:paraId="52E55714" w14:textId="52941200" w:rsidR="007F6DF7" w:rsidRDefault="002C4268">
            <w:pPr>
              <w:pStyle w:val="TableParagraph"/>
              <w:spacing w:before="61"/>
              <w:ind w:left="108"/>
              <w:rPr>
                <w:sz w:val="20"/>
              </w:rPr>
            </w:pPr>
            <w:r>
              <w:rPr>
                <w:sz w:val="20"/>
              </w:rPr>
              <w:t>Ma</w:t>
            </w:r>
            <w:r w:rsidR="003F2A64">
              <w:rPr>
                <w:sz w:val="20"/>
              </w:rPr>
              <w:t>r</w:t>
            </w:r>
            <w:r>
              <w:rPr>
                <w:sz w:val="20"/>
              </w:rPr>
              <w:t xml:space="preserve"> 2018</w:t>
            </w:r>
          </w:p>
        </w:tc>
        <w:tc>
          <w:tcPr>
            <w:tcW w:w="850" w:type="dxa"/>
          </w:tcPr>
          <w:p w14:paraId="434A84F7" w14:textId="77777777" w:rsidR="007F6DF7" w:rsidRDefault="002C4268">
            <w:pPr>
              <w:pStyle w:val="TableParagraph"/>
              <w:spacing w:before="61"/>
              <w:ind w:left="107"/>
              <w:rPr>
                <w:sz w:val="20"/>
              </w:rPr>
            </w:pPr>
            <w:r>
              <w:rPr>
                <w:sz w:val="20"/>
              </w:rPr>
              <w:t>V1</w:t>
            </w:r>
          </w:p>
        </w:tc>
        <w:tc>
          <w:tcPr>
            <w:tcW w:w="7550" w:type="dxa"/>
          </w:tcPr>
          <w:p w14:paraId="1CDBC462" w14:textId="77777777" w:rsidR="007F6DF7" w:rsidRDefault="002C4268">
            <w:pPr>
              <w:pStyle w:val="TableParagraph"/>
              <w:spacing w:before="61"/>
              <w:ind w:left="109"/>
              <w:rPr>
                <w:sz w:val="20"/>
              </w:rPr>
            </w:pPr>
            <w:r>
              <w:rPr>
                <w:sz w:val="20"/>
              </w:rPr>
              <w:t>Share Care produced by Camden &amp; Islington MH Trust and Barnet, Enfield &amp; Haringey MH Trust</w:t>
            </w:r>
          </w:p>
        </w:tc>
      </w:tr>
      <w:tr w:rsidR="007F6DF7" w14:paraId="3FB231B6" w14:textId="77777777" w:rsidTr="008D632C">
        <w:trPr>
          <w:trHeight w:val="364"/>
        </w:trPr>
        <w:tc>
          <w:tcPr>
            <w:tcW w:w="925" w:type="dxa"/>
          </w:tcPr>
          <w:p w14:paraId="2DAA15C0" w14:textId="15837753" w:rsidR="007F6DF7" w:rsidRDefault="002C4268">
            <w:pPr>
              <w:pStyle w:val="TableParagraph"/>
              <w:spacing w:before="63"/>
              <w:ind w:left="108"/>
              <w:rPr>
                <w:sz w:val="20"/>
              </w:rPr>
            </w:pPr>
            <w:r>
              <w:rPr>
                <w:sz w:val="20"/>
              </w:rPr>
              <w:t>Jun 2018</w:t>
            </w:r>
          </w:p>
        </w:tc>
        <w:tc>
          <w:tcPr>
            <w:tcW w:w="850" w:type="dxa"/>
          </w:tcPr>
          <w:p w14:paraId="71113FC3" w14:textId="77777777" w:rsidR="007F6DF7" w:rsidRDefault="002C4268">
            <w:pPr>
              <w:pStyle w:val="TableParagraph"/>
              <w:spacing w:before="63"/>
              <w:ind w:left="107"/>
              <w:rPr>
                <w:sz w:val="20"/>
              </w:rPr>
            </w:pPr>
            <w:r>
              <w:rPr>
                <w:sz w:val="20"/>
              </w:rPr>
              <w:t>V1.1</w:t>
            </w:r>
          </w:p>
        </w:tc>
        <w:tc>
          <w:tcPr>
            <w:tcW w:w="7550" w:type="dxa"/>
          </w:tcPr>
          <w:p w14:paraId="3DC813F3" w14:textId="77777777" w:rsidR="007F6DF7" w:rsidRDefault="002C4268">
            <w:pPr>
              <w:pStyle w:val="TableParagraph"/>
              <w:spacing w:before="63"/>
              <w:ind w:left="109"/>
              <w:rPr>
                <w:sz w:val="20"/>
              </w:rPr>
            </w:pPr>
            <w:r>
              <w:rPr>
                <w:sz w:val="20"/>
              </w:rPr>
              <w:t>Replaced “CIFT MEH” with “C&amp;I FT” (approved by Share Care Group Chair)</w:t>
            </w:r>
          </w:p>
        </w:tc>
      </w:tr>
      <w:tr w:rsidR="007F6DF7" w14:paraId="44F9ABC4" w14:textId="77777777" w:rsidTr="008D632C">
        <w:trPr>
          <w:trHeight w:val="1461"/>
        </w:trPr>
        <w:tc>
          <w:tcPr>
            <w:tcW w:w="925" w:type="dxa"/>
          </w:tcPr>
          <w:p w14:paraId="3229E431" w14:textId="6AA03741" w:rsidR="007F6DF7" w:rsidRDefault="002C4268">
            <w:pPr>
              <w:pStyle w:val="TableParagraph"/>
              <w:spacing w:before="61"/>
              <w:ind w:left="108"/>
              <w:rPr>
                <w:sz w:val="20"/>
              </w:rPr>
            </w:pPr>
            <w:r>
              <w:rPr>
                <w:sz w:val="20"/>
              </w:rPr>
              <w:t>Mar 2019</w:t>
            </w:r>
          </w:p>
        </w:tc>
        <w:tc>
          <w:tcPr>
            <w:tcW w:w="850" w:type="dxa"/>
          </w:tcPr>
          <w:p w14:paraId="0C23F3CF" w14:textId="77777777" w:rsidR="007F6DF7" w:rsidRDefault="002C4268">
            <w:pPr>
              <w:pStyle w:val="TableParagraph"/>
              <w:spacing w:before="61"/>
              <w:ind w:left="107"/>
              <w:rPr>
                <w:sz w:val="20"/>
              </w:rPr>
            </w:pPr>
            <w:r>
              <w:rPr>
                <w:sz w:val="20"/>
              </w:rPr>
              <w:t>V1.2</w:t>
            </w:r>
          </w:p>
        </w:tc>
        <w:tc>
          <w:tcPr>
            <w:tcW w:w="7550" w:type="dxa"/>
          </w:tcPr>
          <w:p w14:paraId="5A4D1507" w14:textId="77777777" w:rsidR="007F6DF7" w:rsidRDefault="002C4268">
            <w:pPr>
              <w:pStyle w:val="TableParagraph"/>
              <w:spacing w:before="61"/>
              <w:ind w:left="109"/>
              <w:rPr>
                <w:sz w:val="20"/>
              </w:rPr>
            </w:pPr>
            <w:r>
              <w:rPr>
                <w:sz w:val="20"/>
              </w:rPr>
              <w:t xml:space="preserve">Monitoring section updated following NICE </w:t>
            </w:r>
            <w:proofErr w:type="gramStart"/>
            <w:r>
              <w:rPr>
                <w:sz w:val="20"/>
              </w:rPr>
              <w:t>guidance</w:t>
            </w:r>
            <w:proofErr w:type="gramEnd"/>
          </w:p>
          <w:p w14:paraId="5A2C9CA9" w14:textId="77777777" w:rsidR="007F6DF7" w:rsidRDefault="002C4268">
            <w:pPr>
              <w:pStyle w:val="TableParagraph"/>
              <w:spacing w:before="61"/>
              <w:ind w:left="109" w:right="90"/>
              <w:rPr>
                <w:sz w:val="20"/>
              </w:rPr>
            </w:pPr>
            <w:r>
              <w:rPr>
                <w:sz w:val="20"/>
              </w:rPr>
              <w:t xml:space="preserve">Order of medications changed as </w:t>
            </w:r>
            <w:proofErr w:type="spellStart"/>
            <w:r>
              <w:rPr>
                <w:sz w:val="20"/>
              </w:rPr>
              <w:t>lisdexamfetamine</w:t>
            </w:r>
            <w:proofErr w:type="spellEnd"/>
            <w:r>
              <w:rPr>
                <w:sz w:val="20"/>
              </w:rPr>
              <w:t xml:space="preserve"> now considered first-line choice of </w:t>
            </w:r>
            <w:proofErr w:type="gramStart"/>
            <w:r>
              <w:rPr>
                <w:sz w:val="20"/>
              </w:rPr>
              <w:t>therapy</w:t>
            </w:r>
            <w:proofErr w:type="gramEnd"/>
          </w:p>
          <w:p w14:paraId="7C82E78B" w14:textId="77777777" w:rsidR="007F6DF7" w:rsidRDefault="002C4268">
            <w:pPr>
              <w:pStyle w:val="TableParagraph"/>
              <w:spacing w:before="59"/>
              <w:ind w:left="109" w:right="90"/>
              <w:rPr>
                <w:sz w:val="20"/>
              </w:rPr>
            </w:pPr>
            <w:r>
              <w:rPr>
                <w:sz w:val="20"/>
              </w:rPr>
              <w:t>Tourette’s clinic information added (as they review and prescribe medications for ADHD patients)</w:t>
            </w:r>
          </w:p>
        </w:tc>
      </w:tr>
      <w:tr w:rsidR="007F6DF7" w14:paraId="24675CE3" w14:textId="77777777" w:rsidTr="008D632C">
        <w:trPr>
          <w:trHeight w:val="367"/>
        </w:trPr>
        <w:tc>
          <w:tcPr>
            <w:tcW w:w="925" w:type="dxa"/>
          </w:tcPr>
          <w:p w14:paraId="393F6A2D" w14:textId="7B2A6589" w:rsidR="007F6DF7" w:rsidRDefault="002C4268">
            <w:pPr>
              <w:pStyle w:val="TableParagraph"/>
              <w:spacing w:before="61"/>
              <w:ind w:left="108"/>
              <w:rPr>
                <w:sz w:val="20"/>
              </w:rPr>
            </w:pPr>
            <w:r>
              <w:rPr>
                <w:w w:val="95"/>
                <w:sz w:val="20"/>
              </w:rPr>
              <w:t>Sep</w:t>
            </w:r>
            <w:r w:rsidR="003F2A64">
              <w:rPr>
                <w:w w:val="95"/>
                <w:sz w:val="20"/>
              </w:rPr>
              <w:t xml:space="preserve"> </w:t>
            </w:r>
            <w:r>
              <w:rPr>
                <w:sz w:val="20"/>
              </w:rPr>
              <w:t>2020</w:t>
            </w:r>
          </w:p>
        </w:tc>
        <w:tc>
          <w:tcPr>
            <w:tcW w:w="850" w:type="dxa"/>
          </w:tcPr>
          <w:p w14:paraId="50D9105F" w14:textId="77777777" w:rsidR="007F6DF7" w:rsidRDefault="002C4268">
            <w:pPr>
              <w:pStyle w:val="TableParagraph"/>
              <w:spacing w:before="61"/>
              <w:ind w:left="107"/>
              <w:rPr>
                <w:sz w:val="20"/>
              </w:rPr>
            </w:pPr>
            <w:r>
              <w:rPr>
                <w:sz w:val="20"/>
              </w:rPr>
              <w:t>V1.3</w:t>
            </w:r>
          </w:p>
        </w:tc>
        <w:tc>
          <w:tcPr>
            <w:tcW w:w="7550" w:type="dxa"/>
          </w:tcPr>
          <w:p w14:paraId="3255E60D" w14:textId="77777777" w:rsidR="007F6DF7" w:rsidRDefault="002C4268">
            <w:pPr>
              <w:pStyle w:val="TableParagraph"/>
              <w:spacing w:before="61"/>
              <w:ind w:left="109"/>
              <w:rPr>
                <w:sz w:val="20"/>
              </w:rPr>
            </w:pPr>
            <w:r>
              <w:rPr>
                <w:sz w:val="20"/>
              </w:rPr>
              <w:t>Updated to reflect licensing status of methylphenidate MR products</w:t>
            </w:r>
          </w:p>
        </w:tc>
      </w:tr>
      <w:tr w:rsidR="007F6DF7" w14:paraId="528F12A2" w14:textId="77777777" w:rsidTr="008D632C">
        <w:trPr>
          <w:trHeight w:val="3837"/>
        </w:trPr>
        <w:tc>
          <w:tcPr>
            <w:tcW w:w="925" w:type="dxa"/>
          </w:tcPr>
          <w:p w14:paraId="2C6333FA" w14:textId="248642B7" w:rsidR="007F6DF7" w:rsidRDefault="003A2310">
            <w:pPr>
              <w:pStyle w:val="TableParagraph"/>
              <w:spacing w:before="61"/>
              <w:ind w:left="108"/>
              <w:rPr>
                <w:sz w:val="20"/>
              </w:rPr>
            </w:pPr>
            <w:r>
              <w:rPr>
                <w:sz w:val="20"/>
              </w:rPr>
              <w:t>Jul 2024</w:t>
            </w:r>
          </w:p>
        </w:tc>
        <w:tc>
          <w:tcPr>
            <w:tcW w:w="850" w:type="dxa"/>
          </w:tcPr>
          <w:p w14:paraId="74CDCA8B" w14:textId="77777777" w:rsidR="007F6DF7" w:rsidRDefault="002C4268">
            <w:pPr>
              <w:pStyle w:val="TableParagraph"/>
              <w:spacing w:before="61"/>
              <w:ind w:left="107"/>
              <w:rPr>
                <w:sz w:val="20"/>
              </w:rPr>
            </w:pPr>
            <w:r>
              <w:rPr>
                <w:sz w:val="20"/>
              </w:rPr>
              <w:t>V1.4</w:t>
            </w:r>
          </w:p>
        </w:tc>
        <w:tc>
          <w:tcPr>
            <w:tcW w:w="7550" w:type="dxa"/>
          </w:tcPr>
          <w:p w14:paraId="15E036B4" w14:textId="77777777" w:rsidR="007F6DF7" w:rsidRDefault="002C4268" w:rsidP="008D632C">
            <w:pPr>
              <w:pStyle w:val="TableParagraph"/>
              <w:spacing w:before="61"/>
              <w:ind w:left="109" w:right="94"/>
              <w:rPr>
                <w:sz w:val="20"/>
              </w:rPr>
            </w:pPr>
            <w:r>
              <w:rPr>
                <w:sz w:val="20"/>
              </w:rPr>
              <w:t>Routine update led by Camden and Islington MH trust supported by NHS North Central London Integrated Care Board (NCL</w:t>
            </w:r>
            <w:r>
              <w:rPr>
                <w:spacing w:val="3"/>
                <w:sz w:val="20"/>
              </w:rPr>
              <w:t xml:space="preserve"> </w:t>
            </w:r>
            <w:r>
              <w:rPr>
                <w:sz w:val="20"/>
              </w:rPr>
              <w:t>ICB):</w:t>
            </w:r>
          </w:p>
          <w:p w14:paraId="559F42C6" w14:textId="77777777" w:rsidR="007F6DF7" w:rsidRDefault="002C4268" w:rsidP="008D632C">
            <w:pPr>
              <w:pStyle w:val="TableParagraph"/>
              <w:spacing w:before="59"/>
              <w:ind w:left="109" w:right="95"/>
              <w:rPr>
                <w:sz w:val="20"/>
              </w:rPr>
            </w:pPr>
            <w:r>
              <w:rPr>
                <w:sz w:val="20"/>
              </w:rPr>
              <w:t xml:space="preserve">Update of: Template V1.4; Dose and administration; cautions; contraindications; interactions; adverse effects; baseline investigations; dose and administration; Specialist, patient and GP responsibilities; contact </w:t>
            </w:r>
            <w:proofErr w:type="gramStart"/>
            <w:r>
              <w:rPr>
                <w:sz w:val="20"/>
              </w:rPr>
              <w:t>details</w:t>
            </w:r>
            <w:proofErr w:type="gramEnd"/>
          </w:p>
          <w:p w14:paraId="59D18649" w14:textId="77777777" w:rsidR="007F6DF7" w:rsidRDefault="002C4268" w:rsidP="008D632C">
            <w:pPr>
              <w:pStyle w:val="TableParagraph"/>
              <w:spacing w:before="62"/>
              <w:ind w:left="109"/>
              <w:rPr>
                <w:sz w:val="20"/>
              </w:rPr>
            </w:pPr>
            <w:r>
              <w:rPr>
                <w:sz w:val="20"/>
              </w:rPr>
              <w:t>Addition of:</w:t>
            </w:r>
          </w:p>
          <w:p w14:paraId="56198EFC" w14:textId="77777777" w:rsidR="007F6DF7" w:rsidRDefault="002C4268" w:rsidP="008D632C">
            <w:pPr>
              <w:pStyle w:val="TableParagraph"/>
              <w:spacing w:before="58"/>
              <w:ind w:left="109" w:right="98"/>
              <w:rPr>
                <w:sz w:val="20"/>
              </w:rPr>
            </w:pPr>
            <w:r>
              <w:rPr>
                <w:sz w:val="20"/>
              </w:rPr>
              <w:t xml:space="preserve">Pregnancy, paternal exposure and breastfeeding information; guanfacine, combination, and other treatments; CAMHS transition to </w:t>
            </w:r>
            <w:proofErr w:type="gramStart"/>
            <w:r>
              <w:rPr>
                <w:sz w:val="20"/>
              </w:rPr>
              <w:t>Adult</w:t>
            </w:r>
            <w:proofErr w:type="gramEnd"/>
            <w:r>
              <w:rPr>
                <w:sz w:val="20"/>
              </w:rPr>
              <w:t xml:space="preserve"> services;</w:t>
            </w:r>
          </w:p>
          <w:p w14:paraId="00ADCDB0" w14:textId="0D0C7E95" w:rsidR="007F6DF7" w:rsidRDefault="002C4268" w:rsidP="008D632C">
            <w:pPr>
              <w:pStyle w:val="TableParagraph"/>
              <w:tabs>
                <w:tab w:val="left" w:pos="5151"/>
                <w:tab w:val="left" w:pos="6242"/>
              </w:tabs>
              <w:spacing w:before="58"/>
              <w:ind w:left="109" w:right="97"/>
              <w:rPr>
                <w:sz w:val="20"/>
              </w:rPr>
            </w:pPr>
            <w:r>
              <w:rPr>
                <w:sz w:val="20"/>
              </w:rPr>
              <w:t>MHRA. Drug Safety Update. Methylphenidate long-acting (modified-release) preparations: caution if switching between products due to differences in formulations; Adult ADHD: Additional information for prescribing in adults in primary care; ADHD: Patients right to choose care</w:t>
            </w:r>
            <w:r>
              <w:rPr>
                <w:spacing w:val="-12"/>
                <w:sz w:val="20"/>
              </w:rPr>
              <w:t xml:space="preserve"> </w:t>
            </w:r>
            <w:r>
              <w:rPr>
                <w:sz w:val="20"/>
              </w:rPr>
              <w:t>provider;</w:t>
            </w:r>
            <w:r>
              <w:rPr>
                <w:spacing w:val="-2"/>
                <w:sz w:val="20"/>
              </w:rPr>
              <w:t xml:space="preserve"> </w:t>
            </w:r>
            <w:r>
              <w:rPr>
                <w:sz w:val="20"/>
              </w:rPr>
              <w:t>3.</w:t>
            </w:r>
            <w:r w:rsidR="008D632C">
              <w:rPr>
                <w:sz w:val="20"/>
              </w:rPr>
              <w:t xml:space="preserve"> </w:t>
            </w:r>
            <w:r>
              <w:rPr>
                <w:sz w:val="20"/>
              </w:rPr>
              <w:t>NCL</w:t>
            </w:r>
            <w:r w:rsidR="008D632C">
              <w:rPr>
                <w:sz w:val="20"/>
              </w:rPr>
              <w:t xml:space="preserve"> </w:t>
            </w:r>
            <w:r>
              <w:rPr>
                <w:spacing w:val="-1"/>
                <w:sz w:val="20"/>
              </w:rPr>
              <w:t xml:space="preserve">Prescribing </w:t>
            </w:r>
            <w:r>
              <w:rPr>
                <w:sz w:val="20"/>
              </w:rPr>
              <w:t>Dilemmas – a guide for primary care</w:t>
            </w:r>
            <w:r>
              <w:rPr>
                <w:spacing w:val="-2"/>
                <w:sz w:val="20"/>
              </w:rPr>
              <w:t xml:space="preserve"> </w:t>
            </w:r>
            <w:r>
              <w:rPr>
                <w:sz w:val="20"/>
              </w:rPr>
              <w:t>prescribers.</w:t>
            </w:r>
          </w:p>
          <w:p w14:paraId="6D64E416" w14:textId="14255F94" w:rsidR="000B5561" w:rsidRDefault="009903A4" w:rsidP="008D632C">
            <w:pPr>
              <w:pStyle w:val="TableParagraph"/>
              <w:tabs>
                <w:tab w:val="left" w:pos="5151"/>
                <w:tab w:val="left" w:pos="6242"/>
              </w:tabs>
              <w:spacing w:before="58"/>
              <w:ind w:left="109" w:right="97"/>
              <w:rPr>
                <w:sz w:val="20"/>
              </w:rPr>
            </w:pPr>
            <w:r>
              <w:rPr>
                <w:sz w:val="20"/>
              </w:rPr>
              <w:t>R</w:t>
            </w:r>
            <w:r w:rsidR="003F2A64">
              <w:rPr>
                <w:sz w:val="20"/>
              </w:rPr>
              <w:t>eference to check for supply chain information about ADHD medicines.</w:t>
            </w:r>
          </w:p>
        </w:tc>
      </w:tr>
      <w:tr w:rsidR="007F6DF7" w14:paraId="5871DBF7" w14:textId="77777777">
        <w:trPr>
          <w:trHeight w:val="1765"/>
        </w:trPr>
        <w:tc>
          <w:tcPr>
            <w:tcW w:w="9325" w:type="dxa"/>
            <w:gridSpan w:val="3"/>
          </w:tcPr>
          <w:p w14:paraId="55CAA765" w14:textId="77777777" w:rsidR="007F6DF7" w:rsidRDefault="002C4268">
            <w:pPr>
              <w:pStyle w:val="TableParagraph"/>
              <w:spacing w:before="61"/>
              <w:ind w:left="108"/>
              <w:rPr>
                <w:sz w:val="20"/>
              </w:rPr>
            </w:pPr>
            <w:r>
              <w:rPr>
                <w:sz w:val="20"/>
              </w:rPr>
              <w:t>With thanks to the ADHD shared care working group:</w:t>
            </w:r>
          </w:p>
          <w:p w14:paraId="5A849FA9" w14:textId="77777777" w:rsidR="007F6DF7" w:rsidRDefault="002C4268">
            <w:pPr>
              <w:pStyle w:val="TableParagraph"/>
              <w:spacing w:before="61"/>
              <w:ind w:left="108"/>
              <w:rPr>
                <w:sz w:val="20"/>
              </w:rPr>
            </w:pPr>
            <w:r>
              <w:rPr>
                <w:sz w:val="20"/>
              </w:rPr>
              <w:t>David Rogalski, Lead Pharmacist, C&amp;I and Lead Author</w:t>
            </w:r>
          </w:p>
          <w:p w14:paraId="2CEE0BA9" w14:textId="77777777" w:rsidR="007F6DF7" w:rsidRDefault="002C4268">
            <w:pPr>
              <w:pStyle w:val="TableParagraph"/>
              <w:spacing w:before="58"/>
              <w:ind w:left="108"/>
              <w:rPr>
                <w:sz w:val="20"/>
              </w:rPr>
            </w:pPr>
            <w:r>
              <w:rPr>
                <w:sz w:val="20"/>
              </w:rPr>
              <w:t xml:space="preserve">E.Y. Cheung, Head of Medicines Quality and Improvement, Medicines </w:t>
            </w:r>
            <w:proofErr w:type="spellStart"/>
            <w:r>
              <w:rPr>
                <w:sz w:val="20"/>
              </w:rPr>
              <w:t>Optimisation</w:t>
            </w:r>
            <w:proofErr w:type="spellEnd"/>
            <w:r>
              <w:rPr>
                <w:sz w:val="20"/>
              </w:rPr>
              <w:t xml:space="preserve"> Team, NHS North Central London ICB.</w:t>
            </w:r>
          </w:p>
          <w:p w14:paraId="43421023" w14:textId="77777777" w:rsidR="007F6DF7" w:rsidRDefault="002C4268">
            <w:pPr>
              <w:pStyle w:val="TableParagraph"/>
              <w:spacing w:before="61"/>
              <w:ind w:left="108"/>
              <w:rPr>
                <w:sz w:val="20"/>
              </w:rPr>
            </w:pPr>
            <w:r>
              <w:rPr>
                <w:sz w:val="20"/>
              </w:rPr>
              <w:t xml:space="preserve">Jyoti Gupta, Senior Prescribing Adviser, Planning and Operations, Medicines </w:t>
            </w:r>
            <w:proofErr w:type="spellStart"/>
            <w:r>
              <w:rPr>
                <w:sz w:val="20"/>
              </w:rPr>
              <w:t>Optimisation</w:t>
            </w:r>
            <w:proofErr w:type="spellEnd"/>
            <w:r>
              <w:rPr>
                <w:sz w:val="20"/>
              </w:rPr>
              <w:t xml:space="preserve"> Team, NHS North Central London ICB.</w:t>
            </w:r>
          </w:p>
        </w:tc>
      </w:tr>
    </w:tbl>
    <w:p w14:paraId="231076FD" w14:textId="77777777" w:rsidR="007F6DF7" w:rsidRDefault="007F6DF7">
      <w:pPr>
        <w:pStyle w:val="BodyText"/>
        <w:spacing w:before="11"/>
        <w:rPr>
          <w:b/>
          <w:sz w:val="26"/>
        </w:rPr>
      </w:pP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3"/>
        <w:gridCol w:w="5281"/>
      </w:tblGrid>
      <w:tr w:rsidR="007F6DF7" w:rsidRPr="003A2310" w14:paraId="7916F6A2" w14:textId="77777777" w:rsidTr="008D632C">
        <w:trPr>
          <w:trHeight w:val="607"/>
        </w:trPr>
        <w:tc>
          <w:tcPr>
            <w:tcW w:w="4043" w:type="dxa"/>
          </w:tcPr>
          <w:p w14:paraId="49B17CBC" w14:textId="77777777" w:rsidR="007F6DF7" w:rsidRPr="003A2310" w:rsidRDefault="002C4268">
            <w:pPr>
              <w:pStyle w:val="TableParagraph"/>
              <w:spacing w:before="62"/>
              <w:ind w:left="108"/>
              <w:rPr>
                <w:sz w:val="20"/>
                <w:szCs w:val="20"/>
              </w:rPr>
            </w:pPr>
            <w:r w:rsidRPr="003A2310">
              <w:rPr>
                <w:sz w:val="20"/>
                <w:szCs w:val="20"/>
              </w:rPr>
              <w:t>Groups / Individuals who have overseen the development of this guidance:</w:t>
            </w:r>
          </w:p>
        </w:tc>
        <w:tc>
          <w:tcPr>
            <w:tcW w:w="5281" w:type="dxa"/>
          </w:tcPr>
          <w:p w14:paraId="59CE4F57" w14:textId="77777777" w:rsidR="007F6DF7" w:rsidRPr="003A2310" w:rsidRDefault="003A2310">
            <w:pPr>
              <w:pStyle w:val="TableParagraph"/>
              <w:rPr>
                <w:sz w:val="20"/>
                <w:szCs w:val="20"/>
              </w:rPr>
            </w:pPr>
            <w:r w:rsidRPr="003A2310">
              <w:rPr>
                <w:sz w:val="20"/>
                <w:szCs w:val="20"/>
              </w:rPr>
              <w:t xml:space="preserve"> NLMHP Clinical Team</w:t>
            </w:r>
          </w:p>
          <w:p w14:paraId="1704FD4C" w14:textId="77777777" w:rsidR="003A2310" w:rsidRPr="003A2310" w:rsidRDefault="003A2310">
            <w:pPr>
              <w:pStyle w:val="TableParagraph"/>
              <w:rPr>
                <w:sz w:val="20"/>
                <w:szCs w:val="20"/>
              </w:rPr>
            </w:pPr>
            <w:r w:rsidRPr="003A2310">
              <w:rPr>
                <w:sz w:val="20"/>
                <w:szCs w:val="20"/>
              </w:rPr>
              <w:t xml:space="preserve"> NCL ICB Medicines </w:t>
            </w:r>
            <w:proofErr w:type="spellStart"/>
            <w:r w:rsidRPr="003A2310">
              <w:rPr>
                <w:sz w:val="20"/>
                <w:szCs w:val="20"/>
              </w:rPr>
              <w:t>Optimisation</w:t>
            </w:r>
            <w:proofErr w:type="spellEnd"/>
            <w:r w:rsidRPr="003A2310">
              <w:rPr>
                <w:sz w:val="20"/>
                <w:szCs w:val="20"/>
              </w:rPr>
              <w:t xml:space="preserve"> team</w:t>
            </w:r>
          </w:p>
          <w:p w14:paraId="390B144F" w14:textId="4D41267E" w:rsidR="003A2310" w:rsidRPr="003A2310" w:rsidRDefault="003A2310">
            <w:pPr>
              <w:pStyle w:val="TableParagraph"/>
              <w:rPr>
                <w:sz w:val="20"/>
                <w:szCs w:val="20"/>
              </w:rPr>
            </w:pPr>
            <w:r w:rsidRPr="003A2310">
              <w:rPr>
                <w:sz w:val="20"/>
                <w:szCs w:val="20"/>
              </w:rPr>
              <w:t xml:space="preserve"> JFC Support Pharmacists</w:t>
            </w:r>
          </w:p>
        </w:tc>
      </w:tr>
      <w:tr w:rsidR="007F6DF7" w:rsidRPr="003A2310" w14:paraId="04C857B8" w14:textId="77777777" w:rsidTr="009903A4">
        <w:trPr>
          <w:trHeight w:val="370"/>
        </w:trPr>
        <w:tc>
          <w:tcPr>
            <w:tcW w:w="4043" w:type="dxa"/>
          </w:tcPr>
          <w:p w14:paraId="0100A030" w14:textId="78D05AB9" w:rsidR="007F6DF7" w:rsidRPr="003A2310" w:rsidRDefault="002C4268">
            <w:pPr>
              <w:pStyle w:val="TableParagraph"/>
              <w:spacing w:before="61"/>
              <w:ind w:left="108"/>
              <w:rPr>
                <w:sz w:val="20"/>
                <w:szCs w:val="20"/>
              </w:rPr>
            </w:pPr>
            <w:r w:rsidRPr="003A2310">
              <w:rPr>
                <w:sz w:val="20"/>
                <w:szCs w:val="20"/>
              </w:rPr>
              <w:t>Groups consulted and have given approval:</w:t>
            </w:r>
          </w:p>
        </w:tc>
        <w:tc>
          <w:tcPr>
            <w:tcW w:w="5281" w:type="dxa"/>
          </w:tcPr>
          <w:p w14:paraId="100E0451" w14:textId="1F44593E" w:rsidR="007F6DF7" w:rsidRPr="003A2310" w:rsidRDefault="003A2310">
            <w:pPr>
              <w:pStyle w:val="TableParagraph"/>
              <w:rPr>
                <w:sz w:val="20"/>
                <w:szCs w:val="20"/>
              </w:rPr>
            </w:pPr>
            <w:r>
              <w:rPr>
                <w:sz w:val="20"/>
                <w:szCs w:val="20"/>
              </w:rPr>
              <w:t xml:space="preserve"> NCL Shared Care Group</w:t>
            </w:r>
          </w:p>
        </w:tc>
      </w:tr>
      <w:tr w:rsidR="007F6DF7" w:rsidRPr="003A2310" w14:paraId="4C323B00" w14:textId="77777777" w:rsidTr="008D632C">
        <w:trPr>
          <w:trHeight w:val="364"/>
        </w:trPr>
        <w:tc>
          <w:tcPr>
            <w:tcW w:w="4043" w:type="dxa"/>
          </w:tcPr>
          <w:p w14:paraId="14D9E6FB" w14:textId="77777777" w:rsidR="007F6DF7" w:rsidRPr="003A2310" w:rsidRDefault="002C4268">
            <w:pPr>
              <w:pStyle w:val="TableParagraph"/>
              <w:spacing w:before="61"/>
              <w:ind w:left="108"/>
              <w:rPr>
                <w:sz w:val="20"/>
                <w:szCs w:val="20"/>
              </w:rPr>
            </w:pPr>
            <w:r w:rsidRPr="003A2310">
              <w:rPr>
                <w:sz w:val="20"/>
                <w:szCs w:val="20"/>
              </w:rPr>
              <w:t>File name:</w:t>
            </w:r>
          </w:p>
        </w:tc>
        <w:tc>
          <w:tcPr>
            <w:tcW w:w="5281" w:type="dxa"/>
          </w:tcPr>
          <w:p w14:paraId="067EDEB3" w14:textId="401207BF" w:rsidR="007F6DF7" w:rsidRPr="003A2310" w:rsidRDefault="003A2310">
            <w:pPr>
              <w:pStyle w:val="TableParagraph"/>
              <w:rPr>
                <w:sz w:val="20"/>
                <w:szCs w:val="20"/>
              </w:rPr>
            </w:pPr>
            <w:r>
              <w:rPr>
                <w:sz w:val="20"/>
                <w:szCs w:val="20"/>
              </w:rPr>
              <w:t xml:space="preserve"> Adult ADHD Shared Care Guideline</w:t>
            </w:r>
          </w:p>
        </w:tc>
      </w:tr>
      <w:tr w:rsidR="007F6DF7" w:rsidRPr="003A2310" w14:paraId="7E6D116B" w14:textId="77777777" w:rsidTr="008D632C">
        <w:trPr>
          <w:trHeight w:val="364"/>
        </w:trPr>
        <w:tc>
          <w:tcPr>
            <w:tcW w:w="4043" w:type="dxa"/>
          </w:tcPr>
          <w:p w14:paraId="3E0E5983" w14:textId="77777777" w:rsidR="007F6DF7" w:rsidRPr="003A2310" w:rsidRDefault="002C4268">
            <w:pPr>
              <w:pStyle w:val="TableParagraph"/>
              <w:spacing w:before="61"/>
              <w:ind w:left="108"/>
              <w:rPr>
                <w:sz w:val="20"/>
                <w:szCs w:val="20"/>
              </w:rPr>
            </w:pPr>
            <w:r w:rsidRPr="003A2310">
              <w:rPr>
                <w:sz w:val="20"/>
                <w:szCs w:val="20"/>
              </w:rPr>
              <w:t>Version number:</w:t>
            </w:r>
          </w:p>
        </w:tc>
        <w:tc>
          <w:tcPr>
            <w:tcW w:w="5281" w:type="dxa"/>
          </w:tcPr>
          <w:p w14:paraId="478CC4F7" w14:textId="5948EBB4" w:rsidR="007F6DF7" w:rsidRPr="003A2310" w:rsidRDefault="003A2310">
            <w:pPr>
              <w:pStyle w:val="TableParagraph"/>
              <w:rPr>
                <w:sz w:val="20"/>
                <w:szCs w:val="20"/>
              </w:rPr>
            </w:pPr>
            <w:r>
              <w:rPr>
                <w:sz w:val="20"/>
                <w:szCs w:val="20"/>
              </w:rPr>
              <w:t xml:space="preserve"> V1.4</w:t>
            </w:r>
          </w:p>
        </w:tc>
      </w:tr>
      <w:tr w:rsidR="007F6DF7" w:rsidRPr="003A2310" w14:paraId="50C6030C" w14:textId="77777777" w:rsidTr="008D632C">
        <w:trPr>
          <w:trHeight w:val="364"/>
        </w:trPr>
        <w:tc>
          <w:tcPr>
            <w:tcW w:w="4043" w:type="dxa"/>
          </w:tcPr>
          <w:p w14:paraId="39421FF8" w14:textId="77777777" w:rsidR="007F6DF7" w:rsidRPr="003A2310" w:rsidRDefault="002C4268">
            <w:pPr>
              <w:pStyle w:val="TableParagraph"/>
              <w:spacing w:before="61"/>
              <w:ind w:left="108"/>
              <w:rPr>
                <w:sz w:val="20"/>
                <w:szCs w:val="20"/>
              </w:rPr>
            </w:pPr>
            <w:r w:rsidRPr="003A2310">
              <w:rPr>
                <w:sz w:val="20"/>
                <w:szCs w:val="20"/>
              </w:rPr>
              <w:t>Available on:</w:t>
            </w:r>
          </w:p>
        </w:tc>
        <w:tc>
          <w:tcPr>
            <w:tcW w:w="5281" w:type="dxa"/>
          </w:tcPr>
          <w:p w14:paraId="38D14EBA" w14:textId="5C81DBD8" w:rsidR="007F6DF7" w:rsidRPr="003A2310" w:rsidRDefault="003A2310">
            <w:pPr>
              <w:pStyle w:val="TableParagraph"/>
              <w:rPr>
                <w:sz w:val="20"/>
                <w:szCs w:val="20"/>
              </w:rPr>
            </w:pPr>
            <w:r>
              <w:rPr>
                <w:sz w:val="20"/>
                <w:szCs w:val="20"/>
              </w:rPr>
              <w:t xml:space="preserve"> </w:t>
            </w:r>
            <w:hyperlink r:id="rId90" w:history="1">
              <w:r w:rsidRPr="000F7978">
                <w:rPr>
                  <w:rStyle w:val="Hyperlink"/>
                  <w:sz w:val="20"/>
                  <w:szCs w:val="20"/>
                </w:rPr>
                <w:t>https://nclhealthandcare.org.uk/our-workingareas/medicines-optimisation/shared-care-guidelinesand-factsheets/</w:t>
              </w:r>
            </w:hyperlink>
            <w:r>
              <w:rPr>
                <w:sz w:val="20"/>
                <w:szCs w:val="20"/>
              </w:rPr>
              <w:t xml:space="preserve"> </w:t>
            </w:r>
            <w:r w:rsidRPr="003A2310">
              <w:rPr>
                <w:sz w:val="20"/>
                <w:szCs w:val="20"/>
              </w:rPr>
              <w:t xml:space="preserve">  </w:t>
            </w:r>
            <w:r>
              <w:rPr>
                <w:sz w:val="20"/>
                <w:szCs w:val="20"/>
              </w:rPr>
              <w:t xml:space="preserve"> </w:t>
            </w:r>
          </w:p>
        </w:tc>
      </w:tr>
      <w:tr w:rsidR="007F6DF7" w:rsidRPr="003A2310" w14:paraId="2570DF32" w14:textId="77777777" w:rsidTr="008D632C">
        <w:trPr>
          <w:trHeight w:val="361"/>
        </w:trPr>
        <w:tc>
          <w:tcPr>
            <w:tcW w:w="4043" w:type="dxa"/>
          </w:tcPr>
          <w:p w14:paraId="576FB627" w14:textId="77777777" w:rsidR="007F6DF7" w:rsidRPr="003A2310" w:rsidRDefault="002C4268">
            <w:pPr>
              <w:pStyle w:val="TableParagraph"/>
              <w:spacing w:before="61"/>
              <w:ind w:left="108"/>
              <w:rPr>
                <w:sz w:val="20"/>
                <w:szCs w:val="20"/>
              </w:rPr>
            </w:pPr>
            <w:r w:rsidRPr="003A2310">
              <w:rPr>
                <w:sz w:val="20"/>
                <w:szCs w:val="20"/>
              </w:rPr>
              <w:t>Disseminated to:</w:t>
            </w:r>
          </w:p>
        </w:tc>
        <w:tc>
          <w:tcPr>
            <w:tcW w:w="5281" w:type="dxa"/>
          </w:tcPr>
          <w:p w14:paraId="73ABEB5A" w14:textId="67C64244" w:rsidR="007F6DF7" w:rsidRPr="003A2310" w:rsidRDefault="003A2310">
            <w:pPr>
              <w:pStyle w:val="TableParagraph"/>
              <w:rPr>
                <w:sz w:val="20"/>
                <w:szCs w:val="20"/>
              </w:rPr>
            </w:pPr>
            <w:r>
              <w:rPr>
                <w:sz w:val="20"/>
                <w:szCs w:val="20"/>
              </w:rPr>
              <w:t xml:space="preserve"> Formulary Pharmacists and Commissioners</w:t>
            </w:r>
          </w:p>
        </w:tc>
      </w:tr>
      <w:tr w:rsidR="007F6DF7" w:rsidRPr="003A2310" w14:paraId="43236A0E" w14:textId="77777777" w:rsidTr="008D632C">
        <w:trPr>
          <w:trHeight w:val="364"/>
        </w:trPr>
        <w:tc>
          <w:tcPr>
            <w:tcW w:w="4043" w:type="dxa"/>
          </w:tcPr>
          <w:p w14:paraId="762F529C" w14:textId="77777777" w:rsidR="007F6DF7" w:rsidRPr="003A2310" w:rsidRDefault="002C4268">
            <w:pPr>
              <w:pStyle w:val="TableParagraph"/>
              <w:spacing w:before="63"/>
              <w:ind w:left="108"/>
              <w:rPr>
                <w:sz w:val="20"/>
                <w:szCs w:val="20"/>
              </w:rPr>
            </w:pPr>
            <w:r w:rsidRPr="003A2310">
              <w:rPr>
                <w:sz w:val="20"/>
                <w:szCs w:val="20"/>
              </w:rPr>
              <w:t>Equality impact assessment:</w:t>
            </w:r>
          </w:p>
        </w:tc>
        <w:tc>
          <w:tcPr>
            <w:tcW w:w="5281" w:type="dxa"/>
          </w:tcPr>
          <w:p w14:paraId="10811586" w14:textId="51CE708E" w:rsidR="007F6DF7" w:rsidRPr="003A2310" w:rsidRDefault="003A2310">
            <w:pPr>
              <w:pStyle w:val="TableParagraph"/>
              <w:rPr>
                <w:sz w:val="20"/>
                <w:szCs w:val="20"/>
              </w:rPr>
            </w:pPr>
            <w:r>
              <w:rPr>
                <w:sz w:val="20"/>
                <w:szCs w:val="20"/>
              </w:rPr>
              <w:t xml:space="preserve"> Nil identified</w:t>
            </w:r>
          </w:p>
        </w:tc>
      </w:tr>
      <w:tr w:rsidR="007F6DF7" w:rsidRPr="003A2310" w14:paraId="03914BD2" w14:textId="77777777" w:rsidTr="008D632C">
        <w:trPr>
          <w:trHeight w:val="364"/>
        </w:trPr>
        <w:tc>
          <w:tcPr>
            <w:tcW w:w="4043" w:type="dxa"/>
          </w:tcPr>
          <w:p w14:paraId="40A873A7" w14:textId="13C902FF" w:rsidR="007F6DF7" w:rsidRPr="003A2310" w:rsidRDefault="002C4268">
            <w:pPr>
              <w:pStyle w:val="TableParagraph"/>
              <w:spacing w:before="61"/>
              <w:ind w:left="108"/>
              <w:rPr>
                <w:sz w:val="20"/>
                <w:szCs w:val="20"/>
              </w:rPr>
            </w:pPr>
            <w:r w:rsidRPr="003A2310">
              <w:rPr>
                <w:sz w:val="20"/>
                <w:szCs w:val="20"/>
              </w:rPr>
              <w:t xml:space="preserve">NCL </w:t>
            </w:r>
            <w:r w:rsidR="003A2310">
              <w:rPr>
                <w:sz w:val="20"/>
                <w:szCs w:val="20"/>
              </w:rPr>
              <w:t>Shared Care Group</w:t>
            </w:r>
            <w:r w:rsidRPr="003A2310">
              <w:rPr>
                <w:sz w:val="20"/>
                <w:szCs w:val="20"/>
              </w:rPr>
              <w:t xml:space="preserve"> Approval date:</w:t>
            </w:r>
          </w:p>
        </w:tc>
        <w:tc>
          <w:tcPr>
            <w:tcW w:w="5281" w:type="dxa"/>
          </w:tcPr>
          <w:p w14:paraId="19699BF9" w14:textId="54E86987" w:rsidR="007F6DF7" w:rsidRPr="003A2310" w:rsidRDefault="003A2310">
            <w:pPr>
              <w:pStyle w:val="TableParagraph"/>
              <w:rPr>
                <w:sz w:val="20"/>
                <w:szCs w:val="20"/>
              </w:rPr>
            </w:pPr>
            <w:r>
              <w:rPr>
                <w:sz w:val="20"/>
                <w:szCs w:val="20"/>
              </w:rPr>
              <w:t xml:space="preserve"> 18/07/2024</w:t>
            </w:r>
          </w:p>
        </w:tc>
      </w:tr>
      <w:tr w:rsidR="003A2310" w:rsidRPr="003A2310" w14:paraId="52AF9F8A" w14:textId="77777777" w:rsidTr="008D632C">
        <w:trPr>
          <w:trHeight w:val="364"/>
        </w:trPr>
        <w:tc>
          <w:tcPr>
            <w:tcW w:w="4043" w:type="dxa"/>
          </w:tcPr>
          <w:p w14:paraId="79E7515B" w14:textId="316C066D" w:rsidR="003A2310" w:rsidRPr="003A2310" w:rsidRDefault="003A2310">
            <w:pPr>
              <w:pStyle w:val="TableParagraph"/>
              <w:spacing w:before="61"/>
              <w:ind w:left="108"/>
              <w:rPr>
                <w:sz w:val="20"/>
                <w:szCs w:val="20"/>
              </w:rPr>
            </w:pPr>
            <w:r>
              <w:rPr>
                <w:sz w:val="20"/>
                <w:szCs w:val="20"/>
              </w:rPr>
              <w:t xml:space="preserve">Review date: </w:t>
            </w:r>
          </w:p>
        </w:tc>
        <w:tc>
          <w:tcPr>
            <w:tcW w:w="5281" w:type="dxa"/>
          </w:tcPr>
          <w:p w14:paraId="3A2904F3" w14:textId="3C23D103" w:rsidR="003A2310" w:rsidRDefault="003A2310">
            <w:pPr>
              <w:pStyle w:val="TableParagraph"/>
              <w:rPr>
                <w:sz w:val="20"/>
                <w:szCs w:val="20"/>
              </w:rPr>
            </w:pPr>
            <w:r>
              <w:rPr>
                <w:sz w:val="20"/>
                <w:szCs w:val="20"/>
              </w:rPr>
              <w:t xml:space="preserve"> 18/07/2027</w:t>
            </w:r>
          </w:p>
        </w:tc>
      </w:tr>
    </w:tbl>
    <w:p w14:paraId="781658C7" w14:textId="77777777" w:rsidR="007F6DF7" w:rsidRDefault="007F6DF7">
      <w:pPr>
        <w:rPr>
          <w:rFonts w:ascii="Times New Roman"/>
          <w:sz w:val="18"/>
        </w:rPr>
        <w:sectPr w:rsidR="007F6DF7">
          <w:headerReference w:type="default" r:id="rId91"/>
          <w:pgSz w:w="11910" w:h="16840"/>
          <w:pgMar w:top="1100" w:right="720" w:bottom="1880" w:left="400" w:header="0" w:footer="1595" w:gutter="0"/>
          <w:cols w:space="720"/>
        </w:sectPr>
      </w:pPr>
    </w:p>
    <w:p w14:paraId="4A0D0081" w14:textId="79CB4EC4" w:rsidR="007F6DF7" w:rsidRDefault="002C4268">
      <w:pPr>
        <w:pStyle w:val="Heading1"/>
        <w:tabs>
          <w:tab w:val="left" w:pos="10095"/>
        </w:tabs>
        <w:spacing w:before="14"/>
        <w:ind w:left="733" w:firstLine="0"/>
      </w:pPr>
      <w:r>
        <w:rPr>
          <w:noProof/>
        </w:rPr>
        <w:lastRenderedPageBreak/>
        <mc:AlternateContent>
          <mc:Choice Requires="wpg">
            <w:drawing>
              <wp:anchor distT="0" distB="0" distL="114300" distR="114300" simplePos="0" relativeHeight="251645440" behindDoc="1" locked="0" layoutInCell="1" allowOverlap="1" wp14:anchorId="5A904442" wp14:editId="6FE33092">
                <wp:simplePos x="0" y="0"/>
                <wp:positionH relativeFrom="page">
                  <wp:posOffset>450850</wp:posOffset>
                </wp:positionH>
                <wp:positionV relativeFrom="page">
                  <wp:posOffset>2324100</wp:posOffset>
                </wp:positionV>
                <wp:extent cx="3399790" cy="1071880"/>
                <wp:effectExtent l="3175" t="9525" r="6985" b="13970"/>
                <wp:wrapNone/>
                <wp:docPr id="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9790" cy="1071880"/>
                          <a:chOff x="710" y="3660"/>
                          <a:chExt cx="5354" cy="1688"/>
                        </a:xfrm>
                      </wpg:grpSpPr>
                      <wps:wsp>
                        <wps:cNvPr id="59" name="Line 50"/>
                        <wps:cNvCnPr>
                          <a:cxnSpLocks noChangeShapeType="1"/>
                        </wps:cNvCnPr>
                        <wps:spPr bwMode="auto">
                          <a:xfrm>
                            <a:off x="6059" y="3660"/>
                            <a:ext cx="0" cy="16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49"/>
                        <wps:cNvSpPr>
                          <a:spLocks noChangeArrowheads="1"/>
                        </wps:cNvSpPr>
                        <wps:spPr bwMode="auto">
                          <a:xfrm>
                            <a:off x="710" y="533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48"/>
                        <wps:cNvCnPr>
                          <a:cxnSpLocks noChangeShapeType="1"/>
                        </wps:cNvCnPr>
                        <wps:spPr bwMode="auto">
                          <a:xfrm>
                            <a:off x="720" y="5343"/>
                            <a:ext cx="53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9768B2" id="Group 47" o:spid="_x0000_s1026" style="position:absolute;margin-left:35.5pt;margin-top:183pt;width:267.7pt;height:84.4pt;z-index:-251671040;mso-position-horizontal-relative:page;mso-position-vertical-relative:page" coordorigin="710,3660" coordsize="5354,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">
                <v:line id="Line 50" o:spid="_x0000_s1027" style="position:absolute;visibility:visible;mso-wrap-style:square" from="6059,3660" to="6059,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rect id="Rectangle 49" o:spid="_x0000_s1028" style="position:absolute;left:710;top:533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line id="Line 48" o:spid="_x0000_s1029" style="position:absolute;visibility:visible;mso-wrap-style:square" from="720,5343" to="6054,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w10:wrap anchorx="page" anchory="page"/>
              </v:group>
            </w:pict>
          </mc:Fallback>
        </mc:AlternateContent>
      </w:r>
      <w:r>
        <w:rPr>
          <w:noProof/>
        </w:rPr>
        <mc:AlternateContent>
          <mc:Choice Requires="wps">
            <w:drawing>
              <wp:anchor distT="0" distB="0" distL="114300" distR="114300" simplePos="0" relativeHeight="251646464" behindDoc="1" locked="0" layoutInCell="1" allowOverlap="1" wp14:anchorId="6B977915" wp14:editId="15E733E2">
                <wp:simplePos x="0" y="0"/>
                <wp:positionH relativeFrom="page">
                  <wp:posOffset>2019300</wp:posOffset>
                </wp:positionH>
                <wp:positionV relativeFrom="page">
                  <wp:posOffset>3644265</wp:posOffset>
                </wp:positionV>
                <wp:extent cx="0" cy="309880"/>
                <wp:effectExtent l="9525" t="5715" r="9525" b="8255"/>
                <wp:wrapNone/>
                <wp:docPr id="5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05F46" id="Line 46"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pt,286.95pt" to="159pt,3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" strokeweight=".48pt">
                <w10:wrap anchorx="page" anchory="page"/>
              </v:line>
            </w:pict>
          </mc:Fallback>
        </mc:AlternateContent>
      </w:r>
      <w:r>
        <w:rPr>
          <w:noProof/>
        </w:rPr>
        <mc:AlternateContent>
          <mc:Choice Requires="wps">
            <w:drawing>
              <wp:anchor distT="0" distB="0" distL="114300" distR="114300" simplePos="0" relativeHeight="251647488" behindDoc="1" locked="0" layoutInCell="1" allowOverlap="1" wp14:anchorId="2D0D040E" wp14:editId="792365CB">
                <wp:simplePos x="0" y="0"/>
                <wp:positionH relativeFrom="page">
                  <wp:posOffset>3847465</wp:posOffset>
                </wp:positionH>
                <wp:positionV relativeFrom="page">
                  <wp:posOffset>3644265</wp:posOffset>
                </wp:positionV>
                <wp:extent cx="0" cy="309880"/>
                <wp:effectExtent l="8890" t="5715" r="10160" b="8255"/>
                <wp:wrapNone/>
                <wp:docPr id="5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8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6CA11" id="Line 45"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5pt,286.95pt" to="302.95pt,3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" strokeweight=".48pt">
                <w10:wrap anchorx="page" anchory="page"/>
              </v:line>
            </w:pict>
          </mc:Fallback>
        </mc:AlternateContent>
      </w:r>
      <w:r>
        <w:rPr>
          <w:noProof/>
        </w:rPr>
        <mc:AlternateContent>
          <mc:Choice Requires="wps">
            <w:drawing>
              <wp:anchor distT="0" distB="0" distL="114300" distR="114300" simplePos="0" relativeHeight="251648512" behindDoc="1" locked="0" layoutInCell="1" allowOverlap="1" wp14:anchorId="67615670" wp14:editId="47A2E550">
                <wp:simplePos x="0" y="0"/>
                <wp:positionH relativeFrom="page">
                  <wp:posOffset>2019300</wp:posOffset>
                </wp:positionH>
                <wp:positionV relativeFrom="page">
                  <wp:posOffset>4203700</wp:posOffset>
                </wp:positionV>
                <wp:extent cx="0" cy="533400"/>
                <wp:effectExtent l="9525" t="12700" r="9525" b="6350"/>
                <wp:wrapNone/>
                <wp:docPr id="5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957CD" id="Line 44"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pt,331pt" to="159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" strokeweight=".48pt">
                <w10:wrap anchorx="page" anchory="page"/>
              </v:line>
            </w:pict>
          </mc:Fallback>
        </mc:AlternateContent>
      </w:r>
      <w:r>
        <w:rPr>
          <w:noProof/>
        </w:rPr>
        <mc:AlternateContent>
          <mc:Choice Requires="wps">
            <w:drawing>
              <wp:anchor distT="0" distB="0" distL="114300" distR="114300" simplePos="0" relativeHeight="251649536" behindDoc="1" locked="0" layoutInCell="1" allowOverlap="1" wp14:anchorId="1C3E0039" wp14:editId="648B752E">
                <wp:simplePos x="0" y="0"/>
                <wp:positionH relativeFrom="page">
                  <wp:posOffset>3847465</wp:posOffset>
                </wp:positionH>
                <wp:positionV relativeFrom="page">
                  <wp:posOffset>4203700</wp:posOffset>
                </wp:positionV>
                <wp:extent cx="0" cy="533400"/>
                <wp:effectExtent l="8890" t="12700" r="10160" b="6350"/>
                <wp:wrapNone/>
                <wp:docPr id="5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80620" id="Line 4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5pt,331pt" to="302.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" strokeweight=".48pt">
                <w10:wrap anchorx="page" anchory="page"/>
              </v:line>
            </w:pict>
          </mc:Fallback>
        </mc:AlternateContent>
      </w:r>
      <w:r>
        <w:rPr>
          <w:noProof/>
        </w:rPr>
        <mc:AlternateContent>
          <mc:Choice Requires="wpg">
            <w:drawing>
              <wp:anchor distT="0" distB="0" distL="114300" distR="114300" simplePos="0" relativeHeight="251650560" behindDoc="1" locked="0" layoutInCell="1" allowOverlap="1" wp14:anchorId="119B5603" wp14:editId="6049FCEE">
                <wp:simplePos x="0" y="0"/>
                <wp:positionH relativeFrom="page">
                  <wp:posOffset>2016760</wp:posOffset>
                </wp:positionH>
                <wp:positionV relativeFrom="page">
                  <wp:posOffset>4987290</wp:posOffset>
                </wp:positionV>
                <wp:extent cx="1828165" cy="309880"/>
                <wp:effectExtent l="6985" t="5715" r="12700" b="8255"/>
                <wp:wrapNone/>
                <wp:docPr id="5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165" cy="309880"/>
                          <a:chOff x="3176" y="7854"/>
                          <a:chExt cx="2879" cy="488"/>
                        </a:xfrm>
                      </wpg:grpSpPr>
                      <wps:wsp>
                        <wps:cNvPr id="52" name="Line 42"/>
                        <wps:cNvCnPr>
                          <a:cxnSpLocks noChangeShapeType="1"/>
                        </wps:cNvCnPr>
                        <wps:spPr bwMode="auto">
                          <a:xfrm>
                            <a:off x="3180" y="7854"/>
                            <a:ext cx="0" cy="4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41"/>
                        <wps:cNvCnPr>
                          <a:cxnSpLocks noChangeShapeType="1"/>
                        </wps:cNvCnPr>
                        <wps:spPr bwMode="auto">
                          <a:xfrm>
                            <a:off x="3185" y="8337"/>
                            <a:ext cx="286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90CE9E" id="Group 40" o:spid="_x0000_s1026" style="position:absolute;margin-left:158.8pt;margin-top:392.7pt;width:143.95pt;height:24.4pt;z-index:-251665920;mso-position-horizontal-relative:page;mso-position-vertical-relative:page" coordorigin="3176,7854" coordsize="287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">
                <v:line id="Line 42" o:spid="_x0000_s1027" style="position:absolute;visibility:visible;mso-wrap-style:square" from="3180,7854" to="3180,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41" o:spid="_x0000_s1028" style="position:absolute;visibility:visible;mso-wrap-style:square" from="3185,8337" to="6054,8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w10:wrap anchorx="page" anchory="page"/>
              </v:group>
            </w:pict>
          </mc:Fallback>
        </mc:AlternateContent>
      </w:r>
      <w:r>
        <w:rPr>
          <w:noProof/>
        </w:rPr>
        <mc:AlternateContent>
          <mc:Choice Requires="wps">
            <w:drawing>
              <wp:anchor distT="0" distB="0" distL="114300" distR="114300" simplePos="0" relativeHeight="251651584" behindDoc="1" locked="0" layoutInCell="1" allowOverlap="1" wp14:anchorId="0F3F79A0" wp14:editId="6BD12255">
                <wp:simplePos x="0" y="0"/>
                <wp:positionH relativeFrom="page">
                  <wp:posOffset>4534535</wp:posOffset>
                </wp:positionH>
                <wp:positionV relativeFrom="page">
                  <wp:posOffset>4987290</wp:posOffset>
                </wp:positionV>
                <wp:extent cx="0" cy="309245"/>
                <wp:effectExtent l="10160" t="5715" r="8890" b="8890"/>
                <wp:wrapNone/>
                <wp:docPr id="5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54521" id="Line 39"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05pt,392.7pt" to="357.05pt,4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" strokeweight=".48pt">
                <w10:wrap anchorx="page" anchory="page"/>
              </v:line>
            </w:pict>
          </mc:Fallback>
        </mc:AlternateContent>
      </w:r>
      <w:r>
        <w:rPr>
          <w:noProof/>
        </w:rPr>
        <mc:AlternateContent>
          <mc:Choice Requires="wps">
            <w:drawing>
              <wp:anchor distT="0" distB="0" distL="114300" distR="114300" simplePos="0" relativeHeight="251652608" behindDoc="1" locked="0" layoutInCell="1" allowOverlap="1" wp14:anchorId="11299C03" wp14:editId="469CFF8D">
                <wp:simplePos x="0" y="0"/>
                <wp:positionH relativeFrom="page">
                  <wp:posOffset>2019300</wp:posOffset>
                </wp:positionH>
                <wp:positionV relativeFrom="page">
                  <wp:posOffset>5545455</wp:posOffset>
                </wp:positionV>
                <wp:extent cx="0" cy="274320"/>
                <wp:effectExtent l="9525" t="11430" r="9525" b="9525"/>
                <wp:wrapNone/>
                <wp:docPr id="4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92F5F" id="Line 38"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pt,436.65pt" to="159pt,4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251653632" behindDoc="1" locked="0" layoutInCell="1" allowOverlap="1" wp14:anchorId="0452CB00" wp14:editId="08F341B6">
                <wp:simplePos x="0" y="0"/>
                <wp:positionH relativeFrom="page">
                  <wp:posOffset>2019300</wp:posOffset>
                </wp:positionH>
                <wp:positionV relativeFrom="page">
                  <wp:posOffset>6068060</wp:posOffset>
                </wp:positionV>
                <wp:extent cx="0" cy="272415"/>
                <wp:effectExtent l="9525" t="10160" r="9525" b="12700"/>
                <wp:wrapNone/>
                <wp:docPr id="4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C6524" id="Line 3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pt,477.8pt" to="159pt,4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" strokeweight=".48pt">
                <w10:wrap anchorx="page" anchory="page"/>
              </v:line>
            </w:pict>
          </mc:Fallback>
        </mc:AlternateContent>
      </w:r>
      <w:r>
        <w:rPr>
          <w:noProof/>
        </w:rPr>
        <mc:AlternateContent>
          <mc:Choice Requires="wpg">
            <w:drawing>
              <wp:anchor distT="0" distB="0" distL="114300" distR="114300" simplePos="0" relativeHeight="251654656" behindDoc="1" locked="0" layoutInCell="1" allowOverlap="1" wp14:anchorId="77428368" wp14:editId="2295256E">
                <wp:simplePos x="0" y="0"/>
                <wp:positionH relativeFrom="page">
                  <wp:posOffset>3033395</wp:posOffset>
                </wp:positionH>
                <wp:positionV relativeFrom="page">
                  <wp:posOffset>6590665</wp:posOffset>
                </wp:positionV>
                <wp:extent cx="648335" cy="304800"/>
                <wp:effectExtent l="4445" t="8890" r="4445" b="10160"/>
                <wp:wrapNone/>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335" cy="304800"/>
                          <a:chOff x="4777" y="10379"/>
                          <a:chExt cx="1021" cy="480"/>
                        </a:xfrm>
                      </wpg:grpSpPr>
                      <wps:wsp>
                        <wps:cNvPr id="46" name="Line 36"/>
                        <wps:cNvCnPr>
                          <a:cxnSpLocks noChangeShapeType="1"/>
                        </wps:cNvCnPr>
                        <wps:spPr bwMode="auto">
                          <a:xfrm>
                            <a:off x="4782" y="10379"/>
                            <a:ext cx="0" cy="4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35"/>
                        <wps:cNvCnPr>
                          <a:cxnSpLocks noChangeShapeType="1"/>
                        </wps:cNvCnPr>
                        <wps:spPr bwMode="auto">
                          <a:xfrm>
                            <a:off x="4787" y="10854"/>
                            <a:ext cx="10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290B1F" id="Group 34" o:spid="_x0000_s1026" style="position:absolute;margin-left:238.85pt;margin-top:518.95pt;width:51.05pt;height:24pt;z-index:-251661824;mso-position-horizontal-relative:page;mso-position-vertical-relative:page" coordorigin="4777,10379" coordsize="102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">
                <v:line id="Line 36" o:spid="_x0000_s1027" style="position:absolute;visibility:visible;mso-wrap-style:square" from="4782,10379" to="4782,1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5" o:spid="_x0000_s1028" style="position:absolute;visibility:visible;mso-wrap-style:square" from="4787,10854" to="5797,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w10:wrap anchorx="page" anchory="page"/>
              </v:group>
            </w:pict>
          </mc:Fallback>
        </mc:AlternateContent>
      </w:r>
      <w:r>
        <w:rPr>
          <w:noProof/>
        </w:rPr>
        <mc:AlternateContent>
          <mc:Choice Requires="wps">
            <w:drawing>
              <wp:anchor distT="0" distB="0" distL="114300" distR="114300" simplePos="0" relativeHeight="251655680" behindDoc="1" locked="0" layoutInCell="1" allowOverlap="1" wp14:anchorId="4DB826C4" wp14:editId="46CEB76C">
                <wp:simplePos x="0" y="0"/>
                <wp:positionH relativeFrom="page">
                  <wp:posOffset>5255895</wp:posOffset>
                </wp:positionH>
                <wp:positionV relativeFrom="page">
                  <wp:posOffset>6590665</wp:posOffset>
                </wp:positionV>
                <wp:extent cx="0" cy="304800"/>
                <wp:effectExtent l="7620" t="8890" r="11430" b="10160"/>
                <wp:wrapNone/>
                <wp:docPr id="4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FEEE6" id="Line 33"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3.85pt,518.95pt" to="413.85pt,5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" strokeweight=".48pt">
                <w10:wrap anchorx="page" anchory="page"/>
              </v:line>
            </w:pict>
          </mc:Fallback>
        </mc:AlternateContent>
      </w:r>
      <w:r>
        <w:rPr>
          <w:noProof/>
        </w:rPr>
        <mc:AlternateContent>
          <mc:Choice Requires="wps">
            <w:drawing>
              <wp:anchor distT="0" distB="0" distL="114300" distR="114300" simplePos="0" relativeHeight="251656704" behindDoc="1" locked="0" layoutInCell="1" allowOverlap="1" wp14:anchorId="2CB3FBF4" wp14:editId="09D63E78">
                <wp:simplePos x="0" y="0"/>
                <wp:positionH relativeFrom="page">
                  <wp:posOffset>5810885</wp:posOffset>
                </wp:positionH>
                <wp:positionV relativeFrom="page">
                  <wp:posOffset>6590665</wp:posOffset>
                </wp:positionV>
                <wp:extent cx="0" cy="304800"/>
                <wp:effectExtent l="10160" t="8890" r="8890" b="10160"/>
                <wp:wrapNone/>
                <wp:docPr id="4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5B569" id="Line 3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7.55pt,518.95pt" to="457.55pt,5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" strokeweight=".48pt">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14:anchorId="0FD595D0" wp14:editId="5A096886">
                <wp:simplePos x="0" y="0"/>
                <wp:positionH relativeFrom="page">
                  <wp:posOffset>2019300</wp:posOffset>
                </wp:positionH>
                <wp:positionV relativeFrom="page">
                  <wp:posOffset>7145655</wp:posOffset>
                </wp:positionV>
                <wp:extent cx="0" cy="309245"/>
                <wp:effectExtent l="9525" t="11430" r="9525" b="12700"/>
                <wp:wrapNone/>
                <wp:docPr id="4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62F3C" id="Line 3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pt,562.65pt" to="159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" strokeweight=".48pt">
                <w10:wrap anchorx="page" anchory="page"/>
              </v:line>
            </w:pict>
          </mc:Fallback>
        </mc:AlternateContent>
      </w:r>
      <w:r>
        <w:rPr>
          <w:noProof/>
        </w:rPr>
        <mc:AlternateContent>
          <mc:Choice Requires="wps">
            <w:drawing>
              <wp:anchor distT="0" distB="0" distL="114300" distR="114300" simplePos="0" relativeHeight="251658752" behindDoc="1" locked="0" layoutInCell="1" allowOverlap="1" wp14:anchorId="0FE0FBB2" wp14:editId="4CFC4F0B">
                <wp:simplePos x="0" y="0"/>
                <wp:positionH relativeFrom="page">
                  <wp:posOffset>2019300</wp:posOffset>
                </wp:positionH>
                <wp:positionV relativeFrom="page">
                  <wp:posOffset>7703820</wp:posOffset>
                </wp:positionV>
                <wp:extent cx="0" cy="309245"/>
                <wp:effectExtent l="9525" t="7620" r="9525" b="6985"/>
                <wp:wrapNone/>
                <wp:docPr id="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2C603" id="Line 3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9pt,606.6pt" to="159pt,6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" strokeweight=".48pt">
                <w10:wrap anchorx="page" anchory="page"/>
              </v:line>
            </w:pict>
          </mc:Fallback>
        </mc:AlternateContent>
      </w:r>
      <w:bookmarkStart w:id="18" w:name="_bookmark18"/>
      <w:bookmarkEnd w:id="18"/>
      <w:r>
        <w:rPr>
          <w:color w:val="FFFFFF"/>
          <w:shd w:val="clear" w:color="auto" w:fill="538DD3"/>
        </w:rPr>
        <w:t>Appendix 1: transfer form: from [Trust] to GP</w:t>
      </w:r>
      <w:r>
        <w:rPr>
          <w:color w:val="FFFFFF"/>
          <w:spacing w:val="-25"/>
          <w:shd w:val="clear" w:color="auto" w:fill="538DD3"/>
        </w:rPr>
        <w:t xml:space="preserve"> </w:t>
      </w:r>
      <w:r>
        <w:rPr>
          <w:color w:val="FFFFFF"/>
          <w:shd w:val="clear" w:color="auto" w:fill="538DD3"/>
        </w:rPr>
        <w:t>practice</w:t>
      </w:r>
      <w:r>
        <w:rPr>
          <w:color w:val="FFFFFF"/>
          <w:shd w:val="clear" w:color="auto" w:fill="538DD3"/>
        </w:rPr>
        <w:tab/>
      </w:r>
    </w:p>
    <w:p w14:paraId="6FD93FEF" w14:textId="77777777" w:rsidR="007F6DF7" w:rsidRDefault="007F6DF7">
      <w:pPr>
        <w:pStyle w:val="BodyText"/>
        <w:rPr>
          <w:b/>
          <w:sz w:val="20"/>
        </w:rPr>
      </w:pPr>
    </w:p>
    <w:p w14:paraId="7C76A350" w14:textId="77777777" w:rsidR="007F6DF7" w:rsidRDefault="007F6DF7">
      <w:pPr>
        <w:pStyle w:val="BodyText"/>
        <w:rPr>
          <w:b/>
          <w:sz w:val="20"/>
        </w:rPr>
      </w:pPr>
    </w:p>
    <w:p w14:paraId="6E643F0D" w14:textId="77777777" w:rsidR="007F6DF7" w:rsidRDefault="007F6DF7">
      <w:pPr>
        <w:pStyle w:val="BodyText"/>
        <w:spacing w:before="9"/>
        <w:rPr>
          <w:b/>
          <w:sz w:val="28"/>
        </w:rPr>
      </w:pPr>
    </w:p>
    <w:tbl>
      <w:tblPr>
        <w:tblW w:w="0" w:type="auto"/>
        <w:tblInd w:w="313" w:type="dxa"/>
        <w:tblLayout w:type="fixed"/>
        <w:tblCellMar>
          <w:left w:w="0" w:type="dxa"/>
          <w:right w:w="0" w:type="dxa"/>
        </w:tblCellMar>
        <w:tblLook w:val="01E0" w:firstRow="1" w:lastRow="1" w:firstColumn="1" w:lastColumn="1" w:noHBand="0" w:noVBand="0"/>
      </w:tblPr>
      <w:tblGrid>
        <w:gridCol w:w="5097"/>
        <w:gridCol w:w="257"/>
        <w:gridCol w:w="243"/>
        <w:gridCol w:w="4770"/>
      </w:tblGrid>
      <w:tr w:rsidR="007F6DF7" w14:paraId="47B63571" w14:textId="77777777">
        <w:trPr>
          <w:trHeight w:val="1346"/>
        </w:trPr>
        <w:tc>
          <w:tcPr>
            <w:tcW w:w="10367" w:type="dxa"/>
            <w:gridSpan w:val="4"/>
          </w:tcPr>
          <w:p w14:paraId="16D3D3D4" w14:textId="77777777" w:rsidR="007F6DF7" w:rsidRDefault="002C4268">
            <w:pPr>
              <w:pStyle w:val="TableParagraph"/>
              <w:spacing w:line="247" w:lineRule="exact"/>
              <w:ind w:left="7"/>
              <w:rPr>
                <w:rFonts w:ascii="Arial"/>
                <w:i/>
              </w:rPr>
            </w:pPr>
            <w:r>
              <w:rPr>
                <w:rFonts w:ascii="Arial"/>
                <w:b/>
              </w:rPr>
              <w:t xml:space="preserve">Section A: to be completed by secondary care </w:t>
            </w:r>
            <w:r>
              <w:rPr>
                <w:rFonts w:ascii="Arial"/>
                <w:i/>
              </w:rPr>
              <w:t xml:space="preserve">Send to </w:t>
            </w:r>
            <w:proofErr w:type="gramStart"/>
            <w:r>
              <w:rPr>
                <w:rFonts w:ascii="Arial"/>
                <w:i/>
              </w:rPr>
              <w:t>practice</w:t>
            </w:r>
            <w:proofErr w:type="gramEnd"/>
          </w:p>
          <w:p w14:paraId="57723A77" w14:textId="77777777" w:rsidR="007F6DF7" w:rsidRDefault="007F6DF7">
            <w:pPr>
              <w:pStyle w:val="TableParagraph"/>
              <w:spacing w:before="8"/>
              <w:rPr>
                <w:b/>
              </w:rPr>
            </w:pPr>
          </w:p>
          <w:p w14:paraId="5439C7E3" w14:textId="77777777" w:rsidR="007F6DF7" w:rsidRDefault="002C4268">
            <w:pPr>
              <w:pStyle w:val="TableParagraph"/>
              <w:spacing w:before="1" w:line="278" w:lineRule="auto"/>
              <w:ind w:left="7" w:right="30"/>
              <w:rPr>
                <w:rFonts w:ascii="Arial"/>
                <w:i/>
              </w:rPr>
            </w:pPr>
            <w:r>
              <w:rPr>
                <w:rFonts w:ascii="Arial"/>
                <w:i/>
              </w:rPr>
              <w:t xml:space="preserve">This document is to request the shared care pathway of your patient and comprises an agreement </w:t>
            </w:r>
            <w:proofErr w:type="spellStart"/>
            <w:r>
              <w:rPr>
                <w:rFonts w:ascii="Arial"/>
                <w:i/>
              </w:rPr>
              <w:t>betwee</w:t>
            </w:r>
            <w:proofErr w:type="spellEnd"/>
            <w:r>
              <w:rPr>
                <w:rFonts w:ascii="Arial"/>
                <w:i/>
              </w:rPr>
              <w:t xml:space="preserve"> the GP and named </w:t>
            </w:r>
            <w:proofErr w:type="gramStart"/>
            <w:r>
              <w:rPr>
                <w:rFonts w:ascii="Arial"/>
                <w:i/>
              </w:rPr>
              <w:t>Specialist .</w:t>
            </w:r>
            <w:proofErr w:type="gramEnd"/>
          </w:p>
        </w:tc>
      </w:tr>
      <w:tr w:rsidR="007F6DF7" w14:paraId="390FD10F" w14:textId="77777777">
        <w:trPr>
          <w:trHeight w:val="1668"/>
        </w:trPr>
        <w:tc>
          <w:tcPr>
            <w:tcW w:w="5097" w:type="dxa"/>
            <w:tcBorders>
              <w:top w:val="single" w:sz="4" w:space="0" w:color="000000"/>
              <w:left w:val="single" w:sz="4" w:space="0" w:color="000000"/>
            </w:tcBorders>
          </w:tcPr>
          <w:p w14:paraId="342D120F" w14:textId="77777777" w:rsidR="007F6DF7" w:rsidRDefault="002C4268">
            <w:pPr>
              <w:pStyle w:val="TableParagraph"/>
              <w:spacing w:before="120"/>
              <w:ind w:left="184"/>
              <w:rPr>
                <w:rFonts w:ascii="Arial"/>
                <w:i/>
              </w:rPr>
            </w:pPr>
            <w:r>
              <w:rPr>
                <w:rFonts w:ascii="Arial"/>
                <w:i/>
              </w:rPr>
              <w:t xml:space="preserve">Fix address label here (ensure NHS </w:t>
            </w:r>
            <w:proofErr w:type="spellStart"/>
            <w:proofErr w:type="gramStart"/>
            <w:r>
              <w:rPr>
                <w:rFonts w:ascii="Arial"/>
                <w:i/>
              </w:rPr>
              <w:t>no.on</w:t>
            </w:r>
            <w:proofErr w:type="spellEnd"/>
            <w:proofErr w:type="gramEnd"/>
            <w:r>
              <w:rPr>
                <w:rFonts w:ascii="Arial"/>
                <w:i/>
              </w:rPr>
              <w:t>)</w:t>
            </w:r>
          </w:p>
        </w:tc>
        <w:tc>
          <w:tcPr>
            <w:tcW w:w="257" w:type="dxa"/>
            <w:tcBorders>
              <w:top w:val="single" w:sz="4" w:space="0" w:color="000000"/>
            </w:tcBorders>
          </w:tcPr>
          <w:p w14:paraId="401A9367" w14:textId="77777777" w:rsidR="007F6DF7" w:rsidRDefault="007F6DF7">
            <w:pPr>
              <w:pStyle w:val="TableParagraph"/>
              <w:rPr>
                <w:rFonts w:ascii="Times New Roman"/>
                <w:sz w:val="20"/>
              </w:rPr>
            </w:pPr>
          </w:p>
        </w:tc>
        <w:tc>
          <w:tcPr>
            <w:tcW w:w="243" w:type="dxa"/>
            <w:tcBorders>
              <w:right w:val="single" w:sz="4" w:space="0" w:color="000000"/>
            </w:tcBorders>
          </w:tcPr>
          <w:p w14:paraId="5695BAF8" w14:textId="77777777" w:rsidR="007F6DF7" w:rsidRDefault="007F6DF7">
            <w:pPr>
              <w:pStyle w:val="TableParagraph"/>
              <w:rPr>
                <w:rFonts w:ascii="Times New Roman"/>
                <w:sz w:val="20"/>
              </w:rPr>
            </w:pPr>
          </w:p>
        </w:tc>
        <w:tc>
          <w:tcPr>
            <w:tcW w:w="4770" w:type="dxa"/>
            <w:tcBorders>
              <w:top w:val="single" w:sz="4" w:space="0" w:color="000000"/>
              <w:left w:val="single" w:sz="4" w:space="0" w:color="000000"/>
              <w:bottom w:val="single" w:sz="4" w:space="0" w:color="000000"/>
              <w:right w:val="single" w:sz="4" w:space="0" w:color="000000"/>
            </w:tcBorders>
          </w:tcPr>
          <w:p w14:paraId="4932B328" w14:textId="77777777" w:rsidR="007F6DF7" w:rsidRDefault="002C4268">
            <w:pPr>
              <w:pStyle w:val="TableParagraph"/>
              <w:spacing w:before="120"/>
              <w:ind w:left="157"/>
              <w:rPr>
                <w:rFonts w:ascii="Arial"/>
                <w:i/>
              </w:rPr>
            </w:pPr>
            <w:r>
              <w:rPr>
                <w:rFonts w:ascii="Arial"/>
              </w:rPr>
              <w:t xml:space="preserve">Clinic stamp </w:t>
            </w:r>
            <w:r>
              <w:rPr>
                <w:rFonts w:ascii="Arial"/>
                <w:i/>
              </w:rPr>
              <w:t>or give details below</w:t>
            </w:r>
          </w:p>
        </w:tc>
      </w:tr>
      <w:tr w:rsidR="007F6DF7" w14:paraId="465D98D3" w14:textId="77777777">
        <w:trPr>
          <w:trHeight w:val="390"/>
        </w:trPr>
        <w:tc>
          <w:tcPr>
            <w:tcW w:w="5097" w:type="dxa"/>
            <w:tcBorders>
              <w:bottom w:val="single" w:sz="4" w:space="0" w:color="000000"/>
            </w:tcBorders>
          </w:tcPr>
          <w:p w14:paraId="2ED409E3" w14:textId="77777777" w:rsidR="007F6DF7" w:rsidRDefault="007F6DF7">
            <w:pPr>
              <w:pStyle w:val="TableParagraph"/>
              <w:rPr>
                <w:rFonts w:ascii="Times New Roman"/>
                <w:sz w:val="20"/>
              </w:rPr>
            </w:pPr>
          </w:p>
        </w:tc>
        <w:tc>
          <w:tcPr>
            <w:tcW w:w="257" w:type="dxa"/>
            <w:tcBorders>
              <w:bottom w:val="single" w:sz="4" w:space="0" w:color="000000"/>
            </w:tcBorders>
          </w:tcPr>
          <w:p w14:paraId="178C105A" w14:textId="77777777" w:rsidR="007F6DF7" w:rsidRDefault="007F6DF7">
            <w:pPr>
              <w:pStyle w:val="TableParagraph"/>
              <w:rPr>
                <w:rFonts w:ascii="Times New Roman"/>
                <w:sz w:val="20"/>
              </w:rPr>
            </w:pPr>
          </w:p>
        </w:tc>
        <w:tc>
          <w:tcPr>
            <w:tcW w:w="243" w:type="dxa"/>
          </w:tcPr>
          <w:p w14:paraId="735BF9B9" w14:textId="77777777" w:rsidR="007F6DF7" w:rsidRDefault="007F6DF7">
            <w:pPr>
              <w:pStyle w:val="TableParagraph"/>
              <w:rPr>
                <w:rFonts w:ascii="Times New Roman"/>
                <w:sz w:val="20"/>
              </w:rPr>
            </w:pPr>
          </w:p>
        </w:tc>
        <w:tc>
          <w:tcPr>
            <w:tcW w:w="4770" w:type="dxa"/>
            <w:tcBorders>
              <w:top w:val="single" w:sz="4" w:space="0" w:color="000000"/>
            </w:tcBorders>
          </w:tcPr>
          <w:p w14:paraId="2A8834C8" w14:textId="77777777" w:rsidR="007F6DF7" w:rsidRDefault="007F6DF7">
            <w:pPr>
              <w:pStyle w:val="TableParagraph"/>
              <w:rPr>
                <w:rFonts w:ascii="Times New Roman"/>
                <w:sz w:val="20"/>
              </w:rPr>
            </w:pPr>
          </w:p>
        </w:tc>
      </w:tr>
      <w:tr w:rsidR="007F6DF7" w14:paraId="1F45ADA1" w14:textId="77777777">
        <w:trPr>
          <w:trHeight w:val="467"/>
        </w:trPr>
        <w:tc>
          <w:tcPr>
            <w:tcW w:w="5097" w:type="dxa"/>
            <w:tcBorders>
              <w:top w:val="single" w:sz="4" w:space="0" w:color="000000"/>
              <w:bottom w:val="single" w:sz="4" w:space="0" w:color="000000"/>
            </w:tcBorders>
          </w:tcPr>
          <w:p w14:paraId="0FBCAB06" w14:textId="77777777" w:rsidR="007F6DF7" w:rsidRDefault="002C4268">
            <w:pPr>
              <w:pStyle w:val="TableParagraph"/>
              <w:spacing w:before="148"/>
              <w:ind w:left="69"/>
              <w:rPr>
                <w:rFonts w:ascii="Arial"/>
              </w:rPr>
            </w:pPr>
            <w:r>
              <w:rPr>
                <w:rFonts w:ascii="Arial"/>
              </w:rPr>
              <w:t>Department</w:t>
            </w:r>
          </w:p>
        </w:tc>
        <w:tc>
          <w:tcPr>
            <w:tcW w:w="257" w:type="dxa"/>
            <w:tcBorders>
              <w:top w:val="single" w:sz="4" w:space="0" w:color="000000"/>
              <w:bottom w:val="single" w:sz="4" w:space="0" w:color="000000"/>
            </w:tcBorders>
          </w:tcPr>
          <w:p w14:paraId="53F9CCE3" w14:textId="77777777" w:rsidR="007F6DF7" w:rsidRDefault="007F6DF7">
            <w:pPr>
              <w:pStyle w:val="TableParagraph"/>
              <w:rPr>
                <w:rFonts w:ascii="Times New Roman"/>
                <w:sz w:val="20"/>
              </w:rPr>
            </w:pPr>
          </w:p>
        </w:tc>
        <w:tc>
          <w:tcPr>
            <w:tcW w:w="243" w:type="dxa"/>
          </w:tcPr>
          <w:p w14:paraId="3135F3C9" w14:textId="77777777" w:rsidR="007F6DF7" w:rsidRDefault="007F6DF7">
            <w:pPr>
              <w:pStyle w:val="TableParagraph"/>
              <w:rPr>
                <w:rFonts w:ascii="Times New Roman"/>
                <w:sz w:val="20"/>
              </w:rPr>
            </w:pPr>
          </w:p>
        </w:tc>
        <w:tc>
          <w:tcPr>
            <w:tcW w:w="4770" w:type="dxa"/>
          </w:tcPr>
          <w:p w14:paraId="7DD63F41" w14:textId="77777777" w:rsidR="007F6DF7" w:rsidRDefault="007F6DF7">
            <w:pPr>
              <w:pStyle w:val="TableParagraph"/>
              <w:rPr>
                <w:rFonts w:ascii="Times New Roman"/>
                <w:sz w:val="20"/>
              </w:rPr>
            </w:pPr>
          </w:p>
        </w:tc>
      </w:tr>
      <w:tr w:rsidR="007F6DF7" w14:paraId="3B89B23C" w14:textId="77777777">
        <w:trPr>
          <w:trHeight w:val="393"/>
        </w:trPr>
        <w:tc>
          <w:tcPr>
            <w:tcW w:w="5097" w:type="dxa"/>
            <w:tcBorders>
              <w:top w:val="single" w:sz="4" w:space="0" w:color="000000"/>
              <w:bottom w:val="single" w:sz="4" w:space="0" w:color="000000"/>
            </w:tcBorders>
          </w:tcPr>
          <w:p w14:paraId="4F22CDA2" w14:textId="77777777" w:rsidR="007F6DF7" w:rsidRDefault="007F6DF7">
            <w:pPr>
              <w:pStyle w:val="TableParagraph"/>
              <w:rPr>
                <w:rFonts w:ascii="Times New Roman"/>
                <w:sz w:val="20"/>
              </w:rPr>
            </w:pPr>
          </w:p>
        </w:tc>
        <w:tc>
          <w:tcPr>
            <w:tcW w:w="257" w:type="dxa"/>
            <w:tcBorders>
              <w:top w:val="single" w:sz="4" w:space="0" w:color="000000"/>
              <w:bottom w:val="single" w:sz="4" w:space="0" w:color="000000"/>
            </w:tcBorders>
          </w:tcPr>
          <w:p w14:paraId="05379905" w14:textId="77777777" w:rsidR="007F6DF7" w:rsidRDefault="007F6DF7">
            <w:pPr>
              <w:pStyle w:val="TableParagraph"/>
              <w:rPr>
                <w:rFonts w:ascii="Times New Roman"/>
                <w:sz w:val="20"/>
              </w:rPr>
            </w:pPr>
          </w:p>
        </w:tc>
        <w:tc>
          <w:tcPr>
            <w:tcW w:w="243" w:type="dxa"/>
          </w:tcPr>
          <w:p w14:paraId="40F60E23" w14:textId="77777777" w:rsidR="007F6DF7" w:rsidRDefault="007F6DF7">
            <w:pPr>
              <w:pStyle w:val="TableParagraph"/>
              <w:rPr>
                <w:rFonts w:ascii="Times New Roman"/>
                <w:sz w:val="20"/>
              </w:rPr>
            </w:pPr>
          </w:p>
        </w:tc>
        <w:tc>
          <w:tcPr>
            <w:tcW w:w="4770" w:type="dxa"/>
          </w:tcPr>
          <w:p w14:paraId="3A892CD5" w14:textId="77777777" w:rsidR="007F6DF7" w:rsidRDefault="007F6DF7">
            <w:pPr>
              <w:pStyle w:val="TableParagraph"/>
              <w:rPr>
                <w:rFonts w:ascii="Times New Roman"/>
                <w:sz w:val="20"/>
              </w:rPr>
            </w:pPr>
          </w:p>
        </w:tc>
      </w:tr>
      <w:tr w:rsidR="007F6DF7" w14:paraId="21F4B0A3" w14:textId="77777777">
        <w:trPr>
          <w:trHeight w:val="820"/>
        </w:trPr>
        <w:tc>
          <w:tcPr>
            <w:tcW w:w="5097" w:type="dxa"/>
            <w:tcBorders>
              <w:top w:val="single" w:sz="4" w:space="0" w:color="000000"/>
              <w:bottom w:val="single" w:sz="4" w:space="0" w:color="000000"/>
            </w:tcBorders>
          </w:tcPr>
          <w:p w14:paraId="2C876CE2" w14:textId="77777777" w:rsidR="007F6DF7" w:rsidRDefault="002C4268">
            <w:pPr>
              <w:pStyle w:val="TableParagraph"/>
              <w:spacing w:before="120"/>
              <w:ind w:left="7"/>
              <w:rPr>
                <w:rFonts w:ascii="Arial"/>
              </w:rPr>
            </w:pPr>
            <w:r>
              <w:rPr>
                <w:rFonts w:ascii="Arial"/>
              </w:rPr>
              <w:t>Clinic phone</w:t>
            </w:r>
          </w:p>
        </w:tc>
        <w:tc>
          <w:tcPr>
            <w:tcW w:w="257" w:type="dxa"/>
            <w:tcBorders>
              <w:top w:val="single" w:sz="4" w:space="0" w:color="000000"/>
              <w:bottom w:val="single" w:sz="4" w:space="0" w:color="000000"/>
            </w:tcBorders>
          </w:tcPr>
          <w:p w14:paraId="6268DFB5" w14:textId="77777777" w:rsidR="007F6DF7" w:rsidRDefault="007F6DF7">
            <w:pPr>
              <w:pStyle w:val="TableParagraph"/>
              <w:rPr>
                <w:rFonts w:ascii="Times New Roman"/>
                <w:sz w:val="20"/>
              </w:rPr>
            </w:pPr>
          </w:p>
        </w:tc>
        <w:tc>
          <w:tcPr>
            <w:tcW w:w="243" w:type="dxa"/>
          </w:tcPr>
          <w:p w14:paraId="6C5B1923" w14:textId="77777777" w:rsidR="007F6DF7" w:rsidRDefault="007F6DF7">
            <w:pPr>
              <w:pStyle w:val="TableParagraph"/>
              <w:rPr>
                <w:rFonts w:ascii="Times New Roman"/>
                <w:sz w:val="20"/>
              </w:rPr>
            </w:pPr>
          </w:p>
        </w:tc>
        <w:tc>
          <w:tcPr>
            <w:tcW w:w="4770" w:type="dxa"/>
          </w:tcPr>
          <w:p w14:paraId="7DE0539D" w14:textId="77777777" w:rsidR="007F6DF7" w:rsidRDefault="007F6DF7">
            <w:pPr>
              <w:pStyle w:val="TableParagraph"/>
              <w:rPr>
                <w:rFonts w:ascii="Times New Roman"/>
                <w:sz w:val="20"/>
              </w:rPr>
            </w:pPr>
          </w:p>
        </w:tc>
      </w:tr>
      <w:tr w:rsidR="007F6DF7" w14:paraId="7AB543D9" w14:textId="77777777">
        <w:trPr>
          <w:trHeight w:val="393"/>
        </w:trPr>
        <w:tc>
          <w:tcPr>
            <w:tcW w:w="5097" w:type="dxa"/>
            <w:tcBorders>
              <w:top w:val="single" w:sz="4" w:space="0" w:color="000000"/>
              <w:bottom w:val="single" w:sz="4" w:space="0" w:color="000000"/>
            </w:tcBorders>
          </w:tcPr>
          <w:p w14:paraId="432927C5" w14:textId="77777777" w:rsidR="007F6DF7" w:rsidRDefault="007F6DF7">
            <w:pPr>
              <w:pStyle w:val="TableParagraph"/>
              <w:rPr>
                <w:rFonts w:ascii="Times New Roman"/>
                <w:sz w:val="20"/>
              </w:rPr>
            </w:pPr>
          </w:p>
        </w:tc>
        <w:tc>
          <w:tcPr>
            <w:tcW w:w="257" w:type="dxa"/>
            <w:tcBorders>
              <w:top w:val="single" w:sz="4" w:space="0" w:color="000000"/>
              <w:bottom w:val="single" w:sz="4" w:space="0" w:color="000000"/>
            </w:tcBorders>
          </w:tcPr>
          <w:p w14:paraId="1CE78025" w14:textId="77777777" w:rsidR="007F6DF7" w:rsidRDefault="007F6DF7">
            <w:pPr>
              <w:pStyle w:val="TableParagraph"/>
              <w:rPr>
                <w:rFonts w:ascii="Times New Roman"/>
                <w:sz w:val="20"/>
              </w:rPr>
            </w:pPr>
          </w:p>
        </w:tc>
        <w:tc>
          <w:tcPr>
            <w:tcW w:w="243" w:type="dxa"/>
          </w:tcPr>
          <w:p w14:paraId="782BBB2B" w14:textId="77777777" w:rsidR="007F6DF7" w:rsidRDefault="007F6DF7">
            <w:pPr>
              <w:pStyle w:val="TableParagraph"/>
              <w:rPr>
                <w:rFonts w:ascii="Times New Roman"/>
                <w:sz w:val="20"/>
              </w:rPr>
            </w:pPr>
          </w:p>
        </w:tc>
        <w:tc>
          <w:tcPr>
            <w:tcW w:w="4770" w:type="dxa"/>
            <w:tcBorders>
              <w:bottom w:val="single" w:sz="4" w:space="0" w:color="000000"/>
            </w:tcBorders>
          </w:tcPr>
          <w:p w14:paraId="40B85582" w14:textId="77777777" w:rsidR="007F6DF7" w:rsidRDefault="007F6DF7">
            <w:pPr>
              <w:pStyle w:val="TableParagraph"/>
              <w:rPr>
                <w:rFonts w:ascii="Times New Roman"/>
                <w:sz w:val="20"/>
              </w:rPr>
            </w:pPr>
          </w:p>
        </w:tc>
      </w:tr>
      <w:tr w:rsidR="007F6DF7" w14:paraId="2B7A35EF" w14:textId="77777777">
        <w:trPr>
          <w:trHeight w:val="468"/>
        </w:trPr>
        <w:tc>
          <w:tcPr>
            <w:tcW w:w="5097" w:type="dxa"/>
            <w:tcBorders>
              <w:top w:val="single" w:sz="4" w:space="0" w:color="000000"/>
            </w:tcBorders>
          </w:tcPr>
          <w:p w14:paraId="16F8E40E" w14:textId="77777777" w:rsidR="007F6DF7" w:rsidRDefault="002C4268">
            <w:pPr>
              <w:pStyle w:val="TableParagraph"/>
              <w:spacing w:before="149"/>
              <w:ind w:left="7"/>
              <w:rPr>
                <w:rFonts w:ascii="Arial"/>
              </w:rPr>
            </w:pPr>
            <w:r>
              <w:rPr>
                <w:rFonts w:ascii="Arial"/>
              </w:rPr>
              <w:t>Consultant</w:t>
            </w:r>
          </w:p>
        </w:tc>
        <w:tc>
          <w:tcPr>
            <w:tcW w:w="257" w:type="dxa"/>
            <w:tcBorders>
              <w:top w:val="single" w:sz="4" w:space="0" w:color="000000"/>
              <w:right w:val="single" w:sz="4" w:space="0" w:color="000000"/>
            </w:tcBorders>
          </w:tcPr>
          <w:p w14:paraId="6551A940" w14:textId="77777777" w:rsidR="007F6DF7" w:rsidRDefault="007F6DF7">
            <w:pPr>
              <w:pStyle w:val="TableParagraph"/>
              <w:rPr>
                <w:rFonts w:ascii="Times New Roman"/>
                <w:sz w:val="20"/>
              </w:rPr>
            </w:pPr>
          </w:p>
        </w:tc>
        <w:tc>
          <w:tcPr>
            <w:tcW w:w="243" w:type="dxa"/>
            <w:tcBorders>
              <w:left w:val="single" w:sz="4" w:space="0" w:color="000000"/>
            </w:tcBorders>
          </w:tcPr>
          <w:p w14:paraId="08D6F6FC" w14:textId="77777777" w:rsidR="007F6DF7" w:rsidRDefault="007F6DF7">
            <w:pPr>
              <w:pStyle w:val="TableParagraph"/>
              <w:rPr>
                <w:rFonts w:ascii="Times New Roman"/>
                <w:sz w:val="20"/>
              </w:rPr>
            </w:pPr>
          </w:p>
        </w:tc>
        <w:tc>
          <w:tcPr>
            <w:tcW w:w="4770" w:type="dxa"/>
            <w:tcBorders>
              <w:top w:val="single" w:sz="4" w:space="0" w:color="000000"/>
              <w:bottom w:val="single" w:sz="4" w:space="0" w:color="000000"/>
              <w:right w:val="single" w:sz="4" w:space="0" w:color="000000"/>
            </w:tcBorders>
          </w:tcPr>
          <w:p w14:paraId="39CDE941" w14:textId="77777777" w:rsidR="007F6DF7" w:rsidRDefault="002C4268">
            <w:pPr>
              <w:pStyle w:val="TableParagraph"/>
              <w:spacing w:before="149"/>
              <w:ind w:left="109"/>
              <w:rPr>
                <w:rFonts w:ascii="Arial"/>
              </w:rPr>
            </w:pPr>
            <w:r>
              <w:rPr>
                <w:rFonts w:ascii="Arial"/>
              </w:rPr>
              <w:t>Email</w:t>
            </w:r>
          </w:p>
        </w:tc>
      </w:tr>
      <w:tr w:rsidR="007F6DF7" w14:paraId="52025F89" w14:textId="77777777">
        <w:trPr>
          <w:trHeight w:val="390"/>
        </w:trPr>
        <w:tc>
          <w:tcPr>
            <w:tcW w:w="5097" w:type="dxa"/>
            <w:tcBorders>
              <w:bottom w:val="single" w:sz="4" w:space="0" w:color="000000"/>
            </w:tcBorders>
          </w:tcPr>
          <w:p w14:paraId="0A73EB11" w14:textId="77777777" w:rsidR="007F6DF7" w:rsidRDefault="007F6DF7">
            <w:pPr>
              <w:pStyle w:val="TableParagraph"/>
              <w:rPr>
                <w:rFonts w:ascii="Times New Roman"/>
                <w:sz w:val="20"/>
              </w:rPr>
            </w:pPr>
          </w:p>
        </w:tc>
        <w:tc>
          <w:tcPr>
            <w:tcW w:w="257" w:type="dxa"/>
            <w:tcBorders>
              <w:bottom w:val="single" w:sz="4" w:space="0" w:color="000000"/>
            </w:tcBorders>
          </w:tcPr>
          <w:p w14:paraId="1C0DAB77" w14:textId="77777777" w:rsidR="007F6DF7" w:rsidRDefault="007F6DF7">
            <w:pPr>
              <w:pStyle w:val="TableParagraph"/>
              <w:rPr>
                <w:rFonts w:ascii="Times New Roman"/>
                <w:sz w:val="20"/>
              </w:rPr>
            </w:pPr>
          </w:p>
        </w:tc>
        <w:tc>
          <w:tcPr>
            <w:tcW w:w="243" w:type="dxa"/>
            <w:tcBorders>
              <w:bottom w:val="single" w:sz="4" w:space="0" w:color="000000"/>
            </w:tcBorders>
          </w:tcPr>
          <w:p w14:paraId="5377C839" w14:textId="77777777" w:rsidR="007F6DF7" w:rsidRDefault="007F6DF7">
            <w:pPr>
              <w:pStyle w:val="TableParagraph"/>
              <w:rPr>
                <w:rFonts w:ascii="Times New Roman"/>
                <w:sz w:val="20"/>
              </w:rPr>
            </w:pPr>
          </w:p>
        </w:tc>
        <w:tc>
          <w:tcPr>
            <w:tcW w:w="4770" w:type="dxa"/>
            <w:tcBorders>
              <w:top w:val="single" w:sz="4" w:space="0" w:color="000000"/>
              <w:bottom w:val="single" w:sz="4" w:space="0" w:color="000000"/>
            </w:tcBorders>
          </w:tcPr>
          <w:p w14:paraId="3549244D" w14:textId="77777777" w:rsidR="007F6DF7" w:rsidRDefault="007F6DF7">
            <w:pPr>
              <w:pStyle w:val="TableParagraph"/>
              <w:rPr>
                <w:rFonts w:ascii="Times New Roman"/>
                <w:sz w:val="20"/>
              </w:rPr>
            </w:pPr>
          </w:p>
        </w:tc>
      </w:tr>
      <w:tr w:rsidR="007F6DF7" w14:paraId="3794F2E2" w14:textId="77777777">
        <w:trPr>
          <w:trHeight w:val="412"/>
        </w:trPr>
        <w:tc>
          <w:tcPr>
            <w:tcW w:w="5097" w:type="dxa"/>
            <w:tcBorders>
              <w:top w:val="single" w:sz="4" w:space="0" w:color="000000"/>
              <w:bottom w:val="single" w:sz="4" w:space="0" w:color="000000"/>
            </w:tcBorders>
          </w:tcPr>
          <w:p w14:paraId="4017E223" w14:textId="77777777" w:rsidR="007F6DF7" w:rsidRDefault="002C4268">
            <w:pPr>
              <w:pStyle w:val="TableParagraph"/>
              <w:spacing w:before="120"/>
              <w:ind w:left="7"/>
              <w:rPr>
                <w:rFonts w:ascii="Arial"/>
              </w:rPr>
            </w:pPr>
            <w:r>
              <w:rPr>
                <w:rFonts w:ascii="Arial"/>
              </w:rPr>
              <w:t>Indication for prescription</w:t>
            </w:r>
          </w:p>
        </w:tc>
        <w:tc>
          <w:tcPr>
            <w:tcW w:w="257" w:type="dxa"/>
            <w:tcBorders>
              <w:top w:val="single" w:sz="4" w:space="0" w:color="000000"/>
              <w:bottom w:val="single" w:sz="4" w:space="0" w:color="000000"/>
            </w:tcBorders>
          </w:tcPr>
          <w:p w14:paraId="6F4B2A9C" w14:textId="77777777" w:rsidR="007F6DF7" w:rsidRDefault="007F6DF7">
            <w:pPr>
              <w:pStyle w:val="TableParagraph"/>
              <w:rPr>
                <w:rFonts w:ascii="Times New Roman"/>
                <w:sz w:val="20"/>
              </w:rPr>
            </w:pPr>
          </w:p>
        </w:tc>
        <w:tc>
          <w:tcPr>
            <w:tcW w:w="243" w:type="dxa"/>
            <w:tcBorders>
              <w:top w:val="single" w:sz="4" w:space="0" w:color="000000"/>
              <w:bottom w:val="single" w:sz="4" w:space="0" w:color="000000"/>
            </w:tcBorders>
          </w:tcPr>
          <w:p w14:paraId="31AE90F8" w14:textId="77777777" w:rsidR="007F6DF7" w:rsidRDefault="007F6DF7">
            <w:pPr>
              <w:pStyle w:val="TableParagraph"/>
              <w:rPr>
                <w:rFonts w:ascii="Times New Roman"/>
                <w:sz w:val="20"/>
              </w:rPr>
            </w:pPr>
          </w:p>
        </w:tc>
        <w:tc>
          <w:tcPr>
            <w:tcW w:w="4770" w:type="dxa"/>
            <w:tcBorders>
              <w:top w:val="single" w:sz="4" w:space="0" w:color="000000"/>
              <w:bottom w:val="single" w:sz="4" w:space="0" w:color="000000"/>
              <w:right w:val="single" w:sz="4" w:space="0" w:color="000000"/>
            </w:tcBorders>
          </w:tcPr>
          <w:p w14:paraId="10FC3BF5" w14:textId="77777777" w:rsidR="007F6DF7" w:rsidRDefault="007F6DF7">
            <w:pPr>
              <w:pStyle w:val="TableParagraph"/>
              <w:rPr>
                <w:rFonts w:ascii="Times New Roman"/>
                <w:sz w:val="20"/>
              </w:rPr>
            </w:pPr>
          </w:p>
        </w:tc>
      </w:tr>
      <w:tr w:rsidR="007F6DF7" w14:paraId="0DE4392A" w14:textId="77777777">
        <w:trPr>
          <w:trHeight w:val="390"/>
        </w:trPr>
        <w:tc>
          <w:tcPr>
            <w:tcW w:w="5097" w:type="dxa"/>
            <w:tcBorders>
              <w:top w:val="single" w:sz="4" w:space="0" w:color="000000"/>
              <w:bottom w:val="single" w:sz="4" w:space="0" w:color="000000"/>
            </w:tcBorders>
          </w:tcPr>
          <w:p w14:paraId="68368983" w14:textId="77777777" w:rsidR="007F6DF7" w:rsidRDefault="007F6DF7">
            <w:pPr>
              <w:pStyle w:val="TableParagraph"/>
              <w:rPr>
                <w:rFonts w:ascii="Times New Roman"/>
                <w:sz w:val="20"/>
              </w:rPr>
            </w:pPr>
          </w:p>
        </w:tc>
        <w:tc>
          <w:tcPr>
            <w:tcW w:w="257" w:type="dxa"/>
            <w:tcBorders>
              <w:top w:val="single" w:sz="4" w:space="0" w:color="000000"/>
              <w:bottom w:val="single" w:sz="4" w:space="0" w:color="000000"/>
            </w:tcBorders>
          </w:tcPr>
          <w:p w14:paraId="0F465663" w14:textId="77777777" w:rsidR="007F6DF7" w:rsidRDefault="007F6DF7">
            <w:pPr>
              <w:pStyle w:val="TableParagraph"/>
              <w:rPr>
                <w:rFonts w:ascii="Times New Roman"/>
                <w:sz w:val="20"/>
              </w:rPr>
            </w:pPr>
          </w:p>
        </w:tc>
        <w:tc>
          <w:tcPr>
            <w:tcW w:w="243" w:type="dxa"/>
            <w:tcBorders>
              <w:top w:val="single" w:sz="4" w:space="0" w:color="000000"/>
              <w:bottom w:val="single" w:sz="4" w:space="0" w:color="000000"/>
            </w:tcBorders>
          </w:tcPr>
          <w:p w14:paraId="186CC7BE" w14:textId="77777777" w:rsidR="007F6DF7" w:rsidRDefault="007F6DF7">
            <w:pPr>
              <w:pStyle w:val="TableParagraph"/>
              <w:rPr>
                <w:rFonts w:ascii="Times New Roman"/>
                <w:sz w:val="20"/>
              </w:rPr>
            </w:pPr>
          </w:p>
        </w:tc>
        <w:tc>
          <w:tcPr>
            <w:tcW w:w="4770" w:type="dxa"/>
            <w:tcBorders>
              <w:top w:val="single" w:sz="4" w:space="0" w:color="000000"/>
              <w:bottom w:val="single" w:sz="4" w:space="0" w:color="000000"/>
            </w:tcBorders>
          </w:tcPr>
          <w:p w14:paraId="20378B35" w14:textId="77777777" w:rsidR="007F6DF7" w:rsidRDefault="007F6DF7">
            <w:pPr>
              <w:pStyle w:val="TableParagraph"/>
              <w:rPr>
                <w:rFonts w:ascii="Times New Roman"/>
                <w:sz w:val="20"/>
              </w:rPr>
            </w:pPr>
          </w:p>
        </w:tc>
      </w:tr>
      <w:tr w:rsidR="007F6DF7" w14:paraId="6A271C5E" w14:textId="77777777">
        <w:trPr>
          <w:trHeight w:val="410"/>
        </w:trPr>
        <w:tc>
          <w:tcPr>
            <w:tcW w:w="5097" w:type="dxa"/>
            <w:tcBorders>
              <w:top w:val="single" w:sz="4" w:space="0" w:color="000000"/>
              <w:bottom w:val="single" w:sz="4" w:space="0" w:color="000000"/>
            </w:tcBorders>
          </w:tcPr>
          <w:p w14:paraId="0771A99F" w14:textId="77777777" w:rsidR="007F6DF7" w:rsidRDefault="002C4268">
            <w:pPr>
              <w:pStyle w:val="TableParagraph"/>
              <w:spacing w:before="120"/>
              <w:ind w:left="7"/>
              <w:rPr>
                <w:rFonts w:ascii="Arial"/>
              </w:rPr>
            </w:pPr>
            <w:r>
              <w:rPr>
                <w:rFonts w:ascii="Arial"/>
              </w:rPr>
              <w:t>Drug prescribed</w:t>
            </w:r>
          </w:p>
        </w:tc>
        <w:tc>
          <w:tcPr>
            <w:tcW w:w="257" w:type="dxa"/>
            <w:tcBorders>
              <w:top w:val="single" w:sz="4" w:space="0" w:color="000000"/>
              <w:bottom w:val="single" w:sz="4" w:space="0" w:color="000000"/>
            </w:tcBorders>
          </w:tcPr>
          <w:p w14:paraId="2E84F66E" w14:textId="77777777" w:rsidR="007F6DF7" w:rsidRDefault="007F6DF7">
            <w:pPr>
              <w:pStyle w:val="TableParagraph"/>
              <w:rPr>
                <w:rFonts w:ascii="Times New Roman"/>
                <w:sz w:val="20"/>
              </w:rPr>
            </w:pPr>
          </w:p>
        </w:tc>
        <w:tc>
          <w:tcPr>
            <w:tcW w:w="243" w:type="dxa"/>
            <w:tcBorders>
              <w:top w:val="single" w:sz="4" w:space="0" w:color="000000"/>
              <w:bottom w:val="single" w:sz="4" w:space="0" w:color="000000"/>
            </w:tcBorders>
          </w:tcPr>
          <w:p w14:paraId="3DEEA03E" w14:textId="77777777" w:rsidR="007F6DF7" w:rsidRDefault="007F6DF7">
            <w:pPr>
              <w:pStyle w:val="TableParagraph"/>
              <w:rPr>
                <w:rFonts w:ascii="Times New Roman"/>
                <w:sz w:val="20"/>
              </w:rPr>
            </w:pPr>
          </w:p>
        </w:tc>
        <w:tc>
          <w:tcPr>
            <w:tcW w:w="4770" w:type="dxa"/>
            <w:tcBorders>
              <w:top w:val="single" w:sz="4" w:space="0" w:color="000000"/>
              <w:bottom w:val="single" w:sz="4" w:space="0" w:color="000000"/>
              <w:right w:val="single" w:sz="4" w:space="0" w:color="000000"/>
            </w:tcBorders>
          </w:tcPr>
          <w:p w14:paraId="068652E7" w14:textId="77777777" w:rsidR="007F6DF7" w:rsidRDefault="007F6DF7">
            <w:pPr>
              <w:pStyle w:val="TableParagraph"/>
              <w:rPr>
                <w:rFonts w:ascii="Times New Roman"/>
                <w:sz w:val="20"/>
              </w:rPr>
            </w:pPr>
          </w:p>
        </w:tc>
      </w:tr>
      <w:tr w:rsidR="007F6DF7" w14:paraId="2912B73A" w14:textId="77777777">
        <w:trPr>
          <w:trHeight w:val="398"/>
        </w:trPr>
        <w:tc>
          <w:tcPr>
            <w:tcW w:w="5097" w:type="dxa"/>
            <w:tcBorders>
              <w:top w:val="single" w:sz="4" w:space="0" w:color="000000"/>
            </w:tcBorders>
          </w:tcPr>
          <w:p w14:paraId="797821AE" w14:textId="77777777" w:rsidR="007F6DF7" w:rsidRDefault="007F6DF7">
            <w:pPr>
              <w:pStyle w:val="TableParagraph"/>
              <w:rPr>
                <w:rFonts w:ascii="Times New Roman"/>
                <w:sz w:val="20"/>
              </w:rPr>
            </w:pPr>
          </w:p>
        </w:tc>
        <w:tc>
          <w:tcPr>
            <w:tcW w:w="257" w:type="dxa"/>
            <w:tcBorders>
              <w:top w:val="single" w:sz="4" w:space="0" w:color="000000"/>
            </w:tcBorders>
          </w:tcPr>
          <w:p w14:paraId="10B100C2" w14:textId="77777777" w:rsidR="007F6DF7" w:rsidRDefault="007F6DF7">
            <w:pPr>
              <w:pStyle w:val="TableParagraph"/>
              <w:rPr>
                <w:rFonts w:ascii="Times New Roman"/>
                <w:sz w:val="20"/>
              </w:rPr>
            </w:pPr>
          </w:p>
        </w:tc>
        <w:tc>
          <w:tcPr>
            <w:tcW w:w="243" w:type="dxa"/>
            <w:tcBorders>
              <w:top w:val="single" w:sz="4" w:space="0" w:color="000000"/>
            </w:tcBorders>
          </w:tcPr>
          <w:p w14:paraId="7176BF5B" w14:textId="77777777" w:rsidR="007F6DF7" w:rsidRDefault="007F6DF7">
            <w:pPr>
              <w:pStyle w:val="TableParagraph"/>
              <w:rPr>
                <w:rFonts w:ascii="Times New Roman"/>
                <w:sz w:val="20"/>
              </w:rPr>
            </w:pPr>
          </w:p>
        </w:tc>
        <w:tc>
          <w:tcPr>
            <w:tcW w:w="4770" w:type="dxa"/>
            <w:tcBorders>
              <w:top w:val="single" w:sz="4" w:space="0" w:color="000000"/>
            </w:tcBorders>
          </w:tcPr>
          <w:p w14:paraId="7397FEB1" w14:textId="77777777" w:rsidR="007F6DF7" w:rsidRDefault="007F6DF7">
            <w:pPr>
              <w:pStyle w:val="TableParagraph"/>
              <w:rPr>
                <w:rFonts w:ascii="Times New Roman"/>
                <w:sz w:val="20"/>
              </w:rPr>
            </w:pPr>
          </w:p>
        </w:tc>
      </w:tr>
      <w:tr w:rsidR="007F6DF7" w14:paraId="27CEA25F" w14:textId="77777777">
        <w:trPr>
          <w:trHeight w:val="470"/>
        </w:trPr>
        <w:tc>
          <w:tcPr>
            <w:tcW w:w="5097" w:type="dxa"/>
            <w:tcBorders>
              <w:right w:val="single" w:sz="4" w:space="0" w:color="000000"/>
            </w:tcBorders>
          </w:tcPr>
          <w:p w14:paraId="4E0BE757" w14:textId="77777777" w:rsidR="007F6DF7" w:rsidRDefault="002C4268">
            <w:pPr>
              <w:pStyle w:val="TableParagraph"/>
              <w:tabs>
                <w:tab w:val="left" w:pos="2734"/>
              </w:tabs>
              <w:spacing w:before="125"/>
              <w:ind w:left="7"/>
              <w:rPr>
                <w:rFonts w:ascii="Arial"/>
              </w:rPr>
            </w:pPr>
            <w:r>
              <w:rPr>
                <w:rFonts w:ascii="Arial"/>
              </w:rPr>
              <w:t>Date</w:t>
            </w:r>
            <w:r>
              <w:rPr>
                <w:rFonts w:ascii="Arial"/>
              </w:rPr>
              <w:tab/>
              <w:t>Drug</w:t>
            </w:r>
            <w:r>
              <w:rPr>
                <w:rFonts w:ascii="Arial"/>
                <w:spacing w:val="-3"/>
              </w:rPr>
              <w:t xml:space="preserve"> </w:t>
            </w:r>
            <w:r>
              <w:rPr>
                <w:rFonts w:ascii="Arial"/>
              </w:rPr>
              <w:t>started</w:t>
            </w:r>
          </w:p>
        </w:tc>
        <w:tc>
          <w:tcPr>
            <w:tcW w:w="257" w:type="dxa"/>
            <w:tcBorders>
              <w:left w:val="single" w:sz="4" w:space="0" w:color="000000"/>
            </w:tcBorders>
          </w:tcPr>
          <w:p w14:paraId="39B6C215" w14:textId="77777777" w:rsidR="007F6DF7" w:rsidRDefault="007F6DF7">
            <w:pPr>
              <w:pStyle w:val="TableParagraph"/>
              <w:rPr>
                <w:rFonts w:ascii="Times New Roman"/>
                <w:sz w:val="20"/>
              </w:rPr>
            </w:pPr>
          </w:p>
        </w:tc>
        <w:tc>
          <w:tcPr>
            <w:tcW w:w="243" w:type="dxa"/>
          </w:tcPr>
          <w:p w14:paraId="3340726D" w14:textId="77777777" w:rsidR="007F6DF7" w:rsidRDefault="007F6DF7">
            <w:pPr>
              <w:pStyle w:val="TableParagraph"/>
              <w:rPr>
                <w:rFonts w:ascii="Times New Roman"/>
                <w:sz w:val="20"/>
              </w:rPr>
            </w:pPr>
          </w:p>
        </w:tc>
        <w:tc>
          <w:tcPr>
            <w:tcW w:w="4770" w:type="dxa"/>
          </w:tcPr>
          <w:p w14:paraId="4A728E6C" w14:textId="77777777" w:rsidR="007F6DF7" w:rsidRDefault="002C4268">
            <w:pPr>
              <w:pStyle w:val="TableParagraph"/>
              <w:spacing w:before="125"/>
              <w:ind w:left="471"/>
              <w:rPr>
                <w:rFonts w:ascii="Arial"/>
              </w:rPr>
            </w:pPr>
            <w:r>
              <w:rPr>
                <w:rFonts w:ascii="Arial"/>
              </w:rPr>
              <w:t>Current dose</w:t>
            </w:r>
          </w:p>
        </w:tc>
      </w:tr>
      <w:tr w:rsidR="007F6DF7" w14:paraId="57F4AD7A" w14:textId="77777777">
        <w:trPr>
          <w:trHeight w:val="398"/>
        </w:trPr>
        <w:tc>
          <w:tcPr>
            <w:tcW w:w="5097" w:type="dxa"/>
            <w:tcBorders>
              <w:bottom w:val="single" w:sz="4" w:space="0" w:color="000000"/>
            </w:tcBorders>
          </w:tcPr>
          <w:p w14:paraId="3D37E7E2" w14:textId="77777777" w:rsidR="007F6DF7" w:rsidRDefault="007F6DF7">
            <w:pPr>
              <w:pStyle w:val="TableParagraph"/>
              <w:rPr>
                <w:rFonts w:ascii="Times New Roman"/>
                <w:sz w:val="20"/>
              </w:rPr>
            </w:pPr>
          </w:p>
        </w:tc>
        <w:tc>
          <w:tcPr>
            <w:tcW w:w="257" w:type="dxa"/>
            <w:tcBorders>
              <w:bottom w:val="single" w:sz="4" w:space="0" w:color="000000"/>
            </w:tcBorders>
          </w:tcPr>
          <w:p w14:paraId="24C7ACFC" w14:textId="77777777" w:rsidR="007F6DF7" w:rsidRDefault="007F6DF7">
            <w:pPr>
              <w:pStyle w:val="TableParagraph"/>
              <w:rPr>
                <w:rFonts w:ascii="Times New Roman"/>
                <w:sz w:val="20"/>
              </w:rPr>
            </w:pPr>
          </w:p>
        </w:tc>
        <w:tc>
          <w:tcPr>
            <w:tcW w:w="243" w:type="dxa"/>
            <w:tcBorders>
              <w:bottom w:val="single" w:sz="4" w:space="0" w:color="000000"/>
            </w:tcBorders>
          </w:tcPr>
          <w:p w14:paraId="1B43F7E5" w14:textId="77777777" w:rsidR="007F6DF7" w:rsidRDefault="007F6DF7">
            <w:pPr>
              <w:pStyle w:val="TableParagraph"/>
              <w:rPr>
                <w:rFonts w:ascii="Times New Roman"/>
                <w:sz w:val="20"/>
              </w:rPr>
            </w:pPr>
          </w:p>
        </w:tc>
        <w:tc>
          <w:tcPr>
            <w:tcW w:w="4770" w:type="dxa"/>
            <w:tcBorders>
              <w:bottom w:val="single" w:sz="4" w:space="0" w:color="000000"/>
            </w:tcBorders>
          </w:tcPr>
          <w:p w14:paraId="1989D673" w14:textId="77777777" w:rsidR="007F6DF7" w:rsidRDefault="007F6DF7">
            <w:pPr>
              <w:pStyle w:val="TableParagraph"/>
              <w:rPr>
                <w:rFonts w:ascii="Times New Roman"/>
                <w:sz w:val="20"/>
              </w:rPr>
            </w:pPr>
          </w:p>
        </w:tc>
      </w:tr>
      <w:tr w:rsidR="007F6DF7" w14:paraId="167CDEE7" w14:textId="77777777">
        <w:trPr>
          <w:trHeight w:val="467"/>
        </w:trPr>
        <w:tc>
          <w:tcPr>
            <w:tcW w:w="5097" w:type="dxa"/>
            <w:tcBorders>
              <w:top w:val="single" w:sz="4" w:space="0" w:color="000000"/>
              <w:bottom w:val="single" w:sz="4" w:space="0" w:color="000000"/>
            </w:tcBorders>
          </w:tcPr>
          <w:p w14:paraId="60B007E5" w14:textId="77777777" w:rsidR="007F6DF7" w:rsidRDefault="002C4268">
            <w:pPr>
              <w:pStyle w:val="TableParagraph"/>
              <w:spacing w:before="120"/>
              <w:ind w:left="7"/>
              <w:rPr>
                <w:rFonts w:ascii="Arial"/>
              </w:rPr>
            </w:pPr>
            <w:r>
              <w:rPr>
                <w:rFonts w:ascii="Arial"/>
              </w:rPr>
              <w:t>Relevant conditions</w:t>
            </w:r>
          </w:p>
        </w:tc>
        <w:tc>
          <w:tcPr>
            <w:tcW w:w="257" w:type="dxa"/>
            <w:tcBorders>
              <w:top w:val="single" w:sz="4" w:space="0" w:color="000000"/>
              <w:bottom w:val="single" w:sz="4" w:space="0" w:color="000000"/>
            </w:tcBorders>
          </w:tcPr>
          <w:p w14:paraId="5C2BCF94" w14:textId="77777777" w:rsidR="007F6DF7" w:rsidRDefault="007F6DF7">
            <w:pPr>
              <w:pStyle w:val="TableParagraph"/>
              <w:rPr>
                <w:rFonts w:ascii="Times New Roman"/>
                <w:sz w:val="20"/>
              </w:rPr>
            </w:pPr>
          </w:p>
        </w:tc>
        <w:tc>
          <w:tcPr>
            <w:tcW w:w="243" w:type="dxa"/>
            <w:tcBorders>
              <w:top w:val="single" w:sz="4" w:space="0" w:color="000000"/>
              <w:bottom w:val="single" w:sz="4" w:space="0" w:color="000000"/>
            </w:tcBorders>
          </w:tcPr>
          <w:p w14:paraId="17C7567B" w14:textId="77777777" w:rsidR="007F6DF7" w:rsidRDefault="007F6DF7">
            <w:pPr>
              <w:pStyle w:val="TableParagraph"/>
              <w:rPr>
                <w:rFonts w:ascii="Times New Roman"/>
                <w:sz w:val="20"/>
              </w:rPr>
            </w:pPr>
          </w:p>
        </w:tc>
        <w:tc>
          <w:tcPr>
            <w:tcW w:w="4770" w:type="dxa"/>
            <w:tcBorders>
              <w:top w:val="single" w:sz="4" w:space="0" w:color="000000"/>
              <w:bottom w:val="single" w:sz="4" w:space="0" w:color="000000"/>
              <w:right w:val="single" w:sz="4" w:space="0" w:color="000000"/>
            </w:tcBorders>
          </w:tcPr>
          <w:p w14:paraId="554D6DDF" w14:textId="77777777" w:rsidR="007F6DF7" w:rsidRDefault="007F6DF7">
            <w:pPr>
              <w:pStyle w:val="TableParagraph"/>
              <w:rPr>
                <w:rFonts w:ascii="Times New Roman"/>
                <w:sz w:val="20"/>
              </w:rPr>
            </w:pPr>
          </w:p>
        </w:tc>
      </w:tr>
      <w:tr w:rsidR="007F6DF7" w14:paraId="7BAAD841" w14:textId="77777777">
        <w:trPr>
          <w:trHeight w:val="390"/>
        </w:trPr>
        <w:tc>
          <w:tcPr>
            <w:tcW w:w="5097" w:type="dxa"/>
            <w:tcBorders>
              <w:top w:val="single" w:sz="4" w:space="0" w:color="000000"/>
              <w:bottom w:val="single" w:sz="4" w:space="0" w:color="000000"/>
            </w:tcBorders>
          </w:tcPr>
          <w:p w14:paraId="4F80040E" w14:textId="77777777" w:rsidR="007F6DF7" w:rsidRDefault="007F6DF7">
            <w:pPr>
              <w:pStyle w:val="TableParagraph"/>
              <w:rPr>
                <w:rFonts w:ascii="Times New Roman"/>
                <w:sz w:val="20"/>
              </w:rPr>
            </w:pPr>
          </w:p>
        </w:tc>
        <w:tc>
          <w:tcPr>
            <w:tcW w:w="257" w:type="dxa"/>
            <w:tcBorders>
              <w:top w:val="single" w:sz="4" w:space="0" w:color="000000"/>
              <w:bottom w:val="single" w:sz="4" w:space="0" w:color="000000"/>
            </w:tcBorders>
          </w:tcPr>
          <w:p w14:paraId="7D287981" w14:textId="77777777" w:rsidR="007F6DF7" w:rsidRDefault="007F6DF7">
            <w:pPr>
              <w:pStyle w:val="TableParagraph"/>
              <w:rPr>
                <w:rFonts w:ascii="Times New Roman"/>
                <w:sz w:val="20"/>
              </w:rPr>
            </w:pPr>
          </w:p>
        </w:tc>
        <w:tc>
          <w:tcPr>
            <w:tcW w:w="243" w:type="dxa"/>
            <w:tcBorders>
              <w:top w:val="single" w:sz="4" w:space="0" w:color="000000"/>
              <w:bottom w:val="single" w:sz="4" w:space="0" w:color="000000"/>
            </w:tcBorders>
          </w:tcPr>
          <w:p w14:paraId="14CA43B3" w14:textId="77777777" w:rsidR="007F6DF7" w:rsidRDefault="007F6DF7">
            <w:pPr>
              <w:pStyle w:val="TableParagraph"/>
              <w:rPr>
                <w:rFonts w:ascii="Times New Roman"/>
                <w:sz w:val="20"/>
              </w:rPr>
            </w:pPr>
          </w:p>
        </w:tc>
        <w:tc>
          <w:tcPr>
            <w:tcW w:w="4770" w:type="dxa"/>
            <w:tcBorders>
              <w:top w:val="single" w:sz="4" w:space="0" w:color="000000"/>
              <w:bottom w:val="single" w:sz="4" w:space="0" w:color="000000"/>
            </w:tcBorders>
          </w:tcPr>
          <w:p w14:paraId="2E93EAFE" w14:textId="77777777" w:rsidR="007F6DF7" w:rsidRDefault="007F6DF7">
            <w:pPr>
              <w:pStyle w:val="TableParagraph"/>
              <w:rPr>
                <w:rFonts w:ascii="Times New Roman"/>
                <w:sz w:val="20"/>
              </w:rPr>
            </w:pPr>
          </w:p>
        </w:tc>
      </w:tr>
      <w:tr w:rsidR="007F6DF7" w14:paraId="4A24E5D9" w14:textId="77777777">
        <w:trPr>
          <w:trHeight w:val="467"/>
        </w:trPr>
        <w:tc>
          <w:tcPr>
            <w:tcW w:w="5097" w:type="dxa"/>
            <w:tcBorders>
              <w:top w:val="single" w:sz="4" w:space="0" w:color="000000"/>
              <w:bottom w:val="single" w:sz="4" w:space="0" w:color="000000"/>
            </w:tcBorders>
          </w:tcPr>
          <w:p w14:paraId="6437287A" w14:textId="77777777" w:rsidR="007F6DF7" w:rsidRDefault="002C4268">
            <w:pPr>
              <w:pStyle w:val="TableParagraph"/>
              <w:spacing w:before="120"/>
              <w:ind w:left="7"/>
              <w:rPr>
                <w:rFonts w:ascii="Arial"/>
              </w:rPr>
            </w:pPr>
            <w:r>
              <w:rPr>
                <w:rFonts w:ascii="Arial"/>
              </w:rPr>
              <w:t>Monitoring variations</w:t>
            </w:r>
          </w:p>
        </w:tc>
        <w:tc>
          <w:tcPr>
            <w:tcW w:w="257" w:type="dxa"/>
            <w:tcBorders>
              <w:top w:val="single" w:sz="4" w:space="0" w:color="000000"/>
              <w:bottom w:val="single" w:sz="4" w:space="0" w:color="000000"/>
            </w:tcBorders>
          </w:tcPr>
          <w:p w14:paraId="3318BBB2" w14:textId="77777777" w:rsidR="007F6DF7" w:rsidRDefault="007F6DF7">
            <w:pPr>
              <w:pStyle w:val="TableParagraph"/>
              <w:rPr>
                <w:rFonts w:ascii="Times New Roman"/>
                <w:sz w:val="20"/>
              </w:rPr>
            </w:pPr>
          </w:p>
        </w:tc>
        <w:tc>
          <w:tcPr>
            <w:tcW w:w="243" w:type="dxa"/>
            <w:tcBorders>
              <w:top w:val="single" w:sz="4" w:space="0" w:color="000000"/>
              <w:bottom w:val="single" w:sz="4" w:space="0" w:color="000000"/>
            </w:tcBorders>
          </w:tcPr>
          <w:p w14:paraId="56E55A4E" w14:textId="77777777" w:rsidR="007F6DF7" w:rsidRDefault="007F6DF7">
            <w:pPr>
              <w:pStyle w:val="TableParagraph"/>
              <w:rPr>
                <w:rFonts w:ascii="Times New Roman"/>
                <w:sz w:val="20"/>
              </w:rPr>
            </w:pPr>
          </w:p>
        </w:tc>
        <w:tc>
          <w:tcPr>
            <w:tcW w:w="4770" w:type="dxa"/>
            <w:tcBorders>
              <w:top w:val="single" w:sz="4" w:space="0" w:color="000000"/>
              <w:bottom w:val="single" w:sz="4" w:space="0" w:color="000000"/>
              <w:right w:val="single" w:sz="4" w:space="0" w:color="000000"/>
            </w:tcBorders>
          </w:tcPr>
          <w:p w14:paraId="37C6367B" w14:textId="77777777" w:rsidR="007F6DF7" w:rsidRDefault="007F6DF7">
            <w:pPr>
              <w:pStyle w:val="TableParagraph"/>
              <w:rPr>
                <w:rFonts w:ascii="Times New Roman"/>
                <w:sz w:val="20"/>
              </w:rPr>
            </w:pPr>
          </w:p>
        </w:tc>
      </w:tr>
    </w:tbl>
    <w:p w14:paraId="04929585" w14:textId="7AC8AFC0" w:rsidR="007F6DF7" w:rsidRDefault="002C4268">
      <w:pPr>
        <w:pStyle w:val="BodyText"/>
        <w:spacing w:before="7"/>
        <w:rPr>
          <w:b/>
          <w:sz w:val="28"/>
        </w:rPr>
      </w:pPr>
      <w:r>
        <w:rPr>
          <w:noProof/>
        </w:rPr>
        <mc:AlternateContent>
          <mc:Choice Requires="wpg">
            <w:drawing>
              <wp:anchor distT="0" distB="0" distL="0" distR="0" simplePos="0" relativeHeight="251667968" behindDoc="1" locked="0" layoutInCell="1" allowOverlap="1" wp14:anchorId="452498CE" wp14:editId="5F69D978">
                <wp:simplePos x="0" y="0"/>
                <wp:positionH relativeFrom="page">
                  <wp:posOffset>2016760</wp:posOffset>
                </wp:positionH>
                <wp:positionV relativeFrom="paragraph">
                  <wp:posOffset>250190</wp:posOffset>
                </wp:positionV>
                <wp:extent cx="1264285" cy="309880"/>
                <wp:effectExtent l="6985" t="12065" r="5080" b="1905"/>
                <wp:wrapTopAndBottom/>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4285" cy="309880"/>
                          <a:chOff x="3176" y="394"/>
                          <a:chExt cx="1991" cy="488"/>
                        </a:xfrm>
                      </wpg:grpSpPr>
                      <wps:wsp>
                        <wps:cNvPr id="33" name="Line 29"/>
                        <wps:cNvCnPr>
                          <a:cxnSpLocks noChangeShapeType="1"/>
                        </wps:cNvCnPr>
                        <wps:spPr bwMode="auto">
                          <a:xfrm>
                            <a:off x="3185" y="398"/>
                            <a:ext cx="19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28"/>
                        <wps:cNvCnPr>
                          <a:cxnSpLocks noChangeShapeType="1"/>
                        </wps:cNvCnPr>
                        <wps:spPr bwMode="auto">
                          <a:xfrm>
                            <a:off x="3180" y="394"/>
                            <a:ext cx="0" cy="47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27"/>
                        <wps:cNvCnPr>
                          <a:cxnSpLocks noChangeShapeType="1"/>
                        </wps:cNvCnPr>
                        <wps:spPr bwMode="auto">
                          <a:xfrm>
                            <a:off x="5161" y="394"/>
                            <a:ext cx="0" cy="47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26"/>
                        <wps:cNvSpPr>
                          <a:spLocks noChangeArrowheads="1"/>
                        </wps:cNvSpPr>
                        <wps:spPr bwMode="auto">
                          <a:xfrm>
                            <a:off x="3175" y="8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5"/>
                        <wps:cNvSpPr>
                          <a:spLocks noChangeArrowheads="1"/>
                        </wps:cNvSpPr>
                        <wps:spPr bwMode="auto">
                          <a:xfrm>
                            <a:off x="3175" y="8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24"/>
                        <wps:cNvCnPr>
                          <a:cxnSpLocks noChangeShapeType="1"/>
                        </wps:cNvCnPr>
                        <wps:spPr bwMode="auto">
                          <a:xfrm>
                            <a:off x="3185" y="876"/>
                            <a:ext cx="19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23"/>
                        <wps:cNvSpPr>
                          <a:spLocks noChangeArrowheads="1"/>
                        </wps:cNvSpPr>
                        <wps:spPr bwMode="auto">
                          <a:xfrm>
                            <a:off x="5156" y="8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2"/>
                        <wps:cNvSpPr>
                          <a:spLocks noChangeArrowheads="1"/>
                        </wps:cNvSpPr>
                        <wps:spPr bwMode="auto">
                          <a:xfrm>
                            <a:off x="5156" y="8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F8EE8" id="Group 21" o:spid="_x0000_s1026" style="position:absolute;margin-left:158.8pt;margin-top:19.7pt;width:99.55pt;height:24.4pt;z-index:-251648512;mso-wrap-distance-left:0;mso-wrap-distance-right:0;mso-position-horizontal-relative:page" coordorigin="3176,394" coordsize="199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">
                <v:line id="Line 29" o:spid="_x0000_s1027" style="position:absolute;visibility:visible;mso-wrap-style:square" from="3185,398" to="5156,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28" o:spid="_x0000_s1028" style="position:absolute;visibility:visible;mso-wrap-style:square" from="3180,394" to="318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27" o:spid="_x0000_s1029" style="position:absolute;visibility:visible;mso-wrap-style:square" from="5161,394" to="516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rect id="Rectangle 26" o:spid="_x0000_s1030" style="position:absolute;left:3175;top:8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25" o:spid="_x0000_s1031" style="position:absolute;left:3175;top:8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24" o:spid="_x0000_s1032" style="position:absolute;visibility:visible;mso-wrap-style:square" from="3185,876" to="515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rect id="Rectangle 23" o:spid="_x0000_s1033" style="position:absolute;left:5156;top:8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22" o:spid="_x0000_s1034" style="position:absolute;left:5156;top:8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w10:wrap type="topAndBottom" anchorx="page"/>
              </v:group>
            </w:pict>
          </mc:Fallback>
        </mc:AlternateContent>
      </w:r>
      <w:r>
        <w:rPr>
          <w:noProof/>
        </w:rPr>
        <mc:AlternateContent>
          <mc:Choice Requires="wpg">
            <w:drawing>
              <wp:anchor distT="0" distB="0" distL="0" distR="0" simplePos="0" relativeHeight="251668992" behindDoc="1" locked="0" layoutInCell="1" allowOverlap="1" wp14:anchorId="2806F912" wp14:editId="49868CE8">
                <wp:simplePos x="0" y="0"/>
                <wp:positionH relativeFrom="page">
                  <wp:posOffset>5252720</wp:posOffset>
                </wp:positionH>
                <wp:positionV relativeFrom="paragraph">
                  <wp:posOffset>250190</wp:posOffset>
                </wp:positionV>
                <wp:extent cx="561340" cy="309880"/>
                <wp:effectExtent l="4445" t="12065" r="5715" b="1905"/>
                <wp:wrapTopAndBottom/>
                <wp:docPr id="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 cy="309880"/>
                          <a:chOff x="8272" y="394"/>
                          <a:chExt cx="884" cy="488"/>
                        </a:xfrm>
                      </wpg:grpSpPr>
                      <wps:wsp>
                        <wps:cNvPr id="24" name="Line 20"/>
                        <wps:cNvCnPr>
                          <a:cxnSpLocks noChangeShapeType="1"/>
                        </wps:cNvCnPr>
                        <wps:spPr bwMode="auto">
                          <a:xfrm>
                            <a:off x="8282" y="398"/>
                            <a:ext cx="86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8277" y="394"/>
                            <a:ext cx="0" cy="47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18"/>
                        <wps:cNvCnPr>
                          <a:cxnSpLocks noChangeShapeType="1"/>
                        </wps:cNvCnPr>
                        <wps:spPr bwMode="auto">
                          <a:xfrm>
                            <a:off x="9151" y="394"/>
                            <a:ext cx="0" cy="47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17"/>
                        <wps:cNvSpPr>
                          <a:spLocks noChangeArrowheads="1"/>
                        </wps:cNvSpPr>
                        <wps:spPr bwMode="auto">
                          <a:xfrm>
                            <a:off x="8272" y="8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6"/>
                        <wps:cNvSpPr>
                          <a:spLocks noChangeArrowheads="1"/>
                        </wps:cNvSpPr>
                        <wps:spPr bwMode="auto">
                          <a:xfrm>
                            <a:off x="8272" y="8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15"/>
                        <wps:cNvCnPr>
                          <a:cxnSpLocks noChangeShapeType="1"/>
                        </wps:cNvCnPr>
                        <wps:spPr bwMode="auto">
                          <a:xfrm>
                            <a:off x="8282" y="876"/>
                            <a:ext cx="86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14"/>
                        <wps:cNvSpPr>
                          <a:spLocks noChangeArrowheads="1"/>
                        </wps:cNvSpPr>
                        <wps:spPr bwMode="auto">
                          <a:xfrm>
                            <a:off x="9146" y="8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3"/>
                        <wps:cNvSpPr>
                          <a:spLocks noChangeArrowheads="1"/>
                        </wps:cNvSpPr>
                        <wps:spPr bwMode="auto">
                          <a:xfrm>
                            <a:off x="9146" y="8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C46B2" id="Group 12" o:spid="_x0000_s1026" style="position:absolute;margin-left:413.6pt;margin-top:19.7pt;width:44.2pt;height:24.4pt;z-index:-251647488;mso-wrap-distance-left:0;mso-wrap-distance-right:0;mso-position-horizontal-relative:page" coordorigin="8272,394" coordsize="88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">
                <v:line id="Line 20" o:spid="_x0000_s1027" style="position:absolute;visibility:visible;mso-wrap-style:square" from="8282,398" to="9146,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9" o:spid="_x0000_s1028" style="position:absolute;visibility:visible;mso-wrap-style:square" from="8277,394" to="827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8" o:spid="_x0000_s1029" style="position:absolute;visibility:visible;mso-wrap-style:square" from="9151,394" to="91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rect id="Rectangle 17" o:spid="_x0000_s1030" style="position:absolute;left:8272;top:8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16" o:spid="_x0000_s1031" style="position:absolute;left:8272;top:8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15" o:spid="_x0000_s1032" style="position:absolute;visibility:visible;mso-wrap-style:square" from="8282,876" to="914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rect id="Rectangle 14" o:spid="_x0000_s1033" style="position:absolute;left:9146;top:8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13" o:spid="_x0000_s1034" style="position:absolute;left:9146;top:8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w10:wrap type="topAndBottom" anchorx="page"/>
              </v:group>
            </w:pict>
          </mc:Fallback>
        </mc:AlternateContent>
      </w:r>
    </w:p>
    <w:p w14:paraId="067EC113" w14:textId="77777777" w:rsidR="007F6DF7" w:rsidRDefault="007F6DF7">
      <w:pPr>
        <w:rPr>
          <w:sz w:val="28"/>
        </w:rPr>
        <w:sectPr w:rsidR="007F6DF7">
          <w:headerReference w:type="default" r:id="rId92"/>
          <w:pgSz w:w="11910" w:h="16840"/>
          <w:pgMar w:top="1100" w:right="720" w:bottom="1880" w:left="400" w:header="0" w:footer="1595"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3"/>
      </w:tblGrid>
      <w:tr w:rsidR="007F6DF7" w14:paraId="1C9DA9F2" w14:textId="77777777">
        <w:trPr>
          <w:trHeight w:val="1227"/>
        </w:trPr>
        <w:tc>
          <w:tcPr>
            <w:tcW w:w="10563" w:type="dxa"/>
            <w:tcBorders>
              <w:top w:val="nil"/>
              <w:left w:val="nil"/>
              <w:right w:val="nil"/>
            </w:tcBorders>
          </w:tcPr>
          <w:p w14:paraId="47C19A64" w14:textId="77777777" w:rsidR="007F6DF7" w:rsidRDefault="002C4268">
            <w:pPr>
              <w:pStyle w:val="TableParagraph"/>
              <w:spacing w:line="247" w:lineRule="exact"/>
              <w:ind w:left="200"/>
              <w:rPr>
                <w:rFonts w:ascii="Arial"/>
                <w:b/>
                <w:i/>
              </w:rPr>
            </w:pPr>
            <w:r>
              <w:rPr>
                <w:rFonts w:ascii="Arial"/>
                <w:b/>
              </w:rPr>
              <w:lastRenderedPageBreak/>
              <w:t xml:space="preserve">Section B: [Accept Shared Care] to be completed by practice </w:t>
            </w:r>
            <w:r>
              <w:rPr>
                <w:rFonts w:ascii="Arial"/>
                <w:i/>
              </w:rPr>
              <w:t xml:space="preserve">Send back </w:t>
            </w:r>
            <w:r>
              <w:rPr>
                <w:rFonts w:ascii="Arial"/>
                <w:b/>
                <w:i/>
              </w:rPr>
              <w:t xml:space="preserve">FAO referring </w:t>
            </w:r>
            <w:proofErr w:type="gramStart"/>
            <w:r>
              <w:rPr>
                <w:rFonts w:ascii="Arial"/>
                <w:b/>
                <w:i/>
              </w:rPr>
              <w:t>consultant</w:t>
            </w:r>
            <w:proofErr w:type="gramEnd"/>
          </w:p>
          <w:p w14:paraId="694CD9C6" w14:textId="77777777" w:rsidR="007F6DF7" w:rsidRDefault="002C4268">
            <w:pPr>
              <w:pStyle w:val="TableParagraph"/>
              <w:spacing w:before="40"/>
              <w:ind w:left="200"/>
              <w:rPr>
                <w:rFonts w:ascii="Arial"/>
                <w:i/>
              </w:rPr>
            </w:pPr>
            <w:r>
              <w:rPr>
                <w:rFonts w:ascii="Arial"/>
                <w:i/>
              </w:rPr>
              <w:t>above</w:t>
            </w:r>
          </w:p>
          <w:p w14:paraId="444B6CE7" w14:textId="77777777" w:rsidR="007F6DF7" w:rsidRDefault="002C4268">
            <w:pPr>
              <w:pStyle w:val="TableParagraph"/>
              <w:spacing w:before="157"/>
              <w:ind w:left="200"/>
              <w:rPr>
                <w:rFonts w:ascii="Arial"/>
              </w:rPr>
            </w:pPr>
            <w:r>
              <w:rPr>
                <w:rFonts w:ascii="Arial"/>
              </w:rPr>
              <w:t>The above patient has been accepted into our monitoring service.</w:t>
            </w:r>
          </w:p>
        </w:tc>
      </w:tr>
      <w:tr w:rsidR="007F6DF7" w14:paraId="3512BA85" w14:textId="77777777">
        <w:trPr>
          <w:trHeight w:val="467"/>
        </w:trPr>
        <w:tc>
          <w:tcPr>
            <w:tcW w:w="10563" w:type="dxa"/>
            <w:tcBorders>
              <w:left w:val="nil"/>
            </w:tcBorders>
          </w:tcPr>
          <w:p w14:paraId="678D5C17" w14:textId="77777777" w:rsidR="007F6DF7" w:rsidRDefault="002C4268">
            <w:pPr>
              <w:pStyle w:val="TableParagraph"/>
              <w:spacing w:before="120"/>
              <w:ind w:left="6299"/>
              <w:rPr>
                <w:rFonts w:ascii="Arial"/>
              </w:rPr>
            </w:pPr>
            <w:r>
              <w:rPr>
                <w:rFonts w:ascii="Arial"/>
              </w:rPr>
              <w:t>Practice stamp</w:t>
            </w:r>
          </w:p>
        </w:tc>
      </w:tr>
      <w:tr w:rsidR="007F6DF7" w14:paraId="1558E8BF" w14:textId="77777777">
        <w:trPr>
          <w:trHeight w:val="393"/>
        </w:trPr>
        <w:tc>
          <w:tcPr>
            <w:tcW w:w="10563" w:type="dxa"/>
            <w:tcBorders>
              <w:left w:val="nil"/>
            </w:tcBorders>
          </w:tcPr>
          <w:p w14:paraId="2A8A43D4" w14:textId="77777777" w:rsidR="007F6DF7" w:rsidRDefault="007F6DF7">
            <w:pPr>
              <w:pStyle w:val="TableParagraph"/>
              <w:rPr>
                <w:rFonts w:ascii="Times New Roman"/>
                <w:sz w:val="20"/>
              </w:rPr>
            </w:pPr>
          </w:p>
        </w:tc>
      </w:tr>
      <w:tr w:rsidR="007F6DF7" w14:paraId="67534D64" w14:textId="77777777">
        <w:trPr>
          <w:trHeight w:val="820"/>
        </w:trPr>
        <w:tc>
          <w:tcPr>
            <w:tcW w:w="10563" w:type="dxa"/>
            <w:tcBorders>
              <w:left w:val="nil"/>
            </w:tcBorders>
          </w:tcPr>
          <w:p w14:paraId="0EE59ADE" w14:textId="77777777" w:rsidR="007F6DF7" w:rsidRDefault="002C4268">
            <w:pPr>
              <w:pStyle w:val="TableParagraph"/>
              <w:spacing w:before="120"/>
              <w:ind w:left="200"/>
              <w:rPr>
                <w:rFonts w:ascii="Arial"/>
              </w:rPr>
            </w:pPr>
            <w:r>
              <w:rPr>
                <w:rFonts w:ascii="Arial"/>
              </w:rPr>
              <w:t>Signed /</w:t>
            </w:r>
          </w:p>
          <w:p w14:paraId="1972E1F6" w14:textId="77777777" w:rsidR="007F6DF7" w:rsidRDefault="002C4268">
            <w:pPr>
              <w:pStyle w:val="TableParagraph"/>
              <w:spacing w:before="157"/>
              <w:ind w:left="200"/>
              <w:rPr>
                <w:rFonts w:ascii="Arial"/>
              </w:rPr>
            </w:pPr>
            <w:r>
              <w:rPr>
                <w:rFonts w:ascii="Arial"/>
              </w:rPr>
              <w:t>Designation</w:t>
            </w:r>
          </w:p>
        </w:tc>
      </w:tr>
      <w:tr w:rsidR="007F6DF7" w14:paraId="2D36A820" w14:textId="77777777">
        <w:trPr>
          <w:trHeight w:val="231"/>
        </w:trPr>
        <w:tc>
          <w:tcPr>
            <w:tcW w:w="10563" w:type="dxa"/>
            <w:tcBorders>
              <w:left w:val="nil"/>
              <w:bottom w:val="nil"/>
            </w:tcBorders>
          </w:tcPr>
          <w:p w14:paraId="01CCE9EC" w14:textId="77777777" w:rsidR="007F6DF7" w:rsidRDefault="007F6DF7">
            <w:pPr>
              <w:pStyle w:val="TableParagraph"/>
              <w:rPr>
                <w:rFonts w:ascii="Times New Roman"/>
                <w:sz w:val="16"/>
              </w:rPr>
            </w:pPr>
          </w:p>
        </w:tc>
      </w:tr>
      <w:tr w:rsidR="007F6DF7" w14:paraId="44828CD5" w14:textId="77777777">
        <w:trPr>
          <w:trHeight w:val="1122"/>
        </w:trPr>
        <w:tc>
          <w:tcPr>
            <w:tcW w:w="10563" w:type="dxa"/>
            <w:tcBorders>
              <w:top w:val="nil"/>
              <w:left w:val="nil"/>
            </w:tcBorders>
          </w:tcPr>
          <w:p w14:paraId="24DC9F9B" w14:textId="77777777" w:rsidR="007F6DF7" w:rsidRDefault="007F6DF7">
            <w:pPr>
              <w:pStyle w:val="TableParagraph"/>
              <w:spacing w:before="8"/>
              <w:rPr>
                <w:b/>
                <w:sz w:val="29"/>
              </w:rPr>
            </w:pPr>
          </w:p>
          <w:p w14:paraId="3EE3CED5" w14:textId="77777777" w:rsidR="007F6DF7" w:rsidRDefault="002C4268">
            <w:pPr>
              <w:pStyle w:val="TableParagraph"/>
              <w:ind w:left="200"/>
              <w:rPr>
                <w:rFonts w:ascii="Arial"/>
              </w:rPr>
            </w:pPr>
            <w:r>
              <w:rPr>
                <w:rFonts w:ascii="Arial"/>
              </w:rPr>
              <w:t>Date</w:t>
            </w:r>
          </w:p>
        </w:tc>
      </w:tr>
    </w:tbl>
    <w:p w14:paraId="5F619DD8" w14:textId="06154B1D" w:rsidR="007F6DF7" w:rsidRDefault="002C4268">
      <w:pPr>
        <w:pStyle w:val="BodyText"/>
        <w:rPr>
          <w:b/>
          <w:sz w:val="20"/>
        </w:rPr>
      </w:pPr>
      <w:r>
        <w:rPr>
          <w:noProof/>
        </w:rPr>
        <mc:AlternateContent>
          <mc:Choice Requires="wpg">
            <w:drawing>
              <wp:anchor distT="0" distB="0" distL="114300" distR="114300" simplePos="0" relativeHeight="251659776" behindDoc="1" locked="0" layoutInCell="1" allowOverlap="1" wp14:anchorId="2E8DE009" wp14:editId="4454D8FD">
                <wp:simplePos x="0" y="0"/>
                <wp:positionH relativeFrom="page">
                  <wp:posOffset>2480310</wp:posOffset>
                </wp:positionH>
                <wp:positionV relativeFrom="page">
                  <wp:posOffset>1655445</wp:posOffset>
                </wp:positionV>
                <wp:extent cx="1623695" cy="309880"/>
                <wp:effectExtent l="3810" t="7620" r="1270" b="6350"/>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695" cy="309880"/>
                          <a:chOff x="3906" y="2607"/>
                          <a:chExt cx="2557" cy="488"/>
                        </a:xfrm>
                      </wpg:grpSpPr>
                      <wps:wsp>
                        <wps:cNvPr id="20" name="Line 11"/>
                        <wps:cNvCnPr>
                          <a:cxnSpLocks noChangeShapeType="1"/>
                        </wps:cNvCnPr>
                        <wps:spPr bwMode="auto">
                          <a:xfrm>
                            <a:off x="3915" y="2612"/>
                            <a:ext cx="25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0"/>
                        <wps:cNvCnPr>
                          <a:cxnSpLocks noChangeShapeType="1"/>
                        </wps:cNvCnPr>
                        <wps:spPr bwMode="auto">
                          <a:xfrm>
                            <a:off x="3911" y="2607"/>
                            <a:ext cx="0" cy="4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6457" y="2607"/>
                            <a:ext cx="0" cy="48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814C0" id="Group 8" o:spid="_x0000_s1026" style="position:absolute;margin-left:195.3pt;margin-top:130.35pt;width:127.85pt;height:24.4pt;z-index:-251656704;mso-position-horizontal-relative:page;mso-position-vertical-relative:page" coordorigin="3906,2607" coordsize="255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">
                <v:line id="Line 11" o:spid="_x0000_s1027" style="position:absolute;visibility:visible;mso-wrap-style:square" from="3915,2612" to="6453,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0" o:spid="_x0000_s1028" style="position:absolute;visibility:visible;mso-wrap-style:square" from="3911,2607" to="3911,3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9" o:spid="_x0000_s1029" style="position:absolute;visibility:visible;mso-wrap-style:square" from="6457,2607" to="6457,3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wrap anchorx="page" anchory="page"/>
              </v:group>
            </w:pict>
          </mc:Fallback>
        </mc:AlternateContent>
      </w:r>
      <w:r>
        <w:rPr>
          <w:noProof/>
        </w:rPr>
        <mc:AlternateContent>
          <mc:Choice Requires="wps">
            <w:drawing>
              <wp:anchor distT="0" distB="0" distL="114300" distR="114300" simplePos="0" relativeHeight="251660800" behindDoc="1" locked="0" layoutInCell="1" allowOverlap="1" wp14:anchorId="13D89177" wp14:editId="7063FA96">
                <wp:simplePos x="0" y="0"/>
                <wp:positionH relativeFrom="page">
                  <wp:posOffset>1579245</wp:posOffset>
                </wp:positionH>
                <wp:positionV relativeFrom="page">
                  <wp:posOffset>2214880</wp:posOffset>
                </wp:positionV>
                <wp:extent cx="0" cy="533400"/>
                <wp:effectExtent l="7620" t="5080" r="11430" b="1397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E3E11" id="Line 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4.35pt,174.4pt" to="124.35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" strokeweight=".48pt">
                <w10:wrap anchorx="page" anchory="page"/>
              </v:line>
            </w:pict>
          </mc:Fallback>
        </mc:AlternateContent>
      </w:r>
      <w:r>
        <w:rPr>
          <w:noProof/>
        </w:rPr>
        <mc:AlternateContent>
          <mc:Choice Requires="wps">
            <w:drawing>
              <wp:anchor distT="0" distB="0" distL="114300" distR="114300" simplePos="0" relativeHeight="251661824" behindDoc="1" locked="0" layoutInCell="1" allowOverlap="1" wp14:anchorId="76512DB0" wp14:editId="3D534369">
                <wp:simplePos x="0" y="0"/>
                <wp:positionH relativeFrom="page">
                  <wp:posOffset>4100195</wp:posOffset>
                </wp:positionH>
                <wp:positionV relativeFrom="page">
                  <wp:posOffset>2214880</wp:posOffset>
                </wp:positionV>
                <wp:extent cx="0" cy="533400"/>
                <wp:effectExtent l="13970" t="5080" r="5080" b="1397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58672" id="Line 6"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2.85pt,174.4pt" to="322.85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" strokeweight=".48pt">
                <w10:wrap anchorx="page" anchory="page"/>
              </v:line>
            </w:pict>
          </mc:Fallback>
        </mc:AlternateContent>
      </w:r>
      <w:r>
        <w:rPr>
          <w:noProof/>
        </w:rPr>
        <mc:AlternateContent>
          <mc:Choice Requires="wps">
            <w:drawing>
              <wp:anchor distT="0" distB="0" distL="114300" distR="114300" simplePos="0" relativeHeight="251662848" behindDoc="1" locked="0" layoutInCell="1" allowOverlap="1" wp14:anchorId="2352A044" wp14:editId="090FB563">
                <wp:simplePos x="0" y="0"/>
                <wp:positionH relativeFrom="page">
                  <wp:posOffset>4252595</wp:posOffset>
                </wp:positionH>
                <wp:positionV relativeFrom="page">
                  <wp:posOffset>1655445</wp:posOffset>
                </wp:positionV>
                <wp:extent cx="0" cy="1958340"/>
                <wp:effectExtent l="13970" t="7620" r="5080" b="5715"/>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83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4896B" id="Line 5"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85pt,130.35pt" to="334.85pt,2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" strokeweight=".48pt">
                <w10:wrap anchorx="page" anchory="page"/>
              </v:line>
            </w:pict>
          </mc:Fallback>
        </mc:AlternateContent>
      </w:r>
      <w:r>
        <w:rPr>
          <w:noProof/>
        </w:rPr>
        <mc:AlternateContent>
          <mc:Choice Requires="wps">
            <w:drawing>
              <wp:anchor distT="0" distB="0" distL="114300" distR="114300" simplePos="0" relativeHeight="251663872" behindDoc="1" locked="0" layoutInCell="1" allowOverlap="1" wp14:anchorId="33DB16C3" wp14:editId="33D7E25F">
                <wp:simplePos x="0" y="0"/>
                <wp:positionH relativeFrom="page">
                  <wp:posOffset>4050030</wp:posOffset>
                </wp:positionH>
                <wp:positionV relativeFrom="page">
                  <wp:posOffset>5196205</wp:posOffset>
                </wp:positionV>
                <wp:extent cx="0" cy="1316990"/>
                <wp:effectExtent l="11430" t="5080" r="7620" b="1143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69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8270" id="Line 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9pt,409.15pt" to="318.9pt,5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" strokeweight=".48pt">
                <w10:wrap anchorx="page" anchory="page"/>
              </v:line>
            </w:pict>
          </mc:Fallback>
        </mc:AlternateContent>
      </w:r>
      <w:r>
        <w:rPr>
          <w:noProof/>
        </w:rPr>
        <mc:AlternateContent>
          <mc:Choice Requires="wps">
            <w:drawing>
              <wp:anchor distT="0" distB="0" distL="114300" distR="114300" simplePos="0" relativeHeight="251664896" behindDoc="1" locked="0" layoutInCell="1" allowOverlap="1" wp14:anchorId="77050A4F" wp14:editId="3537B30B">
                <wp:simplePos x="0" y="0"/>
                <wp:positionH relativeFrom="page">
                  <wp:posOffset>1586865</wp:posOffset>
                </wp:positionH>
                <wp:positionV relativeFrom="page">
                  <wp:posOffset>2894965</wp:posOffset>
                </wp:positionV>
                <wp:extent cx="2504440" cy="259080"/>
                <wp:effectExtent l="5715" t="8890" r="13970" b="825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259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50CEC" id="Rectangle 3" o:spid="_x0000_s1026" style="position:absolute;margin-left:124.95pt;margin-top:227.95pt;width:197.2pt;height:20.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" filled="f" strokeweight=".25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17695FE1" wp14:editId="1FCCD381">
                <wp:simplePos x="0" y="0"/>
                <wp:positionH relativeFrom="page">
                  <wp:posOffset>1586865</wp:posOffset>
                </wp:positionH>
                <wp:positionV relativeFrom="page">
                  <wp:posOffset>7442835</wp:posOffset>
                </wp:positionV>
                <wp:extent cx="2504440" cy="259080"/>
                <wp:effectExtent l="5715" t="13335" r="13970" b="1333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2590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B152D" id="Rectangle 2" o:spid="_x0000_s1026" style="position:absolute;margin-left:124.95pt;margin-top:586.05pt;width:197.2pt;height:20.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" filled="f" strokeweight=".25pt">
                <w10:wrap anchorx="page" anchory="page"/>
              </v:rect>
            </w:pict>
          </mc:Fallback>
        </mc:AlternateContent>
      </w:r>
    </w:p>
    <w:p w14:paraId="3EF158D6" w14:textId="77777777" w:rsidR="007F6DF7" w:rsidRDefault="007F6DF7">
      <w:pPr>
        <w:pStyle w:val="BodyText"/>
        <w:rPr>
          <w:b/>
          <w:sz w:val="20"/>
        </w:rPr>
      </w:pPr>
    </w:p>
    <w:p w14:paraId="4BE9DCC3" w14:textId="77777777" w:rsidR="007F6DF7" w:rsidRDefault="007F6DF7">
      <w:pPr>
        <w:pStyle w:val="BodyText"/>
        <w:rPr>
          <w:b/>
          <w:sz w:val="20"/>
        </w:rPr>
      </w:pPr>
    </w:p>
    <w:p w14:paraId="65C70891" w14:textId="77777777" w:rsidR="007F6DF7" w:rsidRDefault="007F6DF7">
      <w:pPr>
        <w:pStyle w:val="BodyText"/>
        <w:rPr>
          <w:b/>
          <w:sz w:val="20"/>
        </w:rPr>
      </w:pPr>
    </w:p>
    <w:p w14:paraId="1FA099D0" w14:textId="77777777" w:rsidR="007F6DF7" w:rsidRDefault="007F6DF7">
      <w:pPr>
        <w:pStyle w:val="BodyText"/>
        <w:spacing w:before="6"/>
        <w:rPr>
          <w:b/>
          <w:sz w:val="23"/>
        </w:rPr>
      </w:pPr>
    </w:p>
    <w:tbl>
      <w:tblPr>
        <w:tblW w:w="0" w:type="auto"/>
        <w:tblInd w:w="115" w:type="dxa"/>
        <w:tblLayout w:type="fixed"/>
        <w:tblCellMar>
          <w:left w:w="0" w:type="dxa"/>
          <w:right w:w="0" w:type="dxa"/>
        </w:tblCellMar>
        <w:tblLook w:val="01E0" w:firstRow="1" w:lastRow="1" w:firstColumn="1" w:lastColumn="1" w:noHBand="0" w:noVBand="0"/>
      </w:tblPr>
      <w:tblGrid>
        <w:gridCol w:w="1985"/>
        <w:gridCol w:w="59"/>
        <w:gridCol w:w="3827"/>
        <w:gridCol w:w="65"/>
        <w:gridCol w:w="221"/>
        <w:gridCol w:w="4396"/>
      </w:tblGrid>
      <w:tr w:rsidR="007F6DF7" w14:paraId="569C03BD" w14:textId="77777777">
        <w:trPr>
          <w:trHeight w:val="1227"/>
        </w:trPr>
        <w:tc>
          <w:tcPr>
            <w:tcW w:w="10553" w:type="dxa"/>
            <w:gridSpan w:val="6"/>
          </w:tcPr>
          <w:p w14:paraId="6F39930E" w14:textId="77777777" w:rsidR="007F6DF7" w:rsidRDefault="002C4268">
            <w:pPr>
              <w:pStyle w:val="TableParagraph"/>
              <w:spacing w:line="247" w:lineRule="exact"/>
              <w:ind w:left="200"/>
              <w:rPr>
                <w:rFonts w:ascii="Arial"/>
                <w:b/>
                <w:i/>
              </w:rPr>
            </w:pPr>
            <w:r>
              <w:rPr>
                <w:rFonts w:ascii="Arial"/>
                <w:b/>
              </w:rPr>
              <w:t xml:space="preserve">Section B: [Reject Shared Care] to be completed by practice </w:t>
            </w:r>
            <w:r>
              <w:rPr>
                <w:rFonts w:ascii="Arial"/>
                <w:i/>
              </w:rPr>
              <w:t xml:space="preserve">Send back </w:t>
            </w:r>
            <w:r>
              <w:rPr>
                <w:rFonts w:ascii="Arial"/>
                <w:b/>
                <w:i/>
              </w:rPr>
              <w:t xml:space="preserve">FAO referring </w:t>
            </w:r>
            <w:proofErr w:type="gramStart"/>
            <w:r>
              <w:rPr>
                <w:rFonts w:ascii="Arial"/>
                <w:b/>
                <w:i/>
              </w:rPr>
              <w:t>consultant</w:t>
            </w:r>
            <w:proofErr w:type="gramEnd"/>
          </w:p>
          <w:p w14:paraId="0ECB7FC4" w14:textId="77777777" w:rsidR="007F6DF7" w:rsidRDefault="002C4268">
            <w:pPr>
              <w:pStyle w:val="TableParagraph"/>
              <w:spacing w:before="40"/>
              <w:ind w:left="200"/>
              <w:rPr>
                <w:rFonts w:ascii="Arial"/>
                <w:i/>
              </w:rPr>
            </w:pPr>
            <w:r>
              <w:rPr>
                <w:rFonts w:ascii="Arial"/>
                <w:i/>
              </w:rPr>
              <w:t>above</w:t>
            </w:r>
          </w:p>
          <w:p w14:paraId="2FF14976" w14:textId="77777777" w:rsidR="007F6DF7" w:rsidRDefault="002C4268">
            <w:pPr>
              <w:pStyle w:val="TableParagraph"/>
              <w:spacing w:before="157"/>
              <w:ind w:left="200"/>
              <w:rPr>
                <w:rFonts w:ascii="Arial"/>
              </w:rPr>
            </w:pPr>
            <w:r>
              <w:rPr>
                <w:rFonts w:ascii="Arial"/>
              </w:rPr>
              <w:t>The above patient has not been accepted into our monitoring service.</w:t>
            </w:r>
          </w:p>
        </w:tc>
      </w:tr>
      <w:tr w:rsidR="007F6DF7" w14:paraId="7553517A" w14:textId="77777777">
        <w:trPr>
          <w:trHeight w:val="2053"/>
        </w:trPr>
        <w:tc>
          <w:tcPr>
            <w:tcW w:w="1985" w:type="dxa"/>
          </w:tcPr>
          <w:p w14:paraId="3A485BA0" w14:textId="77777777" w:rsidR="007F6DF7" w:rsidRDefault="002C4268">
            <w:pPr>
              <w:pStyle w:val="TableParagraph"/>
              <w:spacing w:before="120"/>
              <w:ind w:left="200"/>
              <w:rPr>
                <w:rFonts w:ascii="Arial"/>
              </w:rPr>
            </w:pPr>
            <w:r>
              <w:rPr>
                <w:rFonts w:ascii="Arial"/>
              </w:rPr>
              <w:t>Reason</w:t>
            </w:r>
          </w:p>
        </w:tc>
        <w:tc>
          <w:tcPr>
            <w:tcW w:w="59" w:type="dxa"/>
            <w:tcBorders>
              <w:right w:val="single" w:sz="4" w:space="0" w:color="000000"/>
            </w:tcBorders>
          </w:tcPr>
          <w:p w14:paraId="04EFED88" w14:textId="77777777" w:rsidR="007F6DF7" w:rsidRDefault="007F6DF7">
            <w:pPr>
              <w:pStyle w:val="TableParagraph"/>
              <w:rPr>
                <w:rFonts w:ascii="Times New Roman"/>
                <w:sz w:val="20"/>
              </w:rPr>
            </w:pPr>
          </w:p>
        </w:tc>
        <w:tc>
          <w:tcPr>
            <w:tcW w:w="3827" w:type="dxa"/>
            <w:tcBorders>
              <w:top w:val="single" w:sz="4" w:space="0" w:color="000000"/>
              <w:left w:val="single" w:sz="4" w:space="0" w:color="000000"/>
              <w:bottom w:val="single" w:sz="4" w:space="0" w:color="000000"/>
            </w:tcBorders>
          </w:tcPr>
          <w:p w14:paraId="03783D2C" w14:textId="77777777" w:rsidR="007F6DF7" w:rsidRDefault="007F6DF7">
            <w:pPr>
              <w:pStyle w:val="TableParagraph"/>
              <w:rPr>
                <w:rFonts w:ascii="Times New Roman"/>
                <w:sz w:val="20"/>
              </w:rPr>
            </w:pPr>
          </w:p>
        </w:tc>
        <w:tc>
          <w:tcPr>
            <w:tcW w:w="65" w:type="dxa"/>
          </w:tcPr>
          <w:p w14:paraId="36CF6E64" w14:textId="77777777" w:rsidR="007F6DF7" w:rsidRDefault="007F6DF7">
            <w:pPr>
              <w:pStyle w:val="TableParagraph"/>
              <w:rPr>
                <w:rFonts w:ascii="Times New Roman"/>
                <w:sz w:val="20"/>
              </w:rPr>
            </w:pPr>
          </w:p>
        </w:tc>
        <w:tc>
          <w:tcPr>
            <w:tcW w:w="221" w:type="dxa"/>
            <w:tcBorders>
              <w:right w:val="single" w:sz="4" w:space="0" w:color="000000"/>
            </w:tcBorders>
          </w:tcPr>
          <w:p w14:paraId="4ECACF04" w14:textId="77777777" w:rsidR="007F6DF7" w:rsidRDefault="007F6DF7">
            <w:pPr>
              <w:pStyle w:val="TableParagraph"/>
              <w:rPr>
                <w:rFonts w:ascii="Times New Roman"/>
                <w:sz w:val="20"/>
              </w:rPr>
            </w:pPr>
          </w:p>
        </w:tc>
        <w:tc>
          <w:tcPr>
            <w:tcW w:w="4396" w:type="dxa"/>
            <w:tcBorders>
              <w:top w:val="single" w:sz="4" w:space="0" w:color="000000"/>
              <w:left w:val="single" w:sz="4" w:space="0" w:color="000000"/>
              <w:right w:val="single" w:sz="4" w:space="0" w:color="000000"/>
            </w:tcBorders>
          </w:tcPr>
          <w:p w14:paraId="55749A61" w14:textId="77777777" w:rsidR="007F6DF7" w:rsidRDefault="002C4268">
            <w:pPr>
              <w:pStyle w:val="TableParagraph"/>
              <w:spacing w:before="120"/>
              <w:ind w:left="101"/>
              <w:rPr>
                <w:rFonts w:ascii="Arial"/>
              </w:rPr>
            </w:pPr>
            <w:r>
              <w:rPr>
                <w:rFonts w:ascii="Arial"/>
              </w:rPr>
              <w:t>Practice stamp</w:t>
            </w:r>
          </w:p>
        </w:tc>
      </w:tr>
      <w:tr w:rsidR="007F6DF7" w14:paraId="6CE36D8C" w14:textId="77777777">
        <w:trPr>
          <w:trHeight w:val="393"/>
        </w:trPr>
        <w:tc>
          <w:tcPr>
            <w:tcW w:w="1985" w:type="dxa"/>
          </w:tcPr>
          <w:p w14:paraId="1869B826" w14:textId="77777777" w:rsidR="007F6DF7" w:rsidRDefault="007F6DF7">
            <w:pPr>
              <w:pStyle w:val="TableParagraph"/>
              <w:rPr>
                <w:rFonts w:ascii="Times New Roman"/>
                <w:sz w:val="20"/>
              </w:rPr>
            </w:pPr>
          </w:p>
        </w:tc>
        <w:tc>
          <w:tcPr>
            <w:tcW w:w="59" w:type="dxa"/>
            <w:tcBorders>
              <w:bottom w:val="single" w:sz="4" w:space="0" w:color="000000"/>
            </w:tcBorders>
          </w:tcPr>
          <w:p w14:paraId="2ACA42FA" w14:textId="77777777" w:rsidR="007F6DF7" w:rsidRDefault="007F6DF7">
            <w:pPr>
              <w:pStyle w:val="TableParagraph"/>
              <w:rPr>
                <w:rFonts w:ascii="Times New Roman"/>
                <w:sz w:val="20"/>
              </w:rPr>
            </w:pPr>
          </w:p>
        </w:tc>
        <w:tc>
          <w:tcPr>
            <w:tcW w:w="3827" w:type="dxa"/>
            <w:tcBorders>
              <w:top w:val="single" w:sz="4" w:space="0" w:color="000000"/>
              <w:bottom w:val="single" w:sz="4" w:space="0" w:color="000000"/>
            </w:tcBorders>
          </w:tcPr>
          <w:p w14:paraId="2C783B00" w14:textId="77777777" w:rsidR="007F6DF7" w:rsidRDefault="007F6DF7">
            <w:pPr>
              <w:pStyle w:val="TableParagraph"/>
              <w:rPr>
                <w:rFonts w:ascii="Times New Roman"/>
                <w:sz w:val="20"/>
              </w:rPr>
            </w:pPr>
          </w:p>
        </w:tc>
        <w:tc>
          <w:tcPr>
            <w:tcW w:w="65" w:type="dxa"/>
          </w:tcPr>
          <w:p w14:paraId="1B7C4219" w14:textId="77777777" w:rsidR="007F6DF7" w:rsidRDefault="007F6DF7">
            <w:pPr>
              <w:pStyle w:val="TableParagraph"/>
              <w:rPr>
                <w:rFonts w:ascii="Times New Roman"/>
                <w:sz w:val="20"/>
              </w:rPr>
            </w:pPr>
          </w:p>
        </w:tc>
        <w:tc>
          <w:tcPr>
            <w:tcW w:w="221" w:type="dxa"/>
            <w:tcBorders>
              <w:right w:val="single" w:sz="4" w:space="0" w:color="000000"/>
            </w:tcBorders>
          </w:tcPr>
          <w:p w14:paraId="09007D6C" w14:textId="77777777" w:rsidR="007F6DF7" w:rsidRDefault="007F6DF7">
            <w:pPr>
              <w:pStyle w:val="TableParagraph"/>
              <w:rPr>
                <w:rFonts w:ascii="Times New Roman"/>
                <w:sz w:val="20"/>
              </w:rPr>
            </w:pPr>
          </w:p>
        </w:tc>
        <w:tc>
          <w:tcPr>
            <w:tcW w:w="4396" w:type="dxa"/>
            <w:tcBorders>
              <w:left w:val="single" w:sz="4" w:space="0" w:color="000000"/>
              <w:right w:val="single" w:sz="4" w:space="0" w:color="000000"/>
            </w:tcBorders>
          </w:tcPr>
          <w:p w14:paraId="72D83E85" w14:textId="77777777" w:rsidR="007F6DF7" w:rsidRDefault="007F6DF7">
            <w:pPr>
              <w:pStyle w:val="TableParagraph"/>
              <w:rPr>
                <w:rFonts w:ascii="Times New Roman"/>
                <w:sz w:val="20"/>
              </w:rPr>
            </w:pPr>
          </w:p>
        </w:tc>
      </w:tr>
      <w:tr w:rsidR="007F6DF7" w14:paraId="707F25C6" w14:textId="77777777">
        <w:trPr>
          <w:trHeight w:val="820"/>
        </w:trPr>
        <w:tc>
          <w:tcPr>
            <w:tcW w:w="1985" w:type="dxa"/>
            <w:tcBorders>
              <w:right w:val="single" w:sz="4" w:space="0" w:color="000000"/>
            </w:tcBorders>
          </w:tcPr>
          <w:p w14:paraId="6BEE902A" w14:textId="77777777" w:rsidR="007F6DF7" w:rsidRDefault="002C4268">
            <w:pPr>
              <w:pStyle w:val="TableParagraph"/>
              <w:spacing w:before="120"/>
              <w:ind w:left="200"/>
              <w:rPr>
                <w:rFonts w:ascii="Arial"/>
              </w:rPr>
            </w:pPr>
            <w:r>
              <w:rPr>
                <w:rFonts w:ascii="Arial"/>
              </w:rPr>
              <w:t>Signed /</w:t>
            </w:r>
          </w:p>
          <w:p w14:paraId="3A1D8249" w14:textId="77777777" w:rsidR="007F6DF7" w:rsidRDefault="002C4268">
            <w:pPr>
              <w:pStyle w:val="TableParagraph"/>
              <w:spacing w:before="158"/>
              <w:ind w:left="200"/>
              <w:rPr>
                <w:rFonts w:ascii="Arial"/>
              </w:rPr>
            </w:pPr>
            <w:r>
              <w:rPr>
                <w:rFonts w:ascii="Arial"/>
              </w:rPr>
              <w:t>Designation</w:t>
            </w:r>
          </w:p>
        </w:tc>
        <w:tc>
          <w:tcPr>
            <w:tcW w:w="59" w:type="dxa"/>
            <w:tcBorders>
              <w:top w:val="single" w:sz="4" w:space="0" w:color="000000"/>
              <w:left w:val="single" w:sz="4" w:space="0" w:color="000000"/>
              <w:bottom w:val="single" w:sz="4" w:space="0" w:color="000000"/>
            </w:tcBorders>
          </w:tcPr>
          <w:p w14:paraId="191BFB12" w14:textId="77777777" w:rsidR="007F6DF7" w:rsidRDefault="007F6DF7">
            <w:pPr>
              <w:pStyle w:val="TableParagraph"/>
              <w:rPr>
                <w:rFonts w:ascii="Times New Roman"/>
                <w:sz w:val="20"/>
              </w:rPr>
            </w:pPr>
          </w:p>
        </w:tc>
        <w:tc>
          <w:tcPr>
            <w:tcW w:w="3827" w:type="dxa"/>
            <w:tcBorders>
              <w:top w:val="single" w:sz="4" w:space="0" w:color="000000"/>
              <w:bottom w:val="single" w:sz="4" w:space="0" w:color="000000"/>
              <w:right w:val="single" w:sz="4" w:space="0" w:color="000000"/>
            </w:tcBorders>
          </w:tcPr>
          <w:p w14:paraId="617B9F21" w14:textId="77777777" w:rsidR="007F6DF7" w:rsidRDefault="007F6DF7">
            <w:pPr>
              <w:pStyle w:val="TableParagraph"/>
              <w:rPr>
                <w:rFonts w:ascii="Times New Roman"/>
                <w:sz w:val="20"/>
              </w:rPr>
            </w:pPr>
          </w:p>
        </w:tc>
        <w:tc>
          <w:tcPr>
            <w:tcW w:w="65" w:type="dxa"/>
            <w:tcBorders>
              <w:left w:val="single" w:sz="4" w:space="0" w:color="000000"/>
            </w:tcBorders>
          </w:tcPr>
          <w:p w14:paraId="5E949AAA" w14:textId="77777777" w:rsidR="007F6DF7" w:rsidRDefault="007F6DF7">
            <w:pPr>
              <w:pStyle w:val="TableParagraph"/>
              <w:rPr>
                <w:rFonts w:ascii="Times New Roman"/>
                <w:sz w:val="20"/>
              </w:rPr>
            </w:pPr>
          </w:p>
        </w:tc>
        <w:tc>
          <w:tcPr>
            <w:tcW w:w="221" w:type="dxa"/>
            <w:tcBorders>
              <w:right w:val="single" w:sz="4" w:space="0" w:color="000000"/>
            </w:tcBorders>
          </w:tcPr>
          <w:p w14:paraId="05FE5842" w14:textId="77777777" w:rsidR="007F6DF7" w:rsidRDefault="007F6DF7">
            <w:pPr>
              <w:pStyle w:val="TableParagraph"/>
              <w:rPr>
                <w:rFonts w:ascii="Times New Roman"/>
                <w:sz w:val="20"/>
              </w:rPr>
            </w:pPr>
          </w:p>
        </w:tc>
        <w:tc>
          <w:tcPr>
            <w:tcW w:w="4396" w:type="dxa"/>
            <w:tcBorders>
              <w:left w:val="single" w:sz="4" w:space="0" w:color="000000"/>
              <w:right w:val="single" w:sz="4" w:space="0" w:color="000000"/>
            </w:tcBorders>
          </w:tcPr>
          <w:p w14:paraId="098C900E" w14:textId="77777777" w:rsidR="007F6DF7" w:rsidRDefault="007F6DF7">
            <w:pPr>
              <w:pStyle w:val="TableParagraph"/>
              <w:rPr>
                <w:rFonts w:ascii="Times New Roman"/>
                <w:sz w:val="20"/>
              </w:rPr>
            </w:pPr>
          </w:p>
        </w:tc>
      </w:tr>
      <w:tr w:rsidR="007F6DF7" w14:paraId="7F1C4DAA" w14:textId="77777777">
        <w:trPr>
          <w:trHeight w:val="229"/>
        </w:trPr>
        <w:tc>
          <w:tcPr>
            <w:tcW w:w="1985" w:type="dxa"/>
          </w:tcPr>
          <w:p w14:paraId="58D92213" w14:textId="77777777" w:rsidR="007F6DF7" w:rsidRDefault="007F6DF7">
            <w:pPr>
              <w:pStyle w:val="TableParagraph"/>
              <w:rPr>
                <w:rFonts w:ascii="Times New Roman"/>
                <w:sz w:val="16"/>
              </w:rPr>
            </w:pPr>
          </w:p>
        </w:tc>
        <w:tc>
          <w:tcPr>
            <w:tcW w:w="59" w:type="dxa"/>
            <w:tcBorders>
              <w:top w:val="single" w:sz="4" w:space="0" w:color="000000"/>
            </w:tcBorders>
          </w:tcPr>
          <w:p w14:paraId="1CFD2A91" w14:textId="77777777" w:rsidR="007F6DF7" w:rsidRDefault="007F6DF7">
            <w:pPr>
              <w:pStyle w:val="TableParagraph"/>
              <w:rPr>
                <w:rFonts w:ascii="Times New Roman"/>
                <w:sz w:val="16"/>
              </w:rPr>
            </w:pPr>
          </w:p>
        </w:tc>
        <w:tc>
          <w:tcPr>
            <w:tcW w:w="3827" w:type="dxa"/>
            <w:tcBorders>
              <w:top w:val="single" w:sz="4" w:space="0" w:color="000000"/>
            </w:tcBorders>
          </w:tcPr>
          <w:p w14:paraId="3756B339" w14:textId="77777777" w:rsidR="007F6DF7" w:rsidRDefault="007F6DF7">
            <w:pPr>
              <w:pStyle w:val="TableParagraph"/>
              <w:rPr>
                <w:rFonts w:ascii="Times New Roman"/>
                <w:sz w:val="16"/>
              </w:rPr>
            </w:pPr>
          </w:p>
        </w:tc>
        <w:tc>
          <w:tcPr>
            <w:tcW w:w="65" w:type="dxa"/>
          </w:tcPr>
          <w:p w14:paraId="1426748A" w14:textId="77777777" w:rsidR="007F6DF7" w:rsidRDefault="007F6DF7">
            <w:pPr>
              <w:pStyle w:val="TableParagraph"/>
              <w:rPr>
                <w:rFonts w:ascii="Times New Roman"/>
                <w:sz w:val="16"/>
              </w:rPr>
            </w:pPr>
          </w:p>
        </w:tc>
        <w:tc>
          <w:tcPr>
            <w:tcW w:w="221" w:type="dxa"/>
            <w:tcBorders>
              <w:right w:val="single" w:sz="4" w:space="0" w:color="000000"/>
            </w:tcBorders>
          </w:tcPr>
          <w:p w14:paraId="22519C04" w14:textId="77777777" w:rsidR="007F6DF7" w:rsidRDefault="007F6DF7">
            <w:pPr>
              <w:pStyle w:val="TableParagraph"/>
              <w:rPr>
                <w:rFonts w:ascii="Times New Roman"/>
                <w:sz w:val="16"/>
              </w:rPr>
            </w:pPr>
          </w:p>
        </w:tc>
        <w:tc>
          <w:tcPr>
            <w:tcW w:w="4396" w:type="dxa"/>
            <w:tcBorders>
              <w:left w:val="single" w:sz="4" w:space="0" w:color="000000"/>
              <w:right w:val="single" w:sz="4" w:space="0" w:color="000000"/>
            </w:tcBorders>
          </w:tcPr>
          <w:p w14:paraId="2FDAFCAD" w14:textId="77777777" w:rsidR="007F6DF7" w:rsidRDefault="007F6DF7">
            <w:pPr>
              <w:pStyle w:val="TableParagraph"/>
              <w:rPr>
                <w:rFonts w:ascii="Times New Roman"/>
                <w:sz w:val="16"/>
              </w:rPr>
            </w:pPr>
          </w:p>
        </w:tc>
      </w:tr>
      <w:tr w:rsidR="007F6DF7" w14:paraId="3D92C420" w14:textId="77777777">
        <w:trPr>
          <w:trHeight w:val="1123"/>
        </w:trPr>
        <w:tc>
          <w:tcPr>
            <w:tcW w:w="1985" w:type="dxa"/>
          </w:tcPr>
          <w:p w14:paraId="7BDC6445" w14:textId="77777777" w:rsidR="007F6DF7" w:rsidRDefault="007F6DF7">
            <w:pPr>
              <w:pStyle w:val="TableParagraph"/>
              <w:spacing w:before="8"/>
              <w:rPr>
                <w:b/>
                <w:sz w:val="29"/>
              </w:rPr>
            </w:pPr>
          </w:p>
          <w:p w14:paraId="50FFB276" w14:textId="77777777" w:rsidR="007F6DF7" w:rsidRDefault="002C4268">
            <w:pPr>
              <w:pStyle w:val="TableParagraph"/>
              <w:ind w:left="200"/>
              <w:rPr>
                <w:rFonts w:ascii="Arial"/>
              </w:rPr>
            </w:pPr>
            <w:r>
              <w:rPr>
                <w:rFonts w:ascii="Arial"/>
              </w:rPr>
              <w:t>Date</w:t>
            </w:r>
          </w:p>
        </w:tc>
        <w:tc>
          <w:tcPr>
            <w:tcW w:w="59" w:type="dxa"/>
          </w:tcPr>
          <w:p w14:paraId="7C6E3B65" w14:textId="77777777" w:rsidR="007F6DF7" w:rsidRDefault="007F6DF7">
            <w:pPr>
              <w:pStyle w:val="TableParagraph"/>
              <w:rPr>
                <w:rFonts w:ascii="Times New Roman"/>
                <w:sz w:val="20"/>
              </w:rPr>
            </w:pPr>
          </w:p>
        </w:tc>
        <w:tc>
          <w:tcPr>
            <w:tcW w:w="3827" w:type="dxa"/>
          </w:tcPr>
          <w:p w14:paraId="2BE98C6D" w14:textId="77777777" w:rsidR="007F6DF7" w:rsidRDefault="007F6DF7">
            <w:pPr>
              <w:pStyle w:val="TableParagraph"/>
              <w:rPr>
                <w:rFonts w:ascii="Times New Roman"/>
                <w:sz w:val="20"/>
              </w:rPr>
            </w:pPr>
          </w:p>
        </w:tc>
        <w:tc>
          <w:tcPr>
            <w:tcW w:w="65" w:type="dxa"/>
          </w:tcPr>
          <w:p w14:paraId="39BCF974" w14:textId="77777777" w:rsidR="007F6DF7" w:rsidRDefault="007F6DF7">
            <w:pPr>
              <w:pStyle w:val="TableParagraph"/>
              <w:rPr>
                <w:rFonts w:ascii="Times New Roman"/>
                <w:sz w:val="20"/>
              </w:rPr>
            </w:pPr>
          </w:p>
        </w:tc>
        <w:tc>
          <w:tcPr>
            <w:tcW w:w="221" w:type="dxa"/>
            <w:tcBorders>
              <w:right w:val="single" w:sz="4" w:space="0" w:color="000000"/>
            </w:tcBorders>
          </w:tcPr>
          <w:p w14:paraId="21BAB866" w14:textId="77777777" w:rsidR="007F6DF7" w:rsidRDefault="007F6DF7">
            <w:pPr>
              <w:pStyle w:val="TableParagraph"/>
              <w:rPr>
                <w:rFonts w:ascii="Times New Roman"/>
                <w:sz w:val="20"/>
              </w:rPr>
            </w:pPr>
          </w:p>
        </w:tc>
        <w:tc>
          <w:tcPr>
            <w:tcW w:w="4396" w:type="dxa"/>
            <w:tcBorders>
              <w:left w:val="single" w:sz="4" w:space="0" w:color="000000"/>
              <w:bottom w:val="single" w:sz="4" w:space="0" w:color="000000"/>
              <w:right w:val="single" w:sz="4" w:space="0" w:color="000000"/>
            </w:tcBorders>
          </w:tcPr>
          <w:p w14:paraId="1340F20E" w14:textId="77777777" w:rsidR="007F6DF7" w:rsidRDefault="007F6DF7">
            <w:pPr>
              <w:pStyle w:val="TableParagraph"/>
              <w:rPr>
                <w:rFonts w:ascii="Times New Roman"/>
                <w:sz w:val="20"/>
              </w:rPr>
            </w:pPr>
          </w:p>
        </w:tc>
      </w:tr>
    </w:tbl>
    <w:p w14:paraId="427ACC94" w14:textId="77777777" w:rsidR="00887B3E" w:rsidRDefault="00887B3E"/>
    <w:sectPr w:rsidR="00887B3E">
      <w:headerReference w:type="default" r:id="rId93"/>
      <w:pgSz w:w="11910" w:h="16840"/>
      <w:pgMar w:top="1360" w:right="720" w:bottom="1780" w:left="400" w:header="0" w:footer="1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3B3E" w14:textId="77777777" w:rsidR="00887B3E" w:rsidRDefault="00887B3E">
      <w:r>
        <w:separator/>
      </w:r>
    </w:p>
  </w:endnote>
  <w:endnote w:type="continuationSeparator" w:id="0">
    <w:p w14:paraId="6BCFDCB4" w14:textId="77777777" w:rsidR="00887B3E" w:rsidRDefault="0088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E763" w14:textId="3E280964" w:rsidR="007F6DF7" w:rsidRDefault="000B5561">
    <w:pPr>
      <w:pStyle w:val="BodyText"/>
      <w:spacing w:line="14" w:lineRule="auto"/>
      <w:rPr>
        <w:sz w:val="20"/>
      </w:rPr>
    </w:pPr>
    <w:r>
      <w:rPr>
        <w:noProof/>
      </w:rPr>
      <mc:AlternateContent>
        <mc:Choice Requires="wps">
          <w:drawing>
            <wp:anchor distT="0" distB="0" distL="114300" distR="114300" simplePos="0" relativeHeight="503271776" behindDoc="1" locked="0" layoutInCell="1" allowOverlap="1" wp14:anchorId="73AD3B31" wp14:editId="74FB835E">
              <wp:simplePos x="0" y="0"/>
              <wp:positionH relativeFrom="page">
                <wp:posOffset>5023413</wp:posOffset>
              </wp:positionH>
              <wp:positionV relativeFrom="page">
                <wp:posOffset>10107874</wp:posOffset>
              </wp:positionV>
              <wp:extent cx="1439111" cy="307340"/>
              <wp:effectExtent l="0" t="0" r="8890" b="165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111"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93CD3" w14:textId="36812650" w:rsidR="007F6DF7" w:rsidRDefault="002C4268">
                          <w:pPr>
                            <w:spacing w:line="223" w:lineRule="exact"/>
                            <w:ind w:left="1" w:right="1"/>
                            <w:jc w:val="center"/>
                            <w:rPr>
                              <w:sz w:val="20"/>
                            </w:rPr>
                          </w:pPr>
                          <w:r>
                            <w:rPr>
                              <w:color w:val="585858"/>
                              <w:sz w:val="20"/>
                            </w:rPr>
                            <w:t>Approval date:</w:t>
                          </w:r>
                          <w:r>
                            <w:rPr>
                              <w:color w:val="585858"/>
                              <w:spacing w:val="-8"/>
                              <w:sz w:val="20"/>
                            </w:rPr>
                            <w:t xml:space="preserve"> </w:t>
                          </w:r>
                          <w:r w:rsidR="000B5561">
                            <w:rPr>
                              <w:color w:val="585858"/>
                              <w:sz w:val="20"/>
                            </w:rPr>
                            <w:t>July 2024</w:t>
                          </w:r>
                        </w:p>
                        <w:p w14:paraId="01EF4DF0" w14:textId="66C07E93" w:rsidR="007F6DF7" w:rsidRDefault="002C4268">
                          <w:pPr>
                            <w:ind w:left="147" w:right="1"/>
                            <w:jc w:val="center"/>
                            <w:rPr>
                              <w:sz w:val="20"/>
                            </w:rPr>
                          </w:pPr>
                          <w:r>
                            <w:rPr>
                              <w:color w:val="585858"/>
                              <w:sz w:val="20"/>
                            </w:rPr>
                            <w:t>Review date:</w:t>
                          </w:r>
                          <w:r>
                            <w:rPr>
                              <w:color w:val="585858"/>
                              <w:spacing w:val="-4"/>
                              <w:sz w:val="20"/>
                            </w:rPr>
                            <w:t xml:space="preserve"> </w:t>
                          </w:r>
                          <w:r w:rsidR="000B5561">
                            <w:rPr>
                              <w:color w:val="585858"/>
                              <w:sz w:val="20"/>
                            </w:rPr>
                            <w:t>July 2027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D3B31" id="_x0000_t202" coordsize="21600,21600" o:spt="202" path="m,l,21600r21600,l21600,xe">
              <v:stroke joinstyle="miter"/>
              <v:path gradientshapeok="t" o:connecttype="rect"/>
            </v:shapetype>
            <v:shape id="Text Box 8" o:spid="_x0000_s1027" type="#_x0000_t202" style="position:absolute;margin-left:395.55pt;margin-top:795.9pt;width:113.3pt;height:24.2pt;z-index:-4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" filled="f" stroked="f">
              <v:textbox inset="0,0,0,0">
                <w:txbxContent>
                  <w:p w14:paraId="4E893CD3" w14:textId="36812650" w:rsidR="007F6DF7" w:rsidRDefault="002C4268">
                    <w:pPr>
                      <w:spacing w:line="223" w:lineRule="exact"/>
                      <w:ind w:left="1" w:right="1"/>
                      <w:jc w:val="center"/>
                      <w:rPr>
                        <w:sz w:val="20"/>
                      </w:rPr>
                    </w:pPr>
                    <w:r>
                      <w:rPr>
                        <w:color w:val="585858"/>
                        <w:sz w:val="20"/>
                      </w:rPr>
                      <w:t>Approval date:</w:t>
                    </w:r>
                    <w:r>
                      <w:rPr>
                        <w:color w:val="585858"/>
                        <w:spacing w:val="-8"/>
                        <w:sz w:val="20"/>
                      </w:rPr>
                      <w:t xml:space="preserve"> </w:t>
                    </w:r>
                    <w:r w:rsidR="000B5561">
                      <w:rPr>
                        <w:color w:val="585858"/>
                        <w:sz w:val="20"/>
                      </w:rPr>
                      <w:t>July 2024</w:t>
                    </w:r>
                  </w:p>
                  <w:p w14:paraId="01EF4DF0" w14:textId="66C07E93" w:rsidR="007F6DF7" w:rsidRDefault="002C4268">
                    <w:pPr>
                      <w:ind w:left="147" w:right="1"/>
                      <w:jc w:val="center"/>
                      <w:rPr>
                        <w:sz w:val="20"/>
                      </w:rPr>
                    </w:pPr>
                    <w:r>
                      <w:rPr>
                        <w:color w:val="585858"/>
                        <w:sz w:val="20"/>
                      </w:rPr>
                      <w:t>Review date:</w:t>
                    </w:r>
                    <w:r>
                      <w:rPr>
                        <w:color w:val="585858"/>
                        <w:spacing w:val="-4"/>
                        <w:sz w:val="20"/>
                      </w:rPr>
                      <w:t xml:space="preserve"> </w:t>
                    </w:r>
                    <w:r w:rsidR="000B5561">
                      <w:rPr>
                        <w:color w:val="585858"/>
                        <w:sz w:val="20"/>
                      </w:rPr>
                      <w:t>July 2027</w:t>
                    </w:r>
                  </w:p>
                </w:txbxContent>
              </v:textbox>
              <w10:wrap anchorx="page" anchory="page"/>
            </v:shape>
          </w:pict>
        </mc:Fallback>
      </mc:AlternateContent>
    </w:r>
    <w:r w:rsidR="002C4268">
      <w:rPr>
        <w:noProof/>
      </w:rPr>
      <mc:AlternateContent>
        <mc:Choice Requires="wps">
          <w:drawing>
            <wp:anchor distT="0" distB="0" distL="114300" distR="114300" simplePos="0" relativeHeight="503271704" behindDoc="1" locked="0" layoutInCell="1" allowOverlap="1" wp14:anchorId="2DE6F30B" wp14:editId="2297DD1B">
              <wp:simplePos x="0" y="0"/>
              <wp:positionH relativeFrom="page">
                <wp:posOffset>701040</wp:posOffset>
              </wp:positionH>
              <wp:positionV relativeFrom="page">
                <wp:posOffset>9453245</wp:posOffset>
              </wp:positionV>
              <wp:extent cx="5963285" cy="0"/>
              <wp:effectExtent l="15240" t="13970" r="12700" b="1460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0"/>
                      </a:xfrm>
                      <a:prstGeom prst="line">
                        <a:avLst/>
                      </a:prstGeom>
                      <a:noFill/>
                      <a:ln w="18288">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9ED6C" id="Line 11" o:spid="_x0000_s1026" style="position:absolute;z-index:-44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35pt" to="524.75pt,7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" strokecolor="#a6a6a6" strokeweight="1.44pt">
              <w10:wrap anchorx="page" anchory="page"/>
            </v:line>
          </w:pict>
        </mc:Fallback>
      </mc:AlternateContent>
    </w:r>
    <w:r w:rsidR="002C4268">
      <w:rPr>
        <w:noProof/>
      </w:rPr>
      <mc:AlternateContent>
        <mc:Choice Requires="wps">
          <w:drawing>
            <wp:anchor distT="0" distB="0" distL="114300" distR="114300" simplePos="0" relativeHeight="503271728" behindDoc="1" locked="0" layoutInCell="1" allowOverlap="1" wp14:anchorId="1006BA67" wp14:editId="1E10E681">
              <wp:simplePos x="0" y="0"/>
              <wp:positionH relativeFrom="page">
                <wp:posOffset>706755</wp:posOffset>
              </wp:positionH>
              <wp:positionV relativeFrom="page">
                <wp:posOffset>9488805</wp:posOffset>
              </wp:positionV>
              <wp:extent cx="3529330" cy="772160"/>
              <wp:effectExtent l="1905" t="1905" r="254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CD745" w14:textId="77777777" w:rsidR="007F6DF7" w:rsidRDefault="002C4268">
                          <w:pPr>
                            <w:spacing w:line="223" w:lineRule="exact"/>
                            <w:ind w:left="20"/>
                            <w:rPr>
                              <w:sz w:val="20"/>
                            </w:rPr>
                          </w:pPr>
                          <w:r>
                            <w:rPr>
                              <w:color w:val="585858"/>
                              <w:sz w:val="20"/>
                            </w:rPr>
                            <w:t>North Central London Joint Formulary Committee</w:t>
                          </w:r>
                        </w:p>
                        <w:p w14:paraId="60CB5319" w14:textId="77777777" w:rsidR="007F6DF7" w:rsidRDefault="002C4268">
                          <w:pPr>
                            <w:ind w:left="20" w:right="-1"/>
                            <w:rPr>
                              <w:sz w:val="20"/>
                            </w:rPr>
                          </w:pPr>
                          <w:r>
                            <w:rPr>
                              <w:color w:val="585858"/>
                              <w:sz w:val="20"/>
                            </w:rPr>
                            <w:t xml:space="preserve">Shared Care: Methylphenidate (immediate release and </w:t>
                          </w:r>
                          <w:proofErr w:type="gramStart"/>
                          <w:r>
                            <w:rPr>
                              <w:color w:val="585858"/>
                              <w:sz w:val="20"/>
                            </w:rPr>
                            <w:t>long-acting</w:t>
                          </w:r>
                          <w:proofErr w:type="gramEnd"/>
                          <w:r>
                            <w:rPr>
                              <w:color w:val="585858"/>
                              <w:sz w:val="20"/>
                            </w:rPr>
                            <w:t xml:space="preserve">), Atomoxetine, </w:t>
                          </w:r>
                          <w:proofErr w:type="spellStart"/>
                          <w:r>
                            <w:rPr>
                              <w:color w:val="585858"/>
                              <w:sz w:val="20"/>
                            </w:rPr>
                            <w:t>Dexamfetamine</w:t>
                          </w:r>
                          <w:proofErr w:type="spellEnd"/>
                          <w:r>
                            <w:rPr>
                              <w:color w:val="585858"/>
                              <w:sz w:val="20"/>
                            </w:rPr>
                            <w:t xml:space="preserve"> and </w:t>
                          </w:r>
                          <w:proofErr w:type="spellStart"/>
                          <w:r>
                            <w:rPr>
                              <w:color w:val="585858"/>
                              <w:sz w:val="20"/>
                            </w:rPr>
                            <w:t>Lisdexamfetamine</w:t>
                          </w:r>
                          <w:proofErr w:type="spellEnd"/>
                        </w:p>
                        <w:p w14:paraId="733FC89C" w14:textId="77777777" w:rsidR="007F6DF7" w:rsidRDefault="002C4268">
                          <w:pPr>
                            <w:ind w:left="20" w:right="3585"/>
                            <w:rPr>
                              <w:sz w:val="20"/>
                            </w:rPr>
                          </w:pPr>
                          <w:r>
                            <w:rPr>
                              <w:color w:val="585858"/>
                              <w:sz w:val="20"/>
                            </w:rPr>
                            <w:t>Produced by C&amp;I MH FT V1.4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6BA67" id="Text Box 10" o:spid="_x0000_s1028" type="#_x0000_t202" style="position:absolute;margin-left:55.65pt;margin-top:747.15pt;width:277.9pt;height:60.8pt;z-index:-4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" filled="f" stroked="f">
              <v:textbox inset="0,0,0,0">
                <w:txbxContent>
                  <w:p w14:paraId="6BACD745" w14:textId="77777777" w:rsidR="007F6DF7" w:rsidRDefault="002C4268">
                    <w:pPr>
                      <w:spacing w:line="223" w:lineRule="exact"/>
                      <w:ind w:left="20"/>
                      <w:rPr>
                        <w:sz w:val="20"/>
                      </w:rPr>
                    </w:pPr>
                    <w:r>
                      <w:rPr>
                        <w:color w:val="585858"/>
                        <w:sz w:val="20"/>
                      </w:rPr>
                      <w:t>North Central London Joint Formulary Committee</w:t>
                    </w:r>
                  </w:p>
                  <w:p w14:paraId="60CB5319" w14:textId="77777777" w:rsidR="007F6DF7" w:rsidRDefault="002C4268">
                    <w:pPr>
                      <w:ind w:left="20" w:right="-1"/>
                      <w:rPr>
                        <w:sz w:val="20"/>
                      </w:rPr>
                    </w:pPr>
                    <w:r>
                      <w:rPr>
                        <w:color w:val="585858"/>
                        <w:sz w:val="20"/>
                      </w:rPr>
                      <w:t xml:space="preserve">Shared Care: Methylphenidate (immediate release and </w:t>
                    </w:r>
                    <w:proofErr w:type="gramStart"/>
                    <w:r>
                      <w:rPr>
                        <w:color w:val="585858"/>
                        <w:sz w:val="20"/>
                      </w:rPr>
                      <w:t>long-acting</w:t>
                    </w:r>
                    <w:proofErr w:type="gramEnd"/>
                    <w:r>
                      <w:rPr>
                        <w:color w:val="585858"/>
                        <w:sz w:val="20"/>
                      </w:rPr>
                      <w:t xml:space="preserve">), Atomoxetine, </w:t>
                    </w:r>
                    <w:proofErr w:type="spellStart"/>
                    <w:r>
                      <w:rPr>
                        <w:color w:val="585858"/>
                        <w:sz w:val="20"/>
                      </w:rPr>
                      <w:t>Dexamfetamine</w:t>
                    </w:r>
                    <w:proofErr w:type="spellEnd"/>
                    <w:r>
                      <w:rPr>
                        <w:color w:val="585858"/>
                        <w:sz w:val="20"/>
                      </w:rPr>
                      <w:t xml:space="preserve"> and </w:t>
                    </w:r>
                    <w:proofErr w:type="spellStart"/>
                    <w:r>
                      <w:rPr>
                        <w:color w:val="585858"/>
                        <w:sz w:val="20"/>
                      </w:rPr>
                      <w:t>Lisdexamfetamine</w:t>
                    </w:r>
                    <w:proofErr w:type="spellEnd"/>
                  </w:p>
                  <w:p w14:paraId="733FC89C" w14:textId="77777777" w:rsidR="007F6DF7" w:rsidRDefault="002C4268">
                    <w:pPr>
                      <w:ind w:left="20" w:right="3585"/>
                      <w:rPr>
                        <w:sz w:val="20"/>
                      </w:rPr>
                    </w:pPr>
                    <w:r>
                      <w:rPr>
                        <w:color w:val="585858"/>
                        <w:sz w:val="20"/>
                      </w:rPr>
                      <w:t>Produced by C&amp;I MH FT V1.4</w:t>
                    </w:r>
                  </w:p>
                </w:txbxContent>
              </v:textbox>
              <w10:wrap anchorx="page" anchory="page"/>
            </v:shape>
          </w:pict>
        </mc:Fallback>
      </mc:AlternateContent>
    </w:r>
    <w:r w:rsidR="002C4268">
      <w:rPr>
        <w:noProof/>
      </w:rPr>
      <mc:AlternateContent>
        <mc:Choice Requires="wps">
          <w:drawing>
            <wp:anchor distT="0" distB="0" distL="114300" distR="114300" simplePos="0" relativeHeight="503271752" behindDoc="1" locked="0" layoutInCell="1" allowOverlap="1" wp14:anchorId="6D29B262" wp14:editId="3EB592B8">
              <wp:simplePos x="0" y="0"/>
              <wp:positionH relativeFrom="page">
                <wp:posOffset>6006465</wp:posOffset>
              </wp:positionH>
              <wp:positionV relativeFrom="page">
                <wp:posOffset>9488805</wp:posOffset>
              </wp:positionV>
              <wp:extent cx="457835" cy="152400"/>
              <wp:effectExtent l="0" t="1905" r="317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F74A4" w14:textId="77777777" w:rsidR="007F6DF7" w:rsidRDefault="002C4268">
                          <w:pPr>
                            <w:spacing w:line="223" w:lineRule="exact"/>
                            <w:ind w:left="40"/>
                            <w:rPr>
                              <w:sz w:val="20"/>
                            </w:rPr>
                          </w:pPr>
                          <w:r>
                            <w:fldChar w:fldCharType="begin"/>
                          </w:r>
                          <w:r>
                            <w:rPr>
                              <w:color w:val="585858"/>
                              <w:sz w:val="20"/>
                            </w:rPr>
                            <w:instrText xml:space="preserve"> PAGE </w:instrText>
                          </w:r>
                          <w:r>
                            <w:fldChar w:fldCharType="separate"/>
                          </w:r>
                          <w:r>
                            <w:t>10</w:t>
                          </w:r>
                          <w:r>
                            <w:fldChar w:fldCharType="end"/>
                          </w:r>
                          <w:r>
                            <w:rPr>
                              <w:color w:val="585858"/>
                              <w:sz w:val="20"/>
                            </w:rPr>
                            <w:t xml:space="preserve"> of 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9B262" id="Text Box 9" o:spid="_x0000_s1029" type="#_x0000_t202" style="position:absolute;margin-left:472.95pt;margin-top:747.15pt;width:36.05pt;height:12pt;z-index:-4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" filled="f" stroked="f">
              <v:textbox inset="0,0,0,0">
                <w:txbxContent>
                  <w:p w14:paraId="288F74A4" w14:textId="77777777" w:rsidR="007F6DF7" w:rsidRDefault="002C4268">
                    <w:pPr>
                      <w:spacing w:line="223" w:lineRule="exact"/>
                      <w:ind w:left="40"/>
                      <w:rPr>
                        <w:sz w:val="20"/>
                      </w:rPr>
                    </w:pPr>
                    <w:r>
                      <w:fldChar w:fldCharType="begin"/>
                    </w:r>
                    <w:r>
                      <w:rPr>
                        <w:color w:val="585858"/>
                        <w:sz w:val="20"/>
                      </w:rPr>
                      <w:instrText xml:space="preserve"> PAGE </w:instrText>
                    </w:r>
                    <w:r>
                      <w:fldChar w:fldCharType="separate"/>
                    </w:r>
                    <w:r>
                      <w:t>10</w:t>
                    </w:r>
                    <w:r>
                      <w:fldChar w:fldCharType="end"/>
                    </w:r>
                    <w:r>
                      <w:rPr>
                        <w:color w:val="585858"/>
                        <w:sz w:val="20"/>
                      </w:rPr>
                      <w:t xml:space="preserve"> of 28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6FB4" w14:textId="305EDDC8" w:rsidR="007F6DF7" w:rsidRDefault="002C4268">
    <w:pPr>
      <w:pStyle w:val="BodyText"/>
      <w:spacing w:line="14" w:lineRule="auto"/>
      <w:rPr>
        <w:sz w:val="20"/>
      </w:rPr>
    </w:pPr>
    <w:r>
      <w:rPr>
        <w:noProof/>
      </w:rPr>
      <mc:AlternateContent>
        <mc:Choice Requires="wps">
          <w:drawing>
            <wp:anchor distT="0" distB="0" distL="114300" distR="114300" simplePos="0" relativeHeight="503271800" behindDoc="1" locked="0" layoutInCell="1" allowOverlap="1" wp14:anchorId="57C4CA73" wp14:editId="1DB7D479">
              <wp:simplePos x="0" y="0"/>
              <wp:positionH relativeFrom="page">
                <wp:posOffset>706755</wp:posOffset>
              </wp:positionH>
              <wp:positionV relativeFrom="page">
                <wp:posOffset>9488805</wp:posOffset>
              </wp:positionV>
              <wp:extent cx="3529330" cy="772160"/>
              <wp:effectExtent l="1905" t="1905" r="254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7807" w14:textId="77777777" w:rsidR="007F6DF7" w:rsidRDefault="002C4268">
                          <w:pPr>
                            <w:spacing w:line="223" w:lineRule="exact"/>
                            <w:ind w:left="20"/>
                            <w:rPr>
                              <w:sz w:val="20"/>
                            </w:rPr>
                          </w:pPr>
                          <w:r>
                            <w:rPr>
                              <w:color w:val="585858"/>
                              <w:sz w:val="20"/>
                            </w:rPr>
                            <w:t>North Central London Joint Formulary Committee</w:t>
                          </w:r>
                        </w:p>
                        <w:p w14:paraId="48C5929D" w14:textId="77777777" w:rsidR="007F6DF7" w:rsidRDefault="002C4268">
                          <w:pPr>
                            <w:ind w:left="20" w:right="-1"/>
                            <w:rPr>
                              <w:sz w:val="20"/>
                            </w:rPr>
                          </w:pPr>
                          <w:r>
                            <w:rPr>
                              <w:color w:val="585858"/>
                              <w:sz w:val="20"/>
                            </w:rPr>
                            <w:t xml:space="preserve">Shared Care: Methylphenidate (immediate release and </w:t>
                          </w:r>
                          <w:proofErr w:type="gramStart"/>
                          <w:r>
                            <w:rPr>
                              <w:color w:val="585858"/>
                              <w:sz w:val="20"/>
                            </w:rPr>
                            <w:t>long-acting</w:t>
                          </w:r>
                          <w:proofErr w:type="gramEnd"/>
                          <w:r>
                            <w:rPr>
                              <w:color w:val="585858"/>
                              <w:sz w:val="20"/>
                            </w:rPr>
                            <w:t xml:space="preserve">), Atomoxetine, </w:t>
                          </w:r>
                          <w:proofErr w:type="spellStart"/>
                          <w:r>
                            <w:rPr>
                              <w:color w:val="585858"/>
                              <w:sz w:val="20"/>
                            </w:rPr>
                            <w:t>Dexamfetamine</w:t>
                          </w:r>
                          <w:proofErr w:type="spellEnd"/>
                          <w:r>
                            <w:rPr>
                              <w:color w:val="585858"/>
                              <w:sz w:val="20"/>
                            </w:rPr>
                            <w:t xml:space="preserve"> and </w:t>
                          </w:r>
                          <w:proofErr w:type="spellStart"/>
                          <w:r>
                            <w:rPr>
                              <w:color w:val="585858"/>
                              <w:sz w:val="20"/>
                            </w:rPr>
                            <w:t>Lisdexamfetamine</w:t>
                          </w:r>
                          <w:proofErr w:type="spellEnd"/>
                        </w:p>
                        <w:p w14:paraId="5E96645B" w14:textId="77777777" w:rsidR="007F6DF7" w:rsidRDefault="002C4268">
                          <w:pPr>
                            <w:ind w:left="20" w:right="3585"/>
                            <w:rPr>
                              <w:sz w:val="20"/>
                            </w:rPr>
                          </w:pPr>
                          <w:r>
                            <w:rPr>
                              <w:color w:val="585858"/>
                              <w:sz w:val="20"/>
                            </w:rPr>
                            <w:t>Produced by C&amp;I MH FT V1.4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4CA73" id="_x0000_t202" coordsize="21600,21600" o:spt="202" path="m,l,21600r21600,l21600,xe">
              <v:stroke joinstyle="miter"/>
              <v:path gradientshapeok="t" o:connecttype="rect"/>
            </v:shapetype>
            <v:shape id="Text Box 7" o:spid="_x0000_s1030" type="#_x0000_t202" style="position:absolute;margin-left:55.65pt;margin-top:747.15pt;width:277.9pt;height:60.8pt;z-index:-44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" filled="f" stroked="f">
              <v:textbox inset="0,0,0,0">
                <w:txbxContent>
                  <w:p w14:paraId="56EC7807" w14:textId="77777777" w:rsidR="007F6DF7" w:rsidRDefault="002C4268">
                    <w:pPr>
                      <w:spacing w:line="223" w:lineRule="exact"/>
                      <w:ind w:left="20"/>
                      <w:rPr>
                        <w:sz w:val="20"/>
                      </w:rPr>
                    </w:pPr>
                    <w:r>
                      <w:rPr>
                        <w:color w:val="585858"/>
                        <w:sz w:val="20"/>
                      </w:rPr>
                      <w:t>North Central London Joint Formulary Committee</w:t>
                    </w:r>
                  </w:p>
                  <w:p w14:paraId="48C5929D" w14:textId="77777777" w:rsidR="007F6DF7" w:rsidRDefault="002C4268">
                    <w:pPr>
                      <w:ind w:left="20" w:right="-1"/>
                      <w:rPr>
                        <w:sz w:val="20"/>
                      </w:rPr>
                    </w:pPr>
                    <w:r>
                      <w:rPr>
                        <w:color w:val="585858"/>
                        <w:sz w:val="20"/>
                      </w:rPr>
                      <w:t xml:space="preserve">Shared Care: Methylphenidate (immediate release and </w:t>
                    </w:r>
                    <w:proofErr w:type="gramStart"/>
                    <w:r>
                      <w:rPr>
                        <w:color w:val="585858"/>
                        <w:sz w:val="20"/>
                      </w:rPr>
                      <w:t>long-acting</w:t>
                    </w:r>
                    <w:proofErr w:type="gramEnd"/>
                    <w:r>
                      <w:rPr>
                        <w:color w:val="585858"/>
                        <w:sz w:val="20"/>
                      </w:rPr>
                      <w:t xml:space="preserve">), Atomoxetine, </w:t>
                    </w:r>
                    <w:proofErr w:type="spellStart"/>
                    <w:r>
                      <w:rPr>
                        <w:color w:val="585858"/>
                        <w:sz w:val="20"/>
                      </w:rPr>
                      <w:t>Dexamfetamine</w:t>
                    </w:r>
                    <w:proofErr w:type="spellEnd"/>
                    <w:r>
                      <w:rPr>
                        <w:color w:val="585858"/>
                        <w:sz w:val="20"/>
                      </w:rPr>
                      <w:t xml:space="preserve"> and </w:t>
                    </w:r>
                    <w:proofErr w:type="spellStart"/>
                    <w:r>
                      <w:rPr>
                        <w:color w:val="585858"/>
                        <w:sz w:val="20"/>
                      </w:rPr>
                      <w:t>Lisdexamfetamine</w:t>
                    </w:r>
                    <w:proofErr w:type="spellEnd"/>
                  </w:p>
                  <w:p w14:paraId="5E96645B" w14:textId="77777777" w:rsidR="007F6DF7" w:rsidRDefault="002C4268">
                    <w:pPr>
                      <w:ind w:left="20" w:right="3585"/>
                      <w:rPr>
                        <w:sz w:val="20"/>
                      </w:rPr>
                    </w:pPr>
                    <w:r>
                      <w:rPr>
                        <w:color w:val="585858"/>
                        <w:sz w:val="20"/>
                      </w:rPr>
                      <w:t>Produced by C&amp;I MH FT V1.4</w:t>
                    </w:r>
                  </w:p>
                </w:txbxContent>
              </v:textbox>
              <w10:wrap anchorx="page" anchory="page"/>
            </v:shape>
          </w:pict>
        </mc:Fallback>
      </mc:AlternateContent>
    </w:r>
    <w:r>
      <w:rPr>
        <w:noProof/>
      </w:rPr>
      <mc:AlternateContent>
        <mc:Choice Requires="wps">
          <w:drawing>
            <wp:anchor distT="0" distB="0" distL="114300" distR="114300" simplePos="0" relativeHeight="503271824" behindDoc="1" locked="0" layoutInCell="1" allowOverlap="1" wp14:anchorId="33977D2A" wp14:editId="04B9C0E3">
              <wp:simplePos x="0" y="0"/>
              <wp:positionH relativeFrom="page">
                <wp:posOffset>6006465</wp:posOffset>
              </wp:positionH>
              <wp:positionV relativeFrom="page">
                <wp:posOffset>9488805</wp:posOffset>
              </wp:positionV>
              <wp:extent cx="457835" cy="152400"/>
              <wp:effectExtent l="0" t="1905" r="317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7DA43" w14:textId="77777777" w:rsidR="007F6DF7" w:rsidRDefault="002C4268">
                          <w:pPr>
                            <w:spacing w:line="223" w:lineRule="exact"/>
                            <w:ind w:left="40"/>
                            <w:rPr>
                              <w:sz w:val="20"/>
                            </w:rPr>
                          </w:pPr>
                          <w:r>
                            <w:fldChar w:fldCharType="begin"/>
                          </w:r>
                          <w:r>
                            <w:rPr>
                              <w:color w:val="585858"/>
                              <w:sz w:val="20"/>
                            </w:rPr>
                            <w:instrText xml:space="preserve"> PAGE </w:instrText>
                          </w:r>
                          <w:r>
                            <w:fldChar w:fldCharType="separate"/>
                          </w:r>
                          <w:r>
                            <w:t>23</w:t>
                          </w:r>
                          <w:r>
                            <w:fldChar w:fldCharType="end"/>
                          </w:r>
                          <w:r>
                            <w:rPr>
                              <w:color w:val="585858"/>
                              <w:sz w:val="20"/>
                            </w:rPr>
                            <w:t xml:space="preserve"> of 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77D2A" id="Text Box 6" o:spid="_x0000_s1031" type="#_x0000_t202" style="position:absolute;margin-left:472.95pt;margin-top:747.15pt;width:36.05pt;height:12pt;z-index:-4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" filled="f" stroked="f">
              <v:textbox inset="0,0,0,0">
                <w:txbxContent>
                  <w:p w14:paraId="4A07DA43" w14:textId="77777777" w:rsidR="007F6DF7" w:rsidRDefault="002C4268">
                    <w:pPr>
                      <w:spacing w:line="223" w:lineRule="exact"/>
                      <w:ind w:left="40"/>
                      <w:rPr>
                        <w:sz w:val="20"/>
                      </w:rPr>
                    </w:pPr>
                    <w:r>
                      <w:fldChar w:fldCharType="begin"/>
                    </w:r>
                    <w:r>
                      <w:rPr>
                        <w:color w:val="585858"/>
                        <w:sz w:val="20"/>
                      </w:rPr>
                      <w:instrText xml:space="preserve"> PAGE </w:instrText>
                    </w:r>
                    <w:r>
                      <w:fldChar w:fldCharType="separate"/>
                    </w:r>
                    <w:r>
                      <w:t>23</w:t>
                    </w:r>
                    <w:r>
                      <w:fldChar w:fldCharType="end"/>
                    </w:r>
                    <w:r>
                      <w:rPr>
                        <w:color w:val="585858"/>
                        <w:sz w:val="20"/>
                      </w:rPr>
                      <w:t xml:space="preserve"> of 28</w:t>
                    </w:r>
                  </w:p>
                </w:txbxContent>
              </v:textbox>
              <w10:wrap anchorx="page" anchory="page"/>
            </v:shape>
          </w:pict>
        </mc:Fallback>
      </mc:AlternateContent>
    </w:r>
    <w:r>
      <w:rPr>
        <w:noProof/>
      </w:rPr>
      <mc:AlternateContent>
        <mc:Choice Requires="wps">
          <w:drawing>
            <wp:anchor distT="0" distB="0" distL="114300" distR="114300" simplePos="0" relativeHeight="503271848" behindDoc="1" locked="0" layoutInCell="1" allowOverlap="1" wp14:anchorId="55A97080" wp14:editId="2DCAE56F">
              <wp:simplePos x="0" y="0"/>
              <wp:positionH relativeFrom="page">
                <wp:posOffset>5450840</wp:posOffset>
              </wp:positionH>
              <wp:positionV relativeFrom="page">
                <wp:posOffset>10109200</wp:posOffset>
              </wp:positionV>
              <wp:extent cx="1014095" cy="307340"/>
              <wp:effectExtent l="2540" t="3175" r="254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87E78" w14:textId="77777777" w:rsidR="007F6DF7" w:rsidRDefault="002C4268">
                          <w:pPr>
                            <w:spacing w:line="223" w:lineRule="exact"/>
                            <w:ind w:left="1" w:right="1"/>
                            <w:jc w:val="center"/>
                            <w:rPr>
                              <w:sz w:val="20"/>
                            </w:rPr>
                          </w:pPr>
                          <w:r>
                            <w:rPr>
                              <w:color w:val="585858"/>
                              <w:sz w:val="20"/>
                            </w:rPr>
                            <w:t>Approval date:</w:t>
                          </w:r>
                          <w:r>
                            <w:rPr>
                              <w:color w:val="585858"/>
                              <w:spacing w:val="-8"/>
                              <w:sz w:val="20"/>
                            </w:rPr>
                            <w:t xml:space="preserve"> </w:t>
                          </w:r>
                          <w:r>
                            <w:rPr>
                              <w:color w:val="585858"/>
                              <w:sz w:val="20"/>
                            </w:rPr>
                            <w:t>TBC</w:t>
                          </w:r>
                        </w:p>
                        <w:p w14:paraId="4E98A985" w14:textId="77777777" w:rsidR="007F6DF7" w:rsidRDefault="002C4268">
                          <w:pPr>
                            <w:ind w:left="147" w:right="1"/>
                            <w:jc w:val="center"/>
                            <w:rPr>
                              <w:sz w:val="20"/>
                            </w:rPr>
                          </w:pPr>
                          <w:r>
                            <w:rPr>
                              <w:color w:val="585858"/>
                              <w:sz w:val="20"/>
                            </w:rPr>
                            <w:t>Review date:</w:t>
                          </w:r>
                          <w:r>
                            <w:rPr>
                              <w:color w:val="585858"/>
                              <w:spacing w:val="-4"/>
                              <w:sz w:val="20"/>
                            </w:rPr>
                            <w:t xml:space="preserve"> </w:t>
                          </w:r>
                          <w:proofErr w:type="gramStart"/>
                          <w:r>
                            <w:rPr>
                              <w:color w:val="585858"/>
                              <w:sz w:val="20"/>
                            </w:rPr>
                            <w:t>TBC</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97080" id="Text Box 5" o:spid="_x0000_s1032" type="#_x0000_t202" style="position:absolute;margin-left:429.2pt;margin-top:796pt;width:79.85pt;height:24.2pt;z-index:-44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" filled="f" stroked="f">
              <v:textbox inset="0,0,0,0">
                <w:txbxContent>
                  <w:p w14:paraId="69787E78" w14:textId="77777777" w:rsidR="007F6DF7" w:rsidRDefault="002C4268">
                    <w:pPr>
                      <w:spacing w:line="223" w:lineRule="exact"/>
                      <w:ind w:left="1" w:right="1"/>
                      <w:jc w:val="center"/>
                      <w:rPr>
                        <w:sz w:val="20"/>
                      </w:rPr>
                    </w:pPr>
                    <w:r>
                      <w:rPr>
                        <w:color w:val="585858"/>
                        <w:sz w:val="20"/>
                      </w:rPr>
                      <w:t>Approval date:</w:t>
                    </w:r>
                    <w:r>
                      <w:rPr>
                        <w:color w:val="585858"/>
                        <w:spacing w:val="-8"/>
                        <w:sz w:val="20"/>
                      </w:rPr>
                      <w:t xml:space="preserve"> </w:t>
                    </w:r>
                    <w:r>
                      <w:rPr>
                        <w:color w:val="585858"/>
                        <w:sz w:val="20"/>
                      </w:rPr>
                      <w:t>TBC</w:t>
                    </w:r>
                  </w:p>
                  <w:p w14:paraId="4E98A985" w14:textId="77777777" w:rsidR="007F6DF7" w:rsidRDefault="002C4268">
                    <w:pPr>
                      <w:ind w:left="147" w:right="1"/>
                      <w:jc w:val="center"/>
                      <w:rPr>
                        <w:sz w:val="20"/>
                      </w:rPr>
                    </w:pPr>
                    <w:r>
                      <w:rPr>
                        <w:color w:val="585858"/>
                        <w:sz w:val="20"/>
                      </w:rPr>
                      <w:t>Review date:</w:t>
                    </w:r>
                    <w:r>
                      <w:rPr>
                        <w:color w:val="585858"/>
                        <w:spacing w:val="-4"/>
                        <w:sz w:val="20"/>
                      </w:rPr>
                      <w:t xml:space="preserve"> </w:t>
                    </w:r>
                    <w:proofErr w:type="gramStart"/>
                    <w:r>
                      <w:rPr>
                        <w:color w:val="585858"/>
                        <w:sz w:val="20"/>
                      </w:rPr>
                      <w:t>TBC</w:t>
                    </w:r>
                    <w:proofErr w:type="gram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3CF1" w14:textId="73B449EE" w:rsidR="007F6DF7" w:rsidRDefault="002C4268">
    <w:pPr>
      <w:pStyle w:val="BodyText"/>
      <w:spacing w:line="14" w:lineRule="auto"/>
      <w:rPr>
        <w:sz w:val="20"/>
      </w:rPr>
    </w:pPr>
    <w:r>
      <w:rPr>
        <w:noProof/>
      </w:rPr>
      <mc:AlternateContent>
        <mc:Choice Requires="wps">
          <w:drawing>
            <wp:anchor distT="0" distB="0" distL="114300" distR="114300" simplePos="0" relativeHeight="503271944" behindDoc="1" locked="0" layoutInCell="1" allowOverlap="1" wp14:anchorId="3561115B" wp14:editId="78E13B7E">
              <wp:simplePos x="0" y="0"/>
              <wp:positionH relativeFrom="page">
                <wp:posOffset>5450840</wp:posOffset>
              </wp:positionH>
              <wp:positionV relativeFrom="page">
                <wp:posOffset>10109200</wp:posOffset>
              </wp:positionV>
              <wp:extent cx="1576070" cy="307340"/>
              <wp:effectExtent l="2540" t="3175" r="2540" b="381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9EF39" w14:textId="3297AE8F" w:rsidR="007F6DF7" w:rsidRDefault="002C4268">
                          <w:pPr>
                            <w:spacing w:line="223" w:lineRule="exact"/>
                            <w:ind w:left="1" w:right="1"/>
                            <w:jc w:val="center"/>
                            <w:rPr>
                              <w:sz w:val="20"/>
                            </w:rPr>
                          </w:pPr>
                          <w:r>
                            <w:rPr>
                              <w:color w:val="585858"/>
                              <w:sz w:val="20"/>
                            </w:rPr>
                            <w:t>Approval date:</w:t>
                          </w:r>
                          <w:r>
                            <w:rPr>
                              <w:color w:val="585858"/>
                              <w:spacing w:val="-8"/>
                              <w:sz w:val="20"/>
                            </w:rPr>
                            <w:t xml:space="preserve"> </w:t>
                          </w:r>
                          <w:r w:rsidR="003A2310">
                            <w:rPr>
                              <w:color w:val="585858"/>
                              <w:sz w:val="20"/>
                            </w:rPr>
                            <w:t>July 2024</w:t>
                          </w:r>
                        </w:p>
                        <w:p w14:paraId="785B4B40" w14:textId="3548705A" w:rsidR="007F6DF7" w:rsidRDefault="002C4268">
                          <w:pPr>
                            <w:ind w:left="147" w:right="1"/>
                            <w:jc w:val="center"/>
                            <w:rPr>
                              <w:sz w:val="20"/>
                            </w:rPr>
                          </w:pPr>
                          <w:r>
                            <w:rPr>
                              <w:color w:val="585858"/>
                              <w:sz w:val="20"/>
                            </w:rPr>
                            <w:t>Review date:</w:t>
                          </w:r>
                          <w:r>
                            <w:rPr>
                              <w:color w:val="585858"/>
                              <w:spacing w:val="-4"/>
                              <w:sz w:val="20"/>
                            </w:rPr>
                            <w:t xml:space="preserve"> </w:t>
                          </w:r>
                          <w:r w:rsidR="003A2310">
                            <w:rPr>
                              <w:color w:val="585858"/>
                              <w:sz w:val="20"/>
                            </w:rPr>
                            <w:t>July 2027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1115B" id="_x0000_t202" coordsize="21600,21600" o:spt="202" path="m,l,21600r21600,l21600,xe">
              <v:stroke joinstyle="miter"/>
              <v:path gradientshapeok="t" o:connecttype="rect"/>
            </v:shapetype>
            <v:shape id="Text Box 1" o:spid="_x0000_s1033" type="#_x0000_t202" style="position:absolute;margin-left:429.2pt;margin-top:796pt;width:124.1pt;height:24.2pt;z-index:-4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" filled="f" stroked="f">
              <v:textbox inset="0,0,0,0">
                <w:txbxContent>
                  <w:p w14:paraId="7DF9EF39" w14:textId="3297AE8F" w:rsidR="007F6DF7" w:rsidRDefault="002C4268">
                    <w:pPr>
                      <w:spacing w:line="223" w:lineRule="exact"/>
                      <w:ind w:left="1" w:right="1"/>
                      <w:jc w:val="center"/>
                      <w:rPr>
                        <w:sz w:val="20"/>
                      </w:rPr>
                    </w:pPr>
                    <w:r>
                      <w:rPr>
                        <w:color w:val="585858"/>
                        <w:sz w:val="20"/>
                      </w:rPr>
                      <w:t>Approval date:</w:t>
                    </w:r>
                    <w:r>
                      <w:rPr>
                        <w:color w:val="585858"/>
                        <w:spacing w:val="-8"/>
                        <w:sz w:val="20"/>
                      </w:rPr>
                      <w:t xml:space="preserve"> </w:t>
                    </w:r>
                    <w:r w:rsidR="003A2310">
                      <w:rPr>
                        <w:color w:val="585858"/>
                        <w:sz w:val="20"/>
                      </w:rPr>
                      <w:t>July 2024</w:t>
                    </w:r>
                  </w:p>
                  <w:p w14:paraId="785B4B40" w14:textId="3548705A" w:rsidR="007F6DF7" w:rsidRDefault="002C4268">
                    <w:pPr>
                      <w:ind w:left="147" w:right="1"/>
                      <w:jc w:val="center"/>
                      <w:rPr>
                        <w:sz w:val="20"/>
                      </w:rPr>
                    </w:pPr>
                    <w:r>
                      <w:rPr>
                        <w:color w:val="585858"/>
                        <w:sz w:val="20"/>
                      </w:rPr>
                      <w:t>Review date:</w:t>
                    </w:r>
                    <w:r>
                      <w:rPr>
                        <w:color w:val="585858"/>
                        <w:spacing w:val="-4"/>
                        <w:sz w:val="20"/>
                      </w:rPr>
                      <w:t xml:space="preserve"> </w:t>
                    </w:r>
                    <w:r w:rsidR="003A2310">
                      <w:rPr>
                        <w:color w:val="585858"/>
                        <w:sz w:val="20"/>
                      </w:rPr>
                      <w:t>July 2027</w:t>
                    </w:r>
                  </w:p>
                </w:txbxContent>
              </v:textbox>
              <w10:wrap anchorx="page" anchory="page"/>
            </v:shape>
          </w:pict>
        </mc:Fallback>
      </mc:AlternateContent>
    </w:r>
    <w:r>
      <w:rPr>
        <w:noProof/>
      </w:rPr>
      <mc:AlternateContent>
        <mc:Choice Requires="wps">
          <w:drawing>
            <wp:anchor distT="0" distB="0" distL="114300" distR="114300" simplePos="0" relativeHeight="503271872" behindDoc="1" locked="0" layoutInCell="1" allowOverlap="1" wp14:anchorId="604DB9D6" wp14:editId="5896D861">
              <wp:simplePos x="0" y="0"/>
              <wp:positionH relativeFrom="page">
                <wp:posOffset>701040</wp:posOffset>
              </wp:positionH>
              <wp:positionV relativeFrom="page">
                <wp:posOffset>9453245</wp:posOffset>
              </wp:positionV>
              <wp:extent cx="5963285" cy="0"/>
              <wp:effectExtent l="15240" t="13970" r="12700" b="1460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0"/>
                      </a:xfrm>
                      <a:prstGeom prst="line">
                        <a:avLst/>
                      </a:prstGeom>
                      <a:noFill/>
                      <a:ln w="18288">
                        <a:solidFill>
                          <a:srgbClr val="A6A6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86146" id="Line 4" o:spid="_x0000_s1026" style="position:absolute;z-index:-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44.35pt" to="524.75pt,7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" strokecolor="#a6a6a6" strokeweight="1.44pt">
              <w10:wrap anchorx="page" anchory="page"/>
            </v:line>
          </w:pict>
        </mc:Fallback>
      </mc:AlternateContent>
    </w:r>
    <w:r>
      <w:rPr>
        <w:noProof/>
      </w:rPr>
      <mc:AlternateContent>
        <mc:Choice Requires="wps">
          <w:drawing>
            <wp:anchor distT="0" distB="0" distL="114300" distR="114300" simplePos="0" relativeHeight="503271896" behindDoc="1" locked="0" layoutInCell="1" allowOverlap="1" wp14:anchorId="20DF30B1" wp14:editId="219363D7">
              <wp:simplePos x="0" y="0"/>
              <wp:positionH relativeFrom="page">
                <wp:posOffset>706755</wp:posOffset>
              </wp:positionH>
              <wp:positionV relativeFrom="page">
                <wp:posOffset>9488805</wp:posOffset>
              </wp:positionV>
              <wp:extent cx="3529330" cy="772160"/>
              <wp:effectExtent l="1905" t="190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E4D78" w14:textId="77777777" w:rsidR="007F6DF7" w:rsidRDefault="002C4268">
                          <w:pPr>
                            <w:spacing w:line="223" w:lineRule="exact"/>
                            <w:ind w:left="20"/>
                            <w:rPr>
                              <w:sz w:val="20"/>
                            </w:rPr>
                          </w:pPr>
                          <w:r>
                            <w:rPr>
                              <w:color w:val="585858"/>
                              <w:sz w:val="20"/>
                            </w:rPr>
                            <w:t>North Central London Joint Formulary Committee</w:t>
                          </w:r>
                        </w:p>
                        <w:p w14:paraId="551EE2E3" w14:textId="77777777" w:rsidR="007F6DF7" w:rsidRDefault="002C4268">
                          <w:pPr>
                            <w:ind w:left="20" w:right="-1"/>
                            <w:rPr>
                              <w:sz w:val="20"/>
                            </w:rPr>
                          </w:pPr>
                          <w:r>
                            <w:rPr>
                              <w:color w:val="585858"/>
                              <w:sz w:val="20"/>
                            </w:rPr>
                            <w:t xml:space="preserve">Shared Care: Methylphenidate (immediate release and </w:t>
                          </w:r>
                          <w:proofErr w:type="gramStart"/>
                          <w:r>
                            <w:rPr>
                              <w:color w:val="585858"/>
                              <w:sz w:val="20"/>
                            </w:rPr>
                            <w:t>long-acting</w:t>
                          </w:r>
                          <w:proofErr w:type="gramEnd"/>
                          <w:r>
                            <w:rPr>
                              <w:color w:val="585858"/>
                              <w:sz w:val="20"/>
                            </w:rPr>
                            <w:t xml:space="preserve">), Atomoxetine, </w:t>
                          </w:r>
                          <w:proofErr w:type="spellStart"/>
                          <w:r>
                            <w:rPr>
                              <w:color w:val="585858"/>
                              <w:sz w:val="20"/>
                            </w:rPr>
                            <w:t>Dexamfetamine</w:t>
                          </w:r>
                          <w:proofErr w:type="spellEnd"/>
                          <w:r>
                            <w:rPr>
                              <w:color w:val="585858"/>
                              <w:sz w:val="20"/>
                            </w:rPr>
                            <w:t xml:space="preserve"> and </w:t>
                          </w:r>
                          <w:proofErr w:type="spellStart"/>
                          <w:r>
                            <w:rPr>
                              <w:color w:val="585858"/>
                              <w:sz w:val="20"/>
                            </w:rPr>
                            <w:t>Lisdexamfetamine</w:t>
                          </w:r>
                          <w:proofErr w:type="spellEnd"/>
                        </w:p>
                        <w:p w14:paraId="1CF306B1" w14:textId="4E5AC7CD" w:rsidR="007F6DF7" w:rsidRDefault="002C4268">
                          <w:pPr>
                            <w:ind w:left="20" w:right="3585"/>
                            <w:rPr>
                              <w:sz w:val="20"/>
                            </w:rPr>
                          </w:pPr>
                          <w:r>
                            <w:rPr>
                              <w:color w:val="585858"/>
                              <w:sz w:val="20"/>
                            </w:rPr>
                            <w:t xml:space="preserve">Produced by </w:t>
                          </w:r>
                          <w:r w:rsidR="003A2310">
                            <w:rPr>
                              <w:color w:val="585858"/>
                              <w:sz w:val="20"/>
                            </w:rPr>
                            <w:t>NLMHP</w:t>
                          </w:r>
                          <w:r>
                            <w:rPr>
                              <w:color w:val="585858"/>
                              <w:sz w:val="20"/>
                            </w:rPr>
                            <w:t xml:space="preserve"> V1.4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F30B1" id="Text Box 3" o:spid="_x0000_s1034" type="#_x0000_t202" style="position:absolute;margin-left:55.65pt;margin-top:747.15pt;width:277.9pt;height:60.8pt;z-index:-44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" filled="f" stroked="f">
              <v:textbox inset="0,0,0,0">
                <w:txbxContent>
                  <w:p w14:paraId="54EE4D78" w14:textId="77777777" w:rsidR="007F6DF7" w:rsidRDefault="002C4268">
                    <w:pPr>
                      <w:spacing w:line="223" w:lineRule="exact"/>
                      <w:ind w:left="20"/>
                      <w:rPr>
                        <w:sz w:val="20"/>
                      </w:rPr>
                    </w:pPr>
                    <w:r>
                      <w:rPr>
                        <w:color w:val="585858"/>
                        <w:sz w:val="20"/>
                      </w:rPr>
                      <w:t>North Central London Joint Formulary Committee</w:t>
                    </w:r>
                  </w:p>
                  <w:p w14:paraId="551EE2E3" w14:textId="77777777" w:rsidR="007F6DF7" w:rsidRDefault="002C4268">
                    <w:pPr>
                      <w:ind w:left="20" w:right="-1"/>
                      <w:rPr>
                        <w:sz w:val="20"/>
                      </w:rPr>
                    </w:pPr>
                    <w:r>
                      <w:rPr>
                        <w:color w:val="585858"/>
                        <w:sz w:val="20"/>
                      </w:rPr>
                      <w:t xml:space="preserve">Shared Care: Methylphenidate (immediate release and </w:t>
                    </w:r>
                    <w:proofErr w:type="gramStart"/>
                    <w:r>
                      <w:rPr>
                        <w:color w:val="585858"/>
                        <w:sz w:val="20"/>
                      </w:rPr>
                      <w:t>long-acting</w:t>
                    </w:r>
                    <w:proofErr w:type="gramEnd"/>
                    <w:r>
                      <w:rPr>
                        <w:color w:val="585858"/>
                        <w:sz w:val="20"/>
                      </w:rPr>
                      <w:t xml:space="preserve">), Atomoxetine, </w:t>
                    </w:r>
                    <w:proofErr w:type="spellStart"/>
                    <w:r>
                      <w:rPr>
                        <w:color w:val="585858"/>
                        <w:sz w:val="20"/>
                      </w:rPr>
                      <w:t>Dexamfetamine</w:t>
                    </w:r>
                    <w:proofErr w:type="spellEnd"/>
                    <w:r>
                      <w:rPr>
                        <w:color w:val="585858"/>
                        <w:sz w:val="20"/>
                      </w:rPr>
                      <w:t xml:space="preserve"> and </w:t>
                    </w:r>
                    <w:proofErr w:type="spellStart"/>
                    <w:r>
                      <w:rPr>
                        <w:color w:val="585858"/>
                        <w:sz w:val="20"/>
                      </w:rPr>
                      <w:t>Lisdexamfetamine</w:t>
                    </w:r>
                    <w:proofErr w:type="spellEnd"/>
                  </w:p>
                  <w:p w14:paraId="1CF306B1" w14:textId="4E5AC7CD" w:rsidR="007F6DF7" w:rsidRDefault="002C4268">
                    <w:pPr>
                      <w:ind w:left="20" w:right="3585"/>
                      <w:rPr>
                        <w:sz w:val="20"/>
                      </w:rPr>
                    </w:pPr>
                    <w:r>
                      <w:rPr>
                        <w:color w:val="585858"/>
                        <w:sz w:val="20"/>
                      </w:rPr>
                      <w:t xml:space="preserve">Produced by </w:t>
                    </w:r>
                    <w:r w:rsidR="003A2310">
                      <w:rPr>
                        <w:color w:val="585858"/>
                        <w:sz w:val="20"/>
                      </w:rPr>
                      <w:t>NLMHP</w:t>
                    </w:r>
                    <w:r>
                      <w:rPr>
                        <w:color w:val="585858"/>
                        <w:sz w:val="20"/>
                      </w:rPr>
                      <w:t xml:space="preserve"> V1.4</w:t>
                    </w:r>
                  </w:p>
                </w:txbxContent>
              </v:textbox>
              <w10:wrap anchorx="page" anchory="page"/>
            </v:shape>
          </w:pict>
        </mc:Fallback>
      </mc:AlternateContent>
    </w:r>
    <w:r>
      <w:rPr>
        <w:noProof/>
      </w:rPr>
      <mc:AlternateContent>
        <mc:Choice Requires="wps">
          <w:drawing>
            <wp:anchor distT="0" distB="0" distL="114300" distR="114300" simplePos="0" relativeHeight="503271920" behindDoc="1" locked="0" layoutInCell="1" allowOverlap="1" wp14:anchorId="2D5BC9FF" wp14:editId="49EE19A6">
              <wp:simplePos x="0" y="0"/>
              <wp:positionH relativeFrom="page">
                <wp:posOffset>6006465</wp:posOffset>
              </wp:positionH>
              <wp:positionV relativeFrom="page">
                <wp:posOffset>9488805</wp:posOffset>
              </wp:positionV>
              <wp:extent cx="457835" cy="152400"/>
              <wp:effectExtent l="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C831F" w14:textId="77777777" w:rsidR="007F6DF7" w:rsidRDefault="002C4268">
                          <w:pPr>
                            <w:spacing w:line="223" w:lineRule="exact"/>
                            <w:ind w:left="40"/>
                            <w:rPr>
                              <w:sz w:val="20"/>
                            </w:rPr>
                          </w:pPr>
                          <w:r>
                            <w:fldChar w:fldCharType="begin"/>
                          </w:r>
                          <w:r>
                            <w:rPr>
                              <w:color w:val="585858"/>
                              <w:sz w:val="20"/>
                            </w:rPr>
                            <w:instrText xml:space="preserve"> PAGE </w:instrText>
                          </w:r>
                          <w:r>
                            <w:fldChar w:fldCharType="separate"/>
                          </w:r>
                          <w:r>
                            <w:t>28</w:t>
                          </w:r>
                          <w:r>
                            <w:fldChar w:fldCharType="end"/>
                          </w:r>
                          <w:r>
                            <w:rPr>
                              <w:color w:val="585858"/>
                              <w:sz w:val="20"/>
                            </w:rPr>
                            <w:t xml:space="preserve"> of 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C9FF" id="Text Box 2" o:spid="_x0000_s1035" type="#_x0000_t202" style="position:absolute;margin-left:472.95pt;margin-top:747.15pt;width:36.05pt;height:12pt;z-index:-4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" filled="f" stroked="f">
              <v:textbox inset="0,0,0,0">
                <w:txbxContent>
                  <w:p w14:paraId="6EEC831F" w14:textId="77777777" w:rsidR="007F6DF7" w:rsidRDefault="002C4268">
                    <w:pPr>
                      <w:spacing w:line="223" w:lineRule="exact"/>
                      <w:ind w:left="40"/>
                      <w:rPr>
                        <w:sz w:val="20"/>
                      </w:rPr>
                    </w:pPr>
                    <w:r>
                      <w:fldChar w:fldCharType="begin"/>
                    </w:r>
                    <w:r>
                      <w:rPr>
                        <w:color w:val="585858"/>
                        <w:sz w:val="20"/>
                      </w:rPr>
                      <w:instrText xml:space="preserve"> PAGE </w:instrText>
                    </w:r>
                    <w:r>
                      <w:fldChar w:fldCharType="separate"/>
                    </w:r>
                    <w:r>
                      <w:t>28</w:t>
                    </w:r>
                    <w:r>
                      <w:fldChar w:fldCharType="end"/>
                    </w:r>
                    <w:r>
                      <w:rPr>
                        <w:color w:val="585858"/>
                        <w:sz w:val="20"/>
                      </w:rPr>
                      <w:t xml:space="preserve"> of 28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5660" w14:textId="77777777" w:rsidR="00887B3E" w:rsidRDefault="00887B3E">
      <w:r>
        <w:separator/>
      </w:r>
    </w:p>
  </w:footnote>
  <w:footnote w:type="continuationSeparator" w:id="0">
    <w:p w14:paraId="09D97A6E" w14:textId="77777777" w:rsidR="00887B3E" w:rsidRDefault="0088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22768E8A" w14:textId="77777777" w:rsidTr="1530EC3D">
      <w:trPr>
        <w:trHeight w:val="300"/>
      </w:trPr>
      <w:tc>
        <w:tcPr>
          <w:tcW w:w="3595" w:type="dxa"/>
        </w:tcPr>
        <w:p w14:paraId="6F791808" w14:textId="77C0FC75" w:rsidR="1530EC3D" w:rsidRDefault="1530EC3D" w:rsidP="1530EC3D">
          <w:pPr>
            <w:pStyle w:val="Header"/>
            <w:ind w:left="-115"/>
          </w:pPr>
        </w:p>
      </w:tc>
      <w:tc>
        <w:tcPr>
          <w:tcW w:w="3595" w:type="dxa"/>
        </w:tcPr>
        <w:p w14:paraId="491BE433" w14:textId="01509EDF" w:rsidR="1530EC3D" w:rsidRDefault="1530EC3D" w:rsidP="1530EC3D">
          <w:pPr>
            <w:pStyle w:val="Header"/>
            <w:jc w:val="center"/>
          </w:pPr>
        </w:p>
      </w:tc>
      <w:tc>
        <w:tcPr>
          <w:tcW w:w="3595" w:type="dxa"/>
        </w:tcPr>
        <w:p w14:paraId="6BC4A5BD" w14:textId="7885A54E" w:rsidR="1530EC3D" w:rsidRDefault="1530EC3D" w:rsidP="1530EC3D">
          <w:pPr>
            <w:pStyle w:val="Header"/>
            <w:ind w:right="-115"/>
            <w:jc w:val="right"/>
          </w:pPr>
        </w:p>
      </w:tc>
    </w:tr>
  </w:tbl>
  <w:p w14:paraId="57E4A213" w14:textId="76FBEB0E" w:rsidR="1530EC3D" w:rsidRDefault="1530EC3D" w:rsidP="1530EC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3E55451B" w14:textId="77777777" w:rsidTr="1530EC3D">
      <w:trPr>
        <w:trHeight w:val="300"/>
      </w:trPr>
      <w:tc>
        <w:tcPr>
          <w:tcW w:w="3595" w:type="dxa"/>
        </w:tcPr>
        <w:p w14:paraId="443E002F" w14:textId="01BE10F8" w:rsidR="1530EC3D" w:rsidRDefault="1530EC3D" w:rsidP="1530EC3D">
          <w:pPr>
            <w:pStyle w:val="Header"/>
            <w:ind w:left="-115"/>
          </w:pPr>
        </w:p>
      </w:tc>
      <w:tc>
        <w:tcPr>
          <w:tcW w:w="3595" w:type="dxa"/>
        </w:tcPr>
        <w:p w14:paraId="7CC3CBAB" w14:textId="41FEF304" w:rsidR="1530EC3D" w:rsidRDefault="1530EC3D" w:rsidP="1530EC3D">
          <w:pPr>
            <w:pStyle w:val="Header"/>
            <w:jc w:val="center"/>
          </w:pPr>
        </w:p>
      </w:tc>
      <w:tc>
        <w:tcPr>
          <w:tcW w:w="3595" w:type="dxa"/>
        </w:tcPr>
        <w:p w14:paraId="48EE0789" w14:textId="3AA9B47F" w:rsidR="1530EC3D" w:rsidRDefault="1530EC3D" w:rsidP="1530EC3D">
          <w:pPr>
            <w:pStyle w:val="Header"/>
            <w:ind w:right="-115"/>
            <w:jc w:val="right"/>
          </w:pPr>
        </w:p>
      </w:tc>
    </w:tr>
  </w:tbl>
  <w:p w14:paraId="6B70DD11" w14:textId="5EA691D9" w:rsidR="1530EC3D" w:rsidRDefault="1530EC3D" w:rsidP="1530EC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7140B15A" w14:textId="77777777" w:rsidTr="1530EC3D">
      <w:trPr>
        <w:trHeight w:val="300"/>
      </w:trPr>
      <w:tc>
        <w:tcPr>
          <w:tcW w:w="3595" w:type="dxa"/>
        </w:tcPr>
        <w:p w14:paraId="0AE9D5F2" w14:textId="28822FA7" w:rsidR="1530EC3D" w:rsidRDefault="1530EC3D" w:rsidP="1530EC3D">
          <w:pPr>
            <w:pStyle w:val="Header"/>
            <w:ind w:left="-115"/>
          </w:pPr>
        </w:p>
      </w:tc>
      <w:tc>
        <w:tcPr>
          <w:tcW w:w="3595" w:type="dxa"/>
        </w:tcPr>
        <w:p w14:paraId="62D59159" w14:textId="1199F62C" w:rsidR="1530EC3D" w:rsidRDefault="1530EC3D" w:rsidP="1530EC3D">
          <w:pPr>
            <w:pStyle w:val="Header"/>
            <w:jc w:val="center"/>
          </w:pPr>
        </w:p>
      </w:tc>
      <w:tc>
        <w:tcPr>
          <w:tcW w:w="3595" w:type="dxa"/>
        </w:tcPr>
        <w:p w14:paraId="6602C8A4" w14:textId="17AC33A8" w:rsidR="1530EC3D" w:rsidRDefault="1530EC3D" w:rsidP="1530EC3D">
          <w:pPr>
            <w:pStyle w:val="Header"/>
            <w:ind w:right="-115"/>
            <w:jc w:val="right"/>
          </w:pPr>
        </w:p>
      </w:tc>
    </w:tr>
  </w:tbl>
  <w:p w14:paraId="00379882" w14:textId="23EBB7EA" w:rsidR="1530EC3D" w:rsidRDefault="1530EC3D" w:rsidP="1530EC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00852372" w14:textId="77777777" w:rsidTr="1530EC3D">
      <w:trPr>
        <w:trHeight w:val="300"/>
      </w:trPr>
      <w:tc>
        <w:tcPr>
          <w:tcW w:w="3595" w:type="dxa"/>
        </w:tcPr>
        <w:p w14:paraId="4B7550A0" w14:textId="5971C425" w:rsidR="1530EC3D" w:rsidRDefault="1530EC3D" w:rsidP="1530EC3D">
          <w:pPr>
            <w:pStyle w:val="Header"/>
            <w:ind w:left="-115"/>
          </w:pPr>
        </w:p>
      </w:tc>
      <w:tc>
        <w:tcPr>
          <w:tcW w:w="3595" w:type="dxa"/>
        </w:tcPr>
        <w:p w14:paraId="5D195078" w14:textId="3B57DABC" w:rsidR="1530EC3D" w:rsidRDefault="1530EC3D" w:rsidP="1530EC3D">
          <w:pPr>
            <w:pStyle w:val="Header"/>
            <w:jc w:val="center"/>
          </w:pPr>
        </w:p>
      </w:tc>
      <w:tc>
        <w:tcPr>
          <w:tcW w:w="3595" w:type="dxa"/>
        </w:tcPr>
        <w:p w14:paraId="19B81EF6" w14:textId="0391FE88" w:rsidR="1530EC3D" w:rsidRDefault="1530EC3D" w:rsidP="1530EC3D">
          <w:pPr>
            <w:pStyle w:val="Header"/>
            <w:ind w:right="-115"/>
            <w:jc w:val="right"/>
          </w:pPr>
        </w:p>
      </w:tc>
    </w:tr>
  </w:tbl>
  <w:p w14:paraId="249B24F5" w14:textId="0114DEF2" w:rsidR="1530EC3D" w:rsidRDefault="1530EC3D" w:rsidP="1530EC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7D474DED" w14:textId="77777777" w:rsidTr="1530EC3D">
      <w:trPr>
        <w:trHeight w:val="300"/>
      </w:trPr>
      <w:tc>
        <w:tcPr>
          <w:tcW w:w="3595" w:type="dxa"/>
        </w:tcPr>
        <w:p w14:paraId="3ACE779B" w14:textId="7EC18F72" w:rsidR="1530EC3D" w:rsidRDefault="1530EC3D" w:rsidP="1530EC3D">
          <w:pPr>
            <w:pStyle w:val="Header"/>
            <w:ind w:left="-115"/>
          </w:pPr>
        </w:p>
      </w:tc>
      <w:tc>
        <w:tcPr>
          <w:tcW w:w="3595" w:type="dxa"/>
        </w:tcPr>
        <w:p w14:paraId="35A9912E" w14:textId="3612D7BC" w:rsidR="1530EC3D" w:rsidRDefault="1530EC3D" w:rsidP="1530EC3D">
          <w:pPr>
            <w:pStyle w:val="Header"/>
            <w:jc w:val="center"/>
          </w:pPr>
        </w:p>
      </w:tc>
      <w:tc>
        <w:tcPr>
          <w:tcW w:w="3595" w:type="dxa"/>
        </w:tcPr>
        <w:p w14:paraId="7CA94124" w14:textId="34AD0022" w:rsidR="1530EC3D" w:rsidRDefault="1530EC3D" w:rsidP="1530EC3D">
          <w:pPr>
            <w:pStyle w:val="Header"/>
            <w:ind w:right="-115"/>
            <w:jc w:val="right"/>
          </w:pPr>
        </w:p>
      </w:tc>
    </w:tr>
  </w:tbl>
  <w:p w14:paraId="61FD8864" w14:textId="2D92B556" w:rsidR="1530EC3D" w:rsidRDefault="1530EC3D" w:rsidP="1530EC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2247DE59" w14:textId="77777777" w:rsidTr="1530EC3D">
      <w:trPr>
        <w:trHeight w:val="300"/>
      </w:trPr>
      <w:tc>
        <w:tcPr>
          <w:tcW w:w="3595" w:type="dxa"/>
        </w:tcPr>
        <w:p w14:paraId="5CFC78BA" w14:textId="27BBB6B2" w:rsidR="1530EC3D" w:rsidRDefault="1530EC3D" w:rsidP="1530EC3D">
          <w:pPr>
            <w:pStyle w:val="Header"/>
            <w:ind w:left="-115"/>
          </w:pPr>
        </w:p>
      </w:tc>
      <w:tc>
        <w:tcPr>
          <w:tcW w:w="3595" w:type="dxa"/>
        </w:tcPr>
        <w:p w14:paraId="301F20FA" w14:textId="5D17A60D" w:rsidR="1530EC3D" w:rsidRDefault="1530EC3D" w:rsidP="1530EC3D">
          <w:pPr>
            <w:pStyle w:val="Header"/>
            <w:jc w:val="center"/>
          </w:pPr>
        </w:p>
      </w:tc>
      <w:tc>
        <w:tcPr>
          <w:tcW w:w="3595" w:type="dxa"/>
        </w:tcPr>
        <w:p w14:paraId="5786F584" w14:textId="53BFE19F" w:rsidR="1530EC3D" w:rsidRDefault="1530EC3D" w:rsidP="1530EC3D">
          <w:pPr>
            <w:pStyle w:val="Header"/>
            <w:ind w:right="-115"/>
            <w:jc w:val="right"/>
          </w:pPr>
        </w:p>
      </w:tc>
    </w:tr>
  </w:tbl>
  <w:p w14:paraId="7C2B6CE1" w14:textId="61B1B385" w:rsidR="1530EC3D" w:rsidRDefault="1530EC3D" w:rsidP="1530EC3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5A876A13" w14:textId="77777777" w:rsidTr="1530EC3D">
      <w:trPr>
        <w:trHeight w:val="300"/>
      </w:trPr>
      <w:tc>
        <w:tcPr>
          <w:tcW w:w="3595" w:type="dxa"/>
        </w:tcPr>
        <w:p w14:paraId="489D0642" w14:textId="62D78437" w:rsidR="1530EC3D" w:rsidRDefault="1530EC3D" w:rsidP="1530EC3D">
          <w:pPr>
            <w:pStyle w:val="Header"/>
            <w:ind w:left="-115"/>
          </w:pPr>
        </w:p>
      </w:tc>
      <w:tc>
        <w:tcPr>
          <w:tcW w:w="3595" w:type="dxa"/>
        </w:tcPr>
        <w:p w14:paraId="5CAD3835" w14:textId="67D5353F" w:rsidR="1530EC3D" w:rsidRDefault="1530EC3D" w:rsidP="1530EC3D">
          <w:pPr>
            <w:pStyle w:val="Header"/>
            <w:jc w:val="center"/>
          </w:pPr>
        </w:p>
      </w:tc>
      <w:tc>
        <w:tcPr>
          <w:tcW w:w="3595" w:type="dxa"/>
        </w:tcPr>
        <w:p w14:paraId="2E456939" w14:textId="5B110D40" w:rsidR="1530EC3D" w:rsidRDefault="1530EC3D" w:rsidP="1530EC3D">
          <w:pPr>
            <w:pStyle w:val="Header"/>
            <w:ind w:right="-115"/>
            <w:jc w:val="right"/>
          </w:pPr>
        </w:p>
      </w:tc>
    </w:tr>
  </w:tbl>
  <w:p w14:paraId="2EE27E9C" w14:textId="1A50511F" w:rsidR="1530EC3D" w:rsidRDefault="1530EC3D" w:rsidP="1530EC3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1CB4E87C" w14:textId="77777777" w:rsidTr="1530EC3D">
      <w:trPr>
        <w:trHeight w:val="300"/>
      </w:trPr>
      <w:tc>
        <w:tcPr>
          <w:tcW w:w="3595" w:type="dxa"/>
        </w:tcPr>
        <w:p w14:paraId="0CD39957" w14:textId="23FC2667" w:rsidR="1530EC3D" w:rsidRDefault="1530EC3D" w:rsidP="1530EC3D">
          <w:pPr>
            <w:pStyle w:val="Header"/>
            <w:ind w:left="-115"/>
          </w:pPr>
        </w:p>
      </w:tc>
      <w:tc>
        <w:tcPr>
          <w:tcW w:w="3595" w:type="dxa"/>
        </w:tcPr>
        <w:p w14:paraId="19E13969" w14:textId="1CD7A518" w:rsidR="1530EC3D" w:rsidRDefault="1530EC3D" w:rsidP="1530EC3D">
          <w:pPr>
            <w:pStyle w:val="Header"/>
            <w:jc w:val="center"/>
          </w:pPr>
        </w:p>
      </w:tc>
      <w:tc>
        <w:tcPr>
          <w:tcW w:w="3595" w:type="dxa"/>
        </w:tcPr>
        <w:p w14:paraId="429A5506" w14:textId="689146EF" w:rsidR="1530EC3D" w:rsidRDefault="1530EC3D" w:rsidP="1530EC3D">
          <w:pPr>
            <w:pStyle w:val="Header"/>
            <w:ind w:right="-115"/>
            <w:jc w:val="right"/>
          </w:pPr>
        </w:p>
      </w:tc>
    </w:tr>
  </w:tbl>
  <w:p w14:paraId="17275294" w14:textId="60F8CB83" w:rsidR="1530EC3D" w:rsidRDefault="1530EC3D" w:rsidP="1530EC3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1F3321F7" w14:textId="77777777" w:rsidTr="1530EC3D">
      <w:trPr>
        <w:trHeight w:val="300"/>
      </w:trPr>
      <w:tc>
        <w:tcPr>
          <w:tcW w:w="3595" w:type="dxa"/>
        </w:tcPr>
        <w:p w14:paraId="777F11D9" w14:textId="391F66A3" w:rsidR="1530EC3D" w:rsidRDefault="1530EC3D" w:rsidP="1530EC3D">
          <w:pPr>
            <w:pStyle w:val="Header"/>
            <w:ind w:left="-115"/>
          </w:pPr>
        </w:p>
      </w:tc>
      <w:tc>
        <w:tcPr>
          <w:tcW w:w="3595" w:type="dxa"/>
        </w:tcPr>
        <w:p w14:paraId="0D44AF91" w14:textId="2A960EB8" w:rsidR="1530EC3D" w:rsidRDefault="1530EC3D" w:rsidP="1530EC3D">
          <w:pPr>
            <w:pStyle w:val="Header"/>
            <w:jc w:val="center"/>
          </w:pPr>
        </w:p>
      </w:tc>
      <w:tc>
        <w:tcPr>
          <w:tcW w:w="3595" w:type="dxa"/>
        </w:tcPr>
        <w:p w14:paraId="71EB06F4" w14:textId="3ADE0DD5" w:rsidR="1530EC3D" w:rsidRDefault="1530EC3D" w:rsidP="1530EC3D">
          <w:pPr>
            <w:pStyle w:val="Header"/>
            <w:ind w:right="-115"/>
            <w:jc w:val="right"/>
          </w:pPr>
        </w:p>
      </w:tc>
    </w:tr>
  </w:tbl>
  <w:p w14:paraId="1E90DD35" w14:textId="2702DB0F" w:rsidR="1530EC3D" w:rsidRDefault="1530EC3D" w:rsidP="1530EC3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0F924D91" w14:textId="77777777" w:rsidTr="1530EC3D">
      <w:trPr>
        <w:trHeight w:val="300"/>
      </w:trPr>
      <w:tc>
        <w:tcPr>
          <w:tcW w:w="3595" w:type="dxa"/>
        </w:tcPr>
        <w:p w14:paraId="040366D7" w14:textId="1671083C" w:rsidR="1530EC3D" w:rsidRDefault="1530EC3D" w:rsidP="1530EC3D">
          <w:pPr>
            <w:pStyle w:val="Header"/>
            <w:ind w:left="-115"/>
          </w:pPr>
        </w:p>
      </w:tc>
      <w:tc>
        <w:tcPr>
          <w:tcW w:w="3595" w:type="dxa"/>
        </w:tcPr>
        <w:p w14:paraId="1CC2167F" w14:textId="24F79E1C" w:rsidR="1530EC3D" w:rsidRDefault="1530EC3D" w:rsidP="1530EC3D">
          <w:pPr>
            <w:pStyle w:val="Header"/>
            <w:jc w:val="center"/>
          </w:pPr>
        </w:p>
      </w:tc>
      <w:tc>
        <w:tcPr>
          <w:tcW w:w="3595" w:type="dxa"/>
        </w:tcPr>
        <w:p w14:paraId="063B194E" w14:textId="55F118B0" w:rsidR="1530EC3D" w:rsidRDefault="1530EC3D" w:rsidP="1530EC3D">
          <w:pPr>
            <w:pStyle w:val="Header"/>
            <w:ind w:right="-115"/>
            <w:jc w:val="right"/>
          </w:pPr>
        </w:p>
      </w:tc>
    </w:tr>
  </w:tbl>
  <w:p w14:paraId="5FF9EEFF" w14:textId="0311F353" w:rsidR="1530EC3D" w:rsidRDefault="1530EC3D" w:rsidP="1530EC3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3EB4DAC5" w14:textId="77777777" w:rsidTr="1530EC3D">
      <w:trPr>
        <w:trHeight w:val="300"/>
      </w:trPr>
      <w:tc>
        <w:tcPr>
          <w:tcW w:w="3595" w:type="dxa"/>
        </w:tcPr>
        <w:p w14:paraId="5FA4117C" w14:textId="484C2C53" w:rsidR="1530EC3D" w:rsidRDefault="1530EC3D" w:rsidP="1530EC3D">
          <w:pPr>
            <w:pStyle w:val="Header"/>
            <w:ind w:left="-115"/>
          </w:pPr>
        </w:p>
      </w:tc>
      <w:tc>
        <w:tcPr>
          <w:tcW w:w="3595" w:type="dxa"/>
        </w:tcPr>
        <w:p w14:paraId="4E24815B" w14:textId="326B9AAF" w:rsidR="1530EC3D" w:rsidRDefault="1530EC3D" w:rsidP="1530EC3D">
          <w:pPr>
            <w:pStyle w:val="Header"/>
            <w:jc w:val="center"/>
          </w:pPr>
        </w:p>
      </w:tc>
      <w:tc>
        <w:tcPr>
          <w:tcW w:w="3595" w:type="dxa"/>
        </w:tcPr>
        <w:p w14:paraId="714CC7F4" w14:textId="376C8EFF" w:rsidR="1530EC3D" w:rsidRDefault="1530EC3D" w:rsidP="1530EC3D">
          <w:pPr>
            <w:pStyle w:val="Header"/>
            <w:ind w:right="-115"/>
            <w:jc w:val="right"/>
          </w:pPr>
        </w:p>
      </w:tc>
    </w:tr>
  </w:tbl>
  <w:p w14:paraId="742E6BEB" w14:textId="3D2FDE00" w:rsidR="1530EC3D" w:rsidRDefault="1530EC3D" w:rsidP="1530E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7DF611EC" w14:textId="77777777" w:rsidTr="1530EC3D">
      <w:trPr>
        <w:trHeight w:val="300"/>
      </w:trPr>
      <w:tc>
        <w:tcPr>
          <w:tcW w:w="3595" w:type="dxa"/>
        </w:tcPr>
        <w:p w14:paraId="38D12270" w14:textId="2390B9CE" w:rsidR="1530EC3D" w:rsidRDefault="1530EC3D" w:rsidP="1530EC3D">
          <w:pPr>
            <w:pStyle w:val="Header"/>
            <w:ind w:left="-115"/>
          </w:pPr>
        </w:p>
      </w:tc>
      <w:tc>
        <w:tcPr>
          <w:tcW w:w="3595" w:type="dxa"/>
        </w:tcPr>
        <w:p w14:paraId="74A9EF7B" w14:textId="7CB53FC5" w:rsidR="1530EC3D" w:rsidRDefault="1530EC3D" w:rsidP="1530EC3D">
          <w:pPr>
            <w:pStyle w:val="Header"/>
            <w:jc w:val="center"/>
          </w:pPr>
        </w:p>
      </w:tc>
      <w:tc>
        <w:tcPr>
          <w:tcW w:w="3595" w:type="dxa"/>
        </w:tcPr>
        <w:p w14:paraId="5A6ED75A" w14:textId="42017527" w:rsidR="1530EC3D" w:rsidRDefault="1530EC3D" w:rsidP="1530EC3D">
          <w:pPr>
            <w:pStyle w:val="Header"/>
            <w:ind w:right="-115"/>
            <w:jc w:val="right"/>
          </w:pPr>
        </w:p>
      </w:tc>
    </w:tr>
  </w:tbl>
  <w:p w14:paraId="6A3BD58A" w14:textId="3920257C" w:rsidR="1530EC3D" w:rsidRDefault="1530EC3D" w:rsidP="1530EC3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16670A92" w14:textId="77777777" w:rsidTr="1530EC3D">
      <w:trPr>
        <w:trHeight w:val="300"/>
      </w:trPr>
      <w:tc>
        <w:tcPr>
          <w:tcW w:w="3595" w:type="dxa"/>
        </w:tcPr>
        <w:p w14:paraId="73DC9866" w14:textId="59C187A8" w:rsidR="1530EC3D" w:rsidRDefault="1530EC3D" w:rsidP="1530EC3D">
          <w:pPr>
            <w:pStyle w:val="Header"/>
            <w:ind w:left="-115"/>
          </w:pPr>
        </w:p>
      </w:tc>
      <w:tc>
        <w:tcPr>
          <w:tcW w:w="3595" w:type="dxa"/>
        </w:tcPr>
        <w:p w14:paraId="1538FEF3" w14:textId="476B32D0" w:rsidR="1530EC3D" w:rsidRDefault="1530EC3D" w:rsidP="1530EC3D">
          <w:pPr>
            <w:pStyle w:val="Header"/>
            <w:jc w:val="center"/>
          </w:pPr>
        </w:p>
      </w:tc>
      <w:tc>
        <w:tcPr>
          <w:tcW w:w="3595" w:type="dxa"/>
        </w:tcPr>
        <w:p w14:paraId="2D7F2B60" w14:textId="178E05C2" w:rsidR="1530EC3D" w:rsidRDefault="1530EC3D" w:rsidP="1530EC3D">
          <w:pPr>
            <w:pStyle w:val="Header"/>
            <w:ind w:right="-115"/>
            <w:jc w:val="right"/>
          </w:pPr>
        </w:p>
      </w:tc>
    </w:tr>
  </w:tbl>
  <w:p w14:paraId="0D9D8B11" w14:textId="71AE84DC" w:rsidR="1530EC3D" w:rsidRDefault="1530EC3D" w:rsidP="1530EC3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33212D51" w14:textId="77777777" w:rsidTr="1530EC3D">
      <w:trPr>
        <w:trHeight w:val="300"/>
      </w:trPr>
      <w:tc>
        <w:tcPr>
          <w:tcW w:w="3595" w:type="dxa"/>
        </w:tcPr>
        <w:p w14:paraId="3FB509CD" w14:textId="6509F9D3" w:rsidR="1530EC3D" w:rsidRDefault="1530EC3D" w:rsidP="1530EC3D">
          <w:pPr>
            <w:pStyle w:val="Header"/>
            <w:ind w:left="-115"/>
          </w:pPr>
        </w:p>
      </w:tc>
      <w:tc>
        <w:tcPr>
          <w:tcW w:w="3595" w:type="dxa"/>
        </w:tcPr>
        <w:p w14:paraId="36F31E19" w14:textId="409E1E54" w:rsidR="1530EC3D" w:rsidRDefault="1530EC3D" w:rsidP="1530EC3D">
          <w:pPr>
            <w:pStyle w:val="Header"/>
            <w:jc w:val="center"/>
          </w:pPr>
        </w:p>
      </w:tc>
      <w:tc>
        <w:tcPr>
          <w:tcW w:w="3595" w:type="dxa"/>
        </w:tcPr>
        <w:p w14:paraId="5CD66F71" w14:textId="559BD85B" w:rsidR="1530EC3D" w:rsidRDefault="1530EC3D" w:rsidP="1530EC3D">
          <w:pPr>
            <w:pStyle w:val="Header"/>
            <w:ind w:right="-115"/>
            <w:jc w:val="right"/>
          </w:pPr>
        </w:p>
      </w:tc>
    </w:tr>
  </w:tbl>
  <w:p w14:paraId="23283133" w14:textId="5EB5B124" w:rsidR="1530EC3D" w:rsidRDefault="1530EC3D" w:rsidP="1530EC3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3ACDAA27" w14:textId="77777777" w:rsidTr="1530EC3D">
      <w:trPr>
        <w:trHeight w:val="300"/>
      </w:trPr>
      <w:tc>
        <w:tcPr>
          <w:tcW w:w="3595" w:type="dxa"/>
        </w:tcPr>
        <w:p w14:paraId="64179254" w14:textId="7E1DF441" w:rsidR="1530EC3D" w:rsidRDefault="1530EC3D" w:rsidP="1530EC3D">
          <w:pPr>
            <w:pStyle w:val="Header"/>
            <w:ind w:left="-115"/>
          </w:pPr>
        </w:p>
      </w:tc>
      <w:tc>
        <w:tcPr>
          <w:tcW w:w="3595" w:type="dxa"/>
        </w:tcPr>
        <w:p w14:paraId="6DE78979" w14:textId="419DB807" w:rsidR="1530EC3D" w:rsidRDefault="1530EC3D" w:rsidP="1530EC3D">
          <w:pPr>
            <w:pStyle w:val="Header"/>
            <w:jc w:val="center"/>
          </w:pPr>
        </w:p>
      </w:tc>
      <w:tc>
        <w:tcPr>
          <w:tcW w:w="3595" w:type="dxa"/>
        </w:tcPr>
        <w:p w14:paraId="621BB87A" w14:textId="6E2EE326" w:rsidR="1530EC3D" w:rsidRDefault="1530EC3D" w:rsidP="1530EC3D">
          <w:pPr>
            <w:pStyle w:val="Header"/>
            <w:ind w:right="-115"/>
            <w:jc w:val="right"/>
          </w:pPr>
        </w:p>
      </w:tc>
    </w:tr>
  </w:tbl>
  <w:p w14:paraId="7EECEC6C" w14:textId="3B3815C7" w:rsidR="1530EC3D" w:rsidRDefault="1530EC3D" w:rsidP="1530EC3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723832D8" w14:textId="77777777" w:rsidTr="1530EC3D">
      <w:trPr>
        <w:trHeight w:val="300"/>
      </w:trPr>
      <w:tc>
        <w:tcPr>
          <w:tcW w:w="3595" w:type="dxa"/>
        </w:tcPr>
        <w:p w14:paraId="7C8DDA57" w14:textId="1B668D2C" w:rsidR="1530EC3D" w:rsidRDefault="1530EC3D" w:rsidP="1530EC3D">
          <w:pPr>
            <w:pStyle w:val="Header"/>
            <w:ind w:left="-115"/>
          </w:pPr>
        </w:p>
      </w:tc>
      <w:tc>
        <w:tcPr>
          <w:tcW w:w="3595" w:type="dxa"/>
        </w:tcPr>
        <w:p w14:paraId="04028D1E" w14:textId="302EF74C" w:rsidR="1530EC3D" w:rsidRDefault="1530EC3D" w:rsidP="1530EC3D">
          <w:pPr>
            <w:pStyle w:val="Header"/>
            <w:jc w:val="center"/>
          </w:pPr>
        </w:p>
      </w:tc>
      <w:tc>
        <w:tcPr>
          <w:tcW w:w="3595" w:type="dxa"/>
        </w:tcPr>
        <w:p w14:paraId="1AEF4D66" w14:textId="1C63623D" w:rsidR="1530EC3D" w:rsidRDefault="1530EC3D" w:rsidP="1530EC3D">
          <w:pPr>
            <w:pStyle w:val="Header"/>
            <w:ind w:right="-115"/>
            <w:jc w:val="right"/>
          </w:pPr>
        </w:p>
      </w:tc>
    </w:tr>
  </w:tbl>
  <w:p w14:paraId="3E1D3564" w14:textId="2CEE0705" w:rsidR="1530EC3D" w:rsidRDefault="1530EC3D" w:rsidP="1530EC3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1D7B7856" w14:textId="77777777" w:rsidTr="1530EC3D">
      <w:trPr>
        <w:trHeight w:val="300"/>
      </w:trPr>
      <w:tc>
        <w:tcPr>
          <w:tcW w:w="3595" w:type="dxa"/>
        </w:tcPr>
        <w:p w14:paraId="5B73AFB9" w14:textId="4B622E1B" w:rsidR="1530EC3D" w:rsidRDefault="1530EC3D" w:rsidP="1530EC3D">
          <w:pPr>
            <w:pStyle w:val="Header"/>
            <w:ind w:left="-115"/>
          </w:pPr>
        </w:p>
      </w:tc>
      <w:tc>
        <w:tcPr>
          <w:tcW w:w="3595" w:type="dxa"/>
        </w:tcPr>
        <w:p w14:paraId="4A93C0CD" w14:textId="478E0AD5" w:rsidR="1530EC3D" w:rsidRDefault="1530EC3D" w:rsidP="1530EC3D">
          <w:pPr>
            <w:pStyle w:val="Header"/>
            <w:jc w:val="center"/>
          </w:pPr>
        </w:p>
      </w:tc>
      <w:tc>
        <w:tcPr>
          <w:tcW w:w="3595" w:type="dxa"/>
        </w:tcPr>
        <w:p w14:paraId="731AC825" w14:textId="70E47E4B" w:rsidR="1530EC3D" w:rsidRDefault="1530EC3D" w:rsidP="1530EC3D">
          <w:pPr>
            <w:pStyle w:val="Header"/>
            <w:ind w:right="-115"/>
            <w:jc w:val="right"/>
          </w:pPr>
        </w:p>
      </w:tc>
    </w:tr>
  </w:tbl>
  <w:p w14:paraId="1D0D9936" w14:textId="15C6CD00" w:rsidR="1530EC3D" w:rsidRDefault="1530EC3D" w:rsidP="1530EC3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24467F13" w14:textId="77777777" w:rsidTr="1530EC3D">
      <w:trPr>
        <w:trHeight w:val="300"/>
      </w:trPr>
      <w:tc>
        <w:tcPr>
          <w:tcW w:w="3595" w:type="dxa"/>
        </w:tcPr>
        <w:p w14:paraId="12935660" w14:textId="6F52B3B3" w:rsidR="1530EC3D" w:rsidRDefault="1530EC3D" w:rsidP="1530EC3D">
          <w:pPr>
            <w:pStyle w:val="Header"/>
            <w:ind w:left="-115"/>
          </w:pPr>
        </w:p>
      </w:tc>
      <w:tc>
        <w:tcPr>
          <w:tcW w:w="3595" w:type="dxa"/>
        </w:tcPr>
        <w:p w14:paraId="4AC3AEB0" w14:textId="7AD85C9B" w:rsidR="1530EC3D" w:rsidRDefault="1530EC3D" w:rsidP="1530EC3D">
          <w:pPr>
            <w:pStyle w:val="Header"/>
            <w:jc w:val="center"/>
          </w:pPr>
        </w:p>
      </w:tc>
      <w:tc>
        <w:tcPr>
          <w:tcW w:w="3595" w:type="dxa"/>
        </w:tcPr>
        <w:p w14:paraId="083856D6" w14:textId="0B3A4D36" w:rsidR="1530EC3D" w:rsidRDefault="1530EC3D" w:rsidP="1530EC3D">
          <w:pPr>
            <w:pStyle w:val="Header"/>
            <w:ind w:right="-115"/>
            <w:jc w:val="right"/>
          </w:pPr>
        </w:p>
      </w:tc>
    </w:tr>
  </w:tbl>
  <w:p w14:paraId="322EFC6A" w14:textId="1951F04D" w:rsidR="1530EC3D" w:rsidRDefault="1530EC3D" w:rsidP="1530EC3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6A010CBA" w14:textId="77777777" w:rsidTr="1530EC3D">
      <w:trPr>
        <w:trHeight w:val="300"/>
      </w:trPr>
      <w:tc>
        <w:tcPr>
          <w:tcW w:w="3595" w:type="dxa"/>
        </w:tcPr>
        <w:p w14:paraId="01964600" w14:textId="7509913D" w:rsidR="1530EC3D" w:rsidRDefault="1530EC3D" w:rsidP="1530EC3D">
          <w:pPr>
            <w:pStyle w:val="Header"/>
            <w:ind w:left="-115"/>
          </w:pPr>
        </w:p>
      </w:tc>
      <w:tc>
        <w:tcPr>
          <w:tcW w:w="3595" w:type="dxa"/>
        </w:tcPr>
        <w:p w14:paraId="618BDA3E" w14:textId="5C0D6470" w:rsidR="1530EC3D" w:rsidRDefault="1530EC3D" w:rsidP="1530EC3D">
          <w:pPr>
            <w:pStyle w:val="Header"/>
            <w:jc w:val="center"/>
          </w:pPr>
        </w:p>
      </w:tc>
      <w:tc>
        <w:tcPr>
          <w:tcW w:w="3595" w:type="dxa"/>
        </w:tcPr>
        <w:p w14:paraId="60CB0296" w14:textId="1C5CE616" w:rsidR="1530EC3D" w:rsidRDefault="1530EC3D" w:rsidP="1530EC3D">
          <w:pPr>
            <w:pStyle w:val="Header"/>
            <w:ind w:right="-115"/>
            <w:jc w:val="right"/>
          </w:pPr>
        </w:p>
      </w:tc>
    </w:tr>
  </w:tbl>
  <w:p w14:paraId="5CA9447F" w14:textId="03F2FE41" w:rsidR="1530EC3D" w:rsidRDefault="1530EC3D" w:rsidP="1530EC3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7635B2B1" w14:textId="77777777" w:rsidTr="1530EC3D">
      <w:trPr>
        <w:trHeight w:val="300"/>
      </w:trPr>
      <w:tc>
        <w:tcPr>
          <w:tcW w:w="3595" w:type="dxa"/>
        </w:tcPr>
        <w:p w14:paraId="03CD26B2" w14:textId="799C5718" w:rsidR="1530EC3D" w:rsidRDefault="1530EC3D" w:rsidP="1530EC3D">
          <w:pPr>
            <w:pStyle w:val="Header"/>
            <w:ind w:left="-115"/>
          </w:pPr>
        </w:p>
      </w:tc>
      <w:tc>
        <w:tcPr>
          <w:tcW w:w="3595" w:type="dxa"/>
        </w:tcPr>
        <w:p w14:paraId="414DA580" w14:textId="0576127A" w:rsidR="1530EC3D" w:rsidRDefault="1530EC3D" w:rsidP="1530EC3D">
          <w:pPr>
            <w:pStyle w:val="Header"/>
            <w:jc w:val="center"/>
          </w:pPr>
        </w:p>
      </w:tc>
      <w:tc>
        <w:tcPr>
          <w:tcW w:w="3595" w:type="dxa"/>
        </w:tcPr>
        <w:p w14:paraId="2FF6E921" w14:textId="413824A9" w:rsidR="1530EC3D" w:rsidRDefault="1530EC3D" w:rsidP="1530EC3D">
          <w:pPr>
            <w:pStyle w:val="Header"/>
            <w:ind w:right="-115"/>
            <w:jc w:val="right"/>
          </w:pPr>
        </w:p>
      </w:tc>
    </w:tr>
  </w:tbl>
  <w:p w14:paraId="6904D198" w14:textId="6481F8D4" w:rsidR="1530EC3D" w:rsidRDefault="1530EC3D" w:rsidP="1530EC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0DCC452C" w14:textId="77777777" w:rsidTr="1530EC3D">
      <w:trPr>
        <w:trHeight w:val="300"/>
      </w:trPr>
      <w:tc>
        <w:tcPr>
          <w:tcW w:w="3595" w:type="dxa"/>
        </w:tcPr>
        <w:p w14:paraId="74C5C1B0" w14:textId="7F63DE0C" w:rsidR="1530EC3D" w:rsidRDefault="1530EC3D" w:rsidP="1530EC3D">
          <w:pPr>
            <w:pStyle w:val="Header"/>
            <w:ind w:left="-115"/>
          </w:pPr>
        </w:p>
      </w:tc>
      <w:tc>
        <w:tcPr>
          <w:tcW w:w="3595" w:type="dxa"/>
        </w:tcPr>
        <w:p w14:paraId="4F9A6AD8" w14:textId="2A3F977D" w:rsidR="1530EC3D" w:rsidRDefault="1530EC3D" w:rsidP="1530EC3D">
          <w:pPr>
            <w:pStyle w:val="Header"/>
            <w:jc w:val="center"/>
          </w:pPr>
        </w:p>
      </w:tc>
      <w:tc>
        <w:tcPr>
          <w:tcW w:w="3595" w:type="dxa"/>
        </w:tcPr>
        <w:p w14:paraId="3C69C3C7" w14:textId="200A4BD3" w:rsidR="1530EC3D" w:rsidRDefault="1530EC3D" w:rsidP="1530EC3D">
          <w:pPr>
            <w:pStyle w:val="Header"/>
            <w:ind w:right="-115"/>
            <w:jc w:val="right"/>
          </w:pPr>
        </w:p>
      </w:tc>
    </w:tr>
  </w:tbl>
  <w:p w14:paraId="6808EA03" w14:textId="5BD478F4" w:rsidR="1530EC3D" w:rsidRDefault="1530EC3D" w:rsidP="1530EC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656033E7" w14:textId="77777777" w:rsidTr="1530EC3D">
      <w:trPr>
        <w:trHeight w:val="300"/>
      </w:trPr>
      <w:tc>
        <w:tcPr>
          <w:tcW w:w="3595" w:type="dxa"/>
        </w:tcPr>
        <w:p w14:paraId="3D5B962A" w14:textId="638C1D77" w:rsidR="1530EC3D" w:rsidRDefault="1530EC3D" w:rsidP="1530EC3D">
          <w:pPr>
            <w:pStyle w:val="Header"/>
            <w:ind w:left="-115"/>
          </w:pPr>
        </w:p>
      </w:tc>
      <w:tc>
        <w:tcPr>
          <w:tcW w:w="3595" w:type="dxa"/>
        </w:tcPr>
        <w:p w14:paraId="771F372F" w14:textId="114BAECB" w:rsidR="1530EC3D" w:rsidRDefault="1530EC3D" w:rsidP="1530EC3D">
          <w:pPr>
            <w:pStyle w:val="Header"/>
            <w:jc w:val="center"/>
          </w:pPr>
        </w:p>
      </w:tc>
      <w:tc>
        <w:tcPr>
          <w:tcW w:w="3595" w:type="dxa"/>
        </w:tcPr>
        <w:p w14:paraId="298244A5" w14:textId="35550BED" w:rsidR="1530EC3D" w:rsidRDefault="1530EC3D" w:rsidP="1530EC3D">
          <w:pPr>
            <w:pStyle w:val="Header"/>
            <w:ind w:right="-115"/>
            <w:jc w:val="right"/>
          </w:pPr>
        </w:p>
      </w:tc>
    </w:tr>
  </w:tbl>
  <w:p w14:paraId="3142F883" w14:textId="3AD34D9E" w:rsidR="1530EC3D" w:rsidRDefault="1530EC3D" w:rsidP="1530EC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5D669B8D" w14:textId="77777777" w:rsidTr="1530EC3D">
      <w:trPr>
        <w:trHeight w:val="300"/>
      </w:trPr>
      <w:tc>
        <w:tcPr>
          <w:tcW w:w="3595" w:type="dxa"/>
        </w:tcPr>
        <w:p w14:paraId="7A4B0C0C" w14:textId="65463585" w:rsidR="1530EC3D" w:rsidRDefault="1530EC3D" w:rsidP="1530EC3D">
          <w:pPr>
            <w:pStyle w:val="Header"/>
            <w:ind w:left="-115"/>
          </w:pPr>
        </w:p>
      </w:tc>
      <w:tc>
        <w:tcPr>
          <w:tcW w:w="3595" w:type="dxa"/>
        </w:tcPr>
        <w:p w14:paraId="5BCBFE93" w14:textId="4D9D18BD" w:rsidR="1530EC3D" w:rsidRDefault="1530EC3D" w:rsidP="1530EC3D">
          <w:pPr>
            <w:pStyle w:val="Header"/>
            <w:jc w:val="center"/>
          </w:pPr>
        </w:p>
      </w:tc>
      <w:tc>
        <w:tcPr>
          <w:tcW w:w="3595" w:type="dxa"/>
        </w:tcPr>
        <w:p w14:paraId="5470E69B" w14:textId="1780FD30" w:rsidR="1530EC3D" w:rsidRDefault="1530EC3D" w:rsidP="1530EC3D">
          <w:pPr>
            <w:pStyle w:val="Header"/>
            <w:ind w:right="-115"/>
            <w:jc w:val="right"/>
          </w:pPr>
        </w:p>
      </w:tc>
    </w:tr>
  </w:tbl>
  <w:p w14:paraId="68CBD280" w14:textId="3C97BFD7" w:rsidR="1530EC3D" w:rsidRDefault="1530EC3D" w:rsidP="1530EC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3F3C77A2" w14:textId="77777777" w:rsidTr="1530EC3D">
      <w:trPr>
        <w:trHeight w:val="300"/>
      </w:trPr>
      <w:tc>
        <w:tcPr>
          <w:tcW w:w="3595" w:type="dxa"/>
        </w:tcPr>
        <w:p w14:paraId="43CC035F" w14:textId="6D8B7223" w:rsidR="1530EC3D" w:rsidRDefault="1530EC3D" w:rsidP="1530EC3D">
          <w:pPr>
            <w:pStyle w:val="Header"/>
            <w:ind w:left="-115"/>
          </w:pPr>
        </w:p>
      </w:tc>
      <w:tc>
        <w:tcPr>
          <w:tcW w:w="3595" w:type="dxa"/>
        </w:tcPr>
        <w:p w14:paraId="64CB436B" w14:textId="52B2BD15" w:rsidR="1530EC3D" w:rsidRDefault="1530EC3D" w:rsidP="1530EC3D">
          <w:pPr>
            <w:pStyle w:val="Header"/>
            <w:jc w:val="center"/>
          </w:pPr>
        </w:p>
      </w:tc>
      <w:tc>
        <w:tcPr>
          <w:tcW w:w="3595" w:type="dxa"/>
        </w:tcPr>
        <w:p w14:paraId="7CB54BCE" w14:textId="212CDD2A" w:rsidR="1530EC3D" w:rsidRDefault="1530EC3D" w:rsidP="1530EC3D">
          <w:pPr>
            <w:pStyle w:val="Header"/>
            <w:ind w:right="-115"/>
            <w:jc w:val="right"/>
          </w:pPr>
        </w:p>
      </w:tc>
    </w:tr>
  </w:tbl>
  <w:p w14:paraId="64A2CD6E" w14:textId="40DE2DAE" w:rsidR="1530EC3D" w:rsidRDefault="1530EC3D" w:rsidP="1530EC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4BDED92B" w14:textId="77777777" w:rsidTr="1530EC3D">
      <w:trPr>
        <w:trHeight w:val="300"/>
      </w:trPr>
      <w:tc>
        <w:tcPr>
          <w:tcW w:w="3595" w:type="dxa"/>
        </w:tcPr>
        <w:p w14:paraId="66855A66" w14:textId="43B2D2DE" w:rsidR="1530EC3D" w:rsidRDefault="1530EC3D" w:rsidP="1530EC3D">
          <w:pPr>
            <w:pStyle w:val="Header"/>
            <w:ind w:left="-115"/>
          </w:pPr>
        </w:p>
      </w:tc>
      <w:tc>
        <w:tcPr>
          <w:tcW w:w="3595" w:type="dxa"/>
        </w:tcPr>
        <w:p w14:paraId="62A08092" w14:textId="763500F9" w:rsidR="1530EC3D" w:rsidRDefault="1530EC3D" w:rsidP="1530EC3D">
          <w:pPr>
            <w:pStyle w:val="Header"/>
            <w:jc w:val="center"/>
          </w:pPr>
        </w:p>
      </w:tc>
      <w:tc>
        <w:tcPr>
          <w:tcW w:w="3595" w:type="dxa"/>
        </w:tcPr>
        <w:p w14:paraId="0CF13341" w14:textId="752C3747" w:rsidR="1530EC3D" w:rsidRDefault="1530EC3D" w:rsidP="1530EC3D">
          <w:pPr>
            <w:pStyle w:val="Header"/>
            <w:ind w:right="-115"/>
            <w:jc w:val="right"/>
          </w:pPr>
        </w:p>
      </w:tc>
    </w:tr>
  </w:tbl>
  <w:p w14:paraId="360E07D8" w14:textId="670D99FC" w:rsidR="1530EC3D" w:rsidRDefault="1530EC3D" w:rsidP="1530EC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751A863F" w14:textId="77777777" w:rsidTr="1530EC3D">
      <w:trPr>
        <w:trHeight w:val="300"/>
      </w:trPr>
      <w:tc>
        <w:tcPr>
          <w:tcW w:w="3595" w:type="dxa"/>
        </w:tcPr>
        <w:p w14:paraId="7B162107" w14:textId="6D1D5DC6" w:rsidR="1530EC3D" w:rsidRDefault="1530EC3D" w:rsidP="1530EC3D">
          <w:pPr>
            <w:pStyle w:val="Header"/>
            <w:ind w:left="-115"/>
          </w:pPr>
        </w:p>
      </w:tc>
      <w:tc>
        <w:tcPr>
          <w:tcW w:w="3595" w:type="dxa"/>
        </w:tcPr>
        <w:p w14:paraId="2FB53F09" w14:textId="7F98282D" w:rsidR="1530EC3D" w:rsidRDefault="1530EC3D" w:rsidP="1530EC3D">
          <w:pPr>
            <w:pStyle w:val="Header"/>
            <w:jc w:val="center"/>
          </w:pPr>
        </w:p>
      </w:tc>
      <w:tc>
        <w:tcPr>
          <w:tcW w:w="3595" w:type="dxa"/>
        </w:tcPr>
        <w:p w14:paraId="7B8DA138" w14:textId="70AEDF26" w:rsidR="1530EC3D" w:rsidRDefault="1530EC3D" w:rsidP="1530EC3D">
          <w:pPr>
            <w:pStyle w:val="Header"/>
            <w:ind w:right="-115"/>
            <w:jc w:val="right"/>
          </w:pPr>
        </w:p>
      </w:tc>
    </w:tr>
  </w:tbl>
  <w:p w14:paraId="0869EA78" w14:textId="67C34F59" w:rsidR="1530EC3D" w:rsidRDefault="1530EC3D" w:rsidP="1530EC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5"/>
      <w:gridCol w:w="3595"/>
      <w:gridCol w:w="3595"/>
    </w:tblGrid>
    <w:tr w:rsidR="1530EC3D" w14:paraId="5CDEF336" w14:textId="77777777" w:rsidTr="1530EC3D">
      <w:trPr>
        <w:trHeight w:val="300"/>
      </w:trPr>
      <w:tc>
        <w:tcPr>
          <w:tcW w:w="3595" w:type="dxa"/>
        </w:tcPr>
        <w:p w14:paraId="0A1F83EE" w14:textId="1470F486" w:rsidR="1530EC3D" w:rsidRDefault="1530EC3D" w:rsidP="1530EC3D">
          <w:pPr>
            <w:pStyle w:val="Header"/>
            <w:ind w:left="-115"/>
          </w:pPr>
        </w:p>
      </w:tc>
      <w:tc>
        <w:tcPr>
          <w:tcW w:w="3595" w:type="dxa"/>
        </w:tcPr>
        <w:p w14:paraId="5F53A5F0" w14:textId="7387E63F" w:rsidR="1530EC3D" w:rsidRDefault="1530EC3D" w:rsidP="1530EC3D">
          <w:pPr>
            <w:pStyle w:val="Header"/>
            <w:jc w:val="center"/>
          </w:pPr>
        </w:p>
      </w:tc>
      <w:tc>
        <w:tcPr>
          <w:tcW w:w="3595" w:type="dxa"/>
        </w:tcPr>
        <w:p w14:paraId="44843030" w14:textId="5B05C361" w:rsidR="1530EC3D" w:rsidRDefault="1530EC3D" w:rsidP="1530EC3D">
          <w:pPr>
            <w:pStyle w:val="Header"/>
            <w:ind w:right="-115"/>
            <w:jc w:val="right"/>
          </w:pPr>
        </w:p>
      </w:tc>
    </w:tr>
  </w:tbl>
  <w:p w14:paraId="514C48CC" w14:textId="5E4C1CC1" w:rsidR="1530EC3D" w:rsidRDefault="1530EC3D" w:rsidP="1530E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327A"/>
    <w:multiLevelType w:val="hybridMultilevel"/>
    <w:tmpl w:val="82E87090"/>
    <w:lvl w:ilvl="0" w:tplc="DF2C3AE6">
      <w:start w:val="1"/>
      <w:numFmt w:val="decimal"/>
      <w:lvlText w:val="%1)"/>
      <w:lvlJc w:val="left"/>
      <w:pPr>
        <w:ind w:left="1299" w:hanging="284"/>
        <w:jc w:val="left"/>
      </w:pPr>
      <w:rPr>
        <w:rFonts w:ascii="Calibri" w:eastAsia="Calibri" w:hAnsi="Calibri" w:cs="Calibri" w:hint="default"/>
        <w:w w:val="100"/>
        <w:sz w:val="22"/>
        <w:szCs w:val="22"/>
        <w:lang w:val="en-US" w:eastAsia="en-US" w:bidi="en-US"/>
      </w:rPr>
    </w:lvl>
    <w:lvl w:ilvl="1" w:tplc="EB723A2E">
      <w:numFmt w:val="bullet"/>
      <w:lvlText w:val="•"/>
      <w:lvlJc w:val="left"/>
      <w:pPr>
        <w:ind w:left="2248" w:hanging="284"/>
      </w:pPr>
      <w:rPr>
        <w:rFonts w:hint="default"/>
        <w:lang w:val="en-US" w:eastAsia="en-US" w:bidi="en-US"/>
      </w:rPr>
    </w:lvl>
    <w:lvl w:ilvl="2" w:tplc="87205026">
      <w:numFmt w:val="bullet"/>
      <w:lvlText w:val="•"/>
      <w:lvlJc w:val="left"/>
      <w:pPr>
        <w:ind w:left="3197" w:hanging="284"/>
      </w:pPr>
      <w:rPr>
        <w:rFonts w:hint="default"/>
        <w:lang w:val="en-US" w:eastAsia="en-US" w:bidi="en-US"/>
      </w:rPr>
    </w:lvl>
    <w:lvl w:ilvl="3" w:tplc="4B8C9798">
      <w:numFmt w:val="bullet"/>
      <w:lvlText w:val="•"/>
      <w:lvlJc w:val="left"/>
      <w:pPr>
        <w:ind w:left="4145" w:hanging="284"/>
      </w:pPr>
      <w:rPr>
        <w:rFonts w:hint="default"/>
        <w:lang w:val="en-US" w:eastAsia="en-US" w:bidi="en-US"/>
      </w:rPr>
    </w:lvl>
    <w:lvl w:ilvl="4" w:tplc="48BCD5F0">
      <w:numFmt w:val="bullet"/>
      <w:lvlText w:val="•"/>
      <w:lvlJc w:val="left"/>
      <w:pPr>
        <w:ind w:left="5094" w:hanging="284"/>
      </w:pPr>
      <w:rPr>
        <w:rFonts w:hint="default"/>
        <w:lang w:val="en-US" w:eastAsia="en-US" w:bidi="en-US"/>
      </w:rPr>
    </w:lvl>
    <w:lvl w:ilvl="5" w:tplc="067E89C6">
      <w:numFmt w:val="bullet"/>
      <w:lvlText w:val="•"/>
      <w:lvlJc w:val="left"/>
      <w:pPr>
        <w:ind w:left="6043" w:hanging="284"/>
      </w:pPr>
      <w:rPr>
        <w:rFonts w:hint="default"/>
        <w:lang w:val="en-US" w:eastAsia="en-US" w:bidi="en-US"/>
      </w:rPr>
    </w:lvl>
    <w:lvl w:ilvl="6" w:tplc="DA904F22">
      <w:numFmt w:val="bullet"/>
      <w:lvlText w:val="•"/>
      <w:lvlJc w:val="left"/>
      <w:pPr>
        <w:ind w:left="6991" w:hanging="284"/>
      </w:pPr>
      <w:rPr>
        <w:rFonts w:hint="default"/>
        <w:lang w:val="en-US" w:eastAsia="en-US" w:bidi="en-US"/>
      </w:rPr>
    </w:lvl>
    <w:lvl w:ilvl="7" w:tplc="5224920C">
      <w:numFmt w:val="bullet"/>
      <w:lvlText w:val="•"/>
      <w:lvlJc w:val="left"/>
      <w:pPr>
        <w:ind w:left="7940" w:hanging="284"/>
      </w:pPr>
      <w:rPr>
        <w:rFonts w:hint="default"/>
        <w:lang w:val="en-US" w:eastAsia="en-US" w:bidi="en-US"/>
      </w:rPr>
    </w:lvl>
    <w:lvl w:ilvl="8" w:tplc="5B02BE4C">
      <w:numFmt w:val="bullet"/>
      <w:lvlText w:val="•"/>
      <w:lvlJc w:val="left"/>
      <w:pPr>
        <w:ind w:left="8889" w:hanging="284"/>
      </w:pPr>
      <w:rPr>
        <w:rFonts w:hint="default"/>
        <w:lang w:val="en-US" w:eastAsia="en-US" w:bidi="en-US"/>
      </w:rPr>
    </w:lvl>
  </w:abstractNum>
  <w:abstractNum w:abstractNumId="1" w15:restartNumberingAfterBreak="0">
    <w:nsid w:val="0B0E4368"/>
    <w:multiLevelType w:val="hybridMultilevel"/>
    <w:tmpl w:val="73CCD938"/>
    <w:lvl w:ilvl="0" w:tplc="D83CFAAC">
      <w:numFmt w:val="bullet"/>
      <w:lvlText w:val="•"/>
      <w:lvlJc w:val="left"/>
      <w:pPr>
        <w:ind w:left="733" w:hanging="720"/>
      </w:pPr>
      <w:rPr>
        <w:rFonts w:ascii="Calibri" w:eastAsia="Calibri" w:hAnsi="Calibri" w:cs="Calibri" w:hint="default"/>
        <w:b/>
        <w:bCs/>
        <w:w w:val="100"/>
        <w:sz w:val="22"/>
        <w:szCs w:val="22"/>
        <w:lang w:val="en-US" w:eastAsia="en-US" w:bidi="en-US"/>
      </w:rPr>
    </w:lvl>
    <w:lvl w:ilvl="1" w:tplc="33886222">
      <w:numFmt w:val="bullet"/>
      <w:lvlText w:val="•"/>
      <w:lvlJc w:val="left"/>
      <w:pPr>
        <w:ind w:left="1744" w:hanging="720"/>
      </w:pPr>
      <w:rPr>
        <w:rFonts w:hint="default"/>
        <w:lang w:val="en-US" w:eastAsia="en-US" w:bidi="en-US"/>
      </w:rPr>
    </w:lvl>
    <w:lvl w:ilvl="2" w:tplc="227A1906">
      <w:numFmt w:val="bullet"/>
      <w:lvlText w:val="•"/>
      <w:lvlJc w:val="left"/>
      <w:pPr>
        <w:ind w:left="2749" w:hanging="720"/>
      </w:pPr>
      <w:rPr>
        <w:rFonts w:hint="default"/>
        <w:lang w:val="en-US" w:eastAsia="en-US" w:bidi="en-US"/>
      </w:rPr>
    </w:lvl>
    <w:lvl w:ilvl="3" w:tplc="5CCEC452">
      <w:numFmt w:val="bullet"/>
      <w:lvlText w:val="•"/>
      <w:lvlJc w:val="left"/>
      <w:pPr>
        <w:ind w:left="3753" w:hanging="720"/>
      </w:pPr>
      <w:rPr>
        <w:rFonts w:hint="default"/>
        <w:lang w:val="en-US" w:eastAsia="en-US" w:bidi="en-US"/>
      </w:rPr>
    </w:lvl>
    <w:lvl w:ilvl="4" w:tplc="3678E03E">
      <w:numFmt w:val="bullet"/>
      <w:lvlText w:val="•"/>
      <w:lvlJc w:val="left"/>
      <w:pPr>
        <w:ind w:left="4758" w:hanging="720"/>
      </w:pPr>
      <w:rPr>
        <w:rFonts w:hint="default"/>
        <w:lang w:val="en-US" w:eastAsia="en-US" w:bidi="en-US"/>
      </w:rPr>
    </w:lvl>
    <w:lvl w:ilvl="5" w:tplc="6D000C3E">
      <w:numFmt w:val="bullet"/>
      <w:lvlText w:val="•"/>
      <w:lvlJc w:val="left"/>
      <w:pPr>
        <w:ind w:left="5763" w:hanging="720"/>
      </w:pPr>
      <w:rPr>
        <w:rFonts w:hint="default"/>
        <w:lang w:val="en-US" w:eastAsia="en-US" w:bidi="en-US"/>
      </w:rPr>
    </w:lvl>
    <w:lvl w:ilvl="6" w:tplc="EA5EA792">
      <w:numFmt w:val="bullet"/>
      <w:lvlText w:val="•"/>
      <w:lvlJc w:val="left"/>
      <w:pPr>
        <w:ind w:left="6767" w:hanging="720"/>
      </w:pPr>
      <w:rPr>
        <w:rFonts w:hint="default"/>
        <w:lang w:val="en-US" w:eastAsia="en-US" w:bidi="en-US"/>
      </w:rPr>
    </w:lvl>
    <w:lvl w:ilvl="7" w:tplc="F80C81B8">
      <w:numFmt w:val="bullet"/>
      <w:lvlText w:val="•"/>
      <w:lvlJc w:val="left"/>
      <w:pPr>
        <w:ind w:left="7772" w:hanging="720"/>
      </w:pPr>
      <w:rPr>
        <w:rFonts w:hint="default"/>
        <w:lang w:val="en-US" w:eastAsia="en-US" w:bidi="en-US"/>
      </w:rPr>
    </w:lvl>
    <w:lvl w:ilvl="8" w:tplc="D9843A70">
      <w:numFmt w:val="bullet"/>
      <w:lvlText w:val="•"/>
      <w:lvlJc w:val="left"/>
      <w:pPr>
        <w:ind w:left="8777" w:hanging="720"/>
      </w:pPr>
      <w:rPr>
        <w:rFonts w:hint="default"/>
        <w:lang w:val="en-US" w:eastAsia="en-US" w:bidi="en-US"/>
      </w:rPr>
    </w:lvl>
  </w:abstractNum>
  <w:abstractNum w:abstractNumId="2" w15:restartNumberingAfterBreak="0">
    <w:nsid w:val="0B6D0D79"/>
    <w:multiLevelType w:val="hybridMultilevel"/>
    <w:tmpl w:val="2E142702"/>
    <w:lvl w:ilvl="0" w:tplc="FAE81988">
      <w:numFmt w:val="bullet"/>
      <w:lvlText w:val=""/>
      <w:lvlJc w:val="left"/>
      <w:pPr>
        <w:ind w:left="1093" w:hanging="360"/>
      </w:pPr>
      <w:rPr>
        <w:rFonts w:ascii="Symbol" w:eastAsia="Symbol" w:hAnsi="Symbol" w:cs="Symbol" w:hint="default"/>
        <w:w w:val="100"/>
        <w:sz w:val="22"/>
        <w:szCs w:val="22"/>
        <w:lang w:val="en-US" w:eastAsia="en-US" w:bidi="en-US"/>
      </w:rPr>
    </w:lvl>
    <w:lvl w:ilvl="1" w:tplc="E2C8AD8A">
      <w:numFmt w:val="bullet"/>
      <w:lvlText w:val=""/>
      <w:lvlJc w:val="left"/>
      <w:pPr>
        <w:ind w:left="1453" w:hanging="360"/>
      </w:pPr>
      <w:rPr>
        <w:rFonts w:ascii="Symbol" w:eastAsia="Symbol" w:hAnsi="Symbol" w:cs="Symbol" w:hint="default"/>
        <w:w w:val="100"/>
        <w:sz w:val="22"/>
        <w:szCs w:val="22"/>
        <w:lang w:val="en-US" w:eastAsia="en-US" w:bidi="en-US"/>
      </w:rPr>
    </w:lvl>
    <w:lvl w:ilvl="2" w:tplc="FEEAFA24">
      <w:numFmt w:val="bullet"/>
      <w:lvlText w:val="•"/>
      <w:lvlJc w:val="left"/>
      <w:pPr>
        <w:ind w:left="2496" w:hanging="360"/>
      </w:pPr>
      <w:rPr>
        <w:rFonts w:hint="default"/>
        <w:lang w:val="en-US" w:eastAsia="en-US" w:bidi="en-US"/>
      </w:rPr>
    </w:lvl>
    <w:lvl w:ilvl="3" w:tplc="CA92F77A">
      <w:numFmt w:val="bullet"/>
      <w:lvlText w:val="•"/>
      <w:lvlJc w:val="left"/>
      <w:pPr>
        <w:ind w:left="3532" w:hanging="360"/>
      </w:pPr>
      <w:rPr>
        <w:rFonts w:hint="default"/>
        <w:lang w:val="en-US" w:eastAsia="en-US" w:bidi="en-US"/>
      </w:rPr>
    </w:lvl>
    <w:lvl w:ilvl="4" w:tplc="9740EFD4">
      <w:numFmt w:val="bullet"/>
      <w:lvlText w:val="•"/>
      <w:lvlJc w:val="left"/>
      <w:pPr>
        <w:ind w:left="4568" w:hanging="360"/>
      </w:pPr>
      <w:rPr>
        <w:rFonts w:hint="default"/>
        <w:lang w:val="en-US" w:eastAsia="en-US" w:bidi="en-US"/>
      </w:rPr>
    </w:lvl>
    <w:lvl w:ilvl="5" w:tplc="61EC2992">
      <w:numFmt w:val="bullet"/>
      <w:lvlText w:val="•"/>
      <w:lvlJc w:val="left"/>
      <w:pPr>
        <w:ind w:left="5605" w:hanging="360"/>
      </w:pPr>
      <w:rPr>
        <w:rFonts w:hint="default"/>
        <w:lang w:val="en-US" w:eastAsia="en-US" w:bidi="en-US"/>
      </w:rPr>
    </w:lvl>
    <w:lvl w:ilvl="6" w:tplc="535A3D3A">
      <w:numFmt w:val="bullet"/>
      <w:lvlText w:val="•"/>
      <w:lvlJc w:val="left"/>
      <w:pPr>
        <w:ind w:left="6641" w:hanging="360"/>
      </w:pPr>
      <w:rPr>
        <w:rFonts w:hint="default"/>
        <w:lang w:val="en-US" w:eastAsia="en-US" w:bidi="en-US"/>
      </w:rPr>
    </w:lvl>
    <w:lvl w:ilvl="7" w:tplc="6D68B35C">
      <w:numFmt w:val="bullet"/>
      <w:lvlText w:val="•"/>
      <w:lvlJc w:val="left"/>
      <w:pPr>
        <w:ind w:left="7677" w:hanging="360"/>
      </w:pPr>
      <w:rPr>
        <w:rFonts w:hint="default"/>
        <w:lang w:val="en-US" w:eastAsia="en-US" w:bidi="en-US"/>
      </w:rPr>
    </w:lvl>
    <w:lvl w:ilvl="8" w:tplc="88801E60">
      <w:numFmt w:val="bullet"/>
      <w:lvlText w:val="•"/>
      <w:lvlJc w:val="left"/>
      <w:pPr>
        <w:ind w:left="8713" w:hanging="360"/>
      </w:pPr>
      <w:rPr>
        <w:rFonts w:hint="default"/>
        <w:lang w:val="en-US" w:eastAsia="en-US" w:bidi="en-US"/>
      </w:rPr>
    </w:lvl>
  </w:abstractNum>
  <w:abstractNum w:abstractNumId="3" w15:restartNumberingAfterBreak="0">
    <w:nsid w:val="17596E59"/>
    <w:multiLevelType w:val="hybridMultilevel"/>
    <w:tmpl w:val="27147AFA"/>
    <w:lvl w:ilvl="0" w:tplc="5DE8FBD8">
      <w:start w:val="1"/>
      <w:numFmt w:val="decimal"/>
      <w:lvlText w:val="%1."/>
      <w:lvlJc w:val="left"/>
      <w:pPr>
        <w:ind w:left="1299" w:hanging="567"/>
        <w:jc w:val="left"/>
      </w:pPr>
      <w:rPr>
        <w:rFonts w:hint="default"/>
        <w:spacing w:val="-1"/>
        <w:w w:val="100"/>
        <w:highlight w:val="darkGray"/>
        <w:lang w:val="en-US" w:eastAsia="en-US" w:bidi="en-US"/>
      </w:rPr>
    </w:lvl>
    <w:lvl w:ilvl="1" w:tplc="2894049C">
      <w:numFmt w:val="bullet"/>
      <w:lvlText w:val=""/>
      <w:lvlJc w:val="left"/>
      <w:pPr>
        <w:ind w:left="1453" w:hanging="360"/>
      </w:pPr>
      <w:rPr>
        <w:rFonts w:ascii="Symbol" w:eastAsia="Symbol" w:hAnsi="Symbol" w:cs="Symbol" w:hint="default"/>
        <w:w w:val="100"/>
        <w:sz w:val="22"/>
        <w:szCs w:val="22"/>
        <w:lang w:val="en-US" w:eastAsia="en-US" w:bidi="en-US"/>
      </w:rPr>
    </w:lvl>
    <w:lvl w:ilvl="2" w:tplc="0DACF486">
      <w:numFmt w:val="bullet"/>
      <w:lvlText w:val="•"/>
      <w:lvlJc w:val="left"/>
      <w:pPr>
        <w:ind w:left="2496" w:hanging="360"/>
      </w:pPr>
      <w:rPr>
        <w:rFonts w:hint="default"/>
        <w:lang w:val="en-US" w:eastAsia="en-US" w:bidi="en-US"/>
      </w:rPr>
    </w:lvl>
    <w:lvl w:ilvl="3" w:tplc="39CA621E">
      <w:numFmt w:val="bullet"/>
      <w:lvlText w:val="•"/>
      <w:lvlJc w:val="left"/>
      <w:pPr>
        <w:ind w:left="3532" w:hanging="360"/>
      </w:pPr>
      <w:rPr>
        <w:rFonts w:hint="default"/>
        <w:lang w:val="en-US" w:eastAsia="en-US" w:bidi="en-US"/>
      </w:rPr>
    </w:lvl>
    <w:lvl w:ilvl="4" w:tplc="B7060C3C">
      <w:numFmt w:val="bullet"/>
      <w:lvlText w:val="•"/>
      <w:lvlJc w:val="left"/>
      <w:pPr>
        <w:ind w:left="4568" w:hanging="360"/>
      </w:pPr>
      <w:rPr>
        <w:rFonts w:hint="default"/>
        <w:lang w:val="en-US" w:eastAsia="en-US" w:bidi="en-US"/>
      </w:rPr>
    </w:lvl>
    <w:lvl w:ilvl="5" w:tplc="B4AA57D2">
      <w:numFmt w:val="bullet"/>
      <w:lvlText w:val="•"/>
      <w:lvlJc w:val="left"/>
      <w:pPr>
        <w:ind w:left="5605" w:hanging="360"/>
      </w:pPr>
      <w:rPr>
        <w:rFonts w:hint="default"/>
        <w:lang w:val="en-US" w:eastAsia="en-US" w:bidi="en-US"/>
      </w:rPr>
    </w:lvl>
    <w:lvl w:ilvl="6" w:tplc="6A00DA50">
      <w:numFmt w:val="bullet"/>
      <w:lvlText w:val="•"/>
      <w:lvlJc w:val="left"/>
      <w:pPr>
        <w:ind w:left="6641" w:hanging="360"/>
      </w:pPr>
      <w:rPr>
        <w:rFonts w:hint="default"/>
        <w:lang w:val="en-US" w:eastAsia="en-US" w:bidi="en-US"/>
      </w:rPr>
    </w:lvl>
    <w:lvl w:ilvl="7" w:tplc="BE706276">
      <w:numFmt w:val="bullet"/>
      <w:lvlText w:val="•"/>
      <w:lvlJc w:val="left"/>
      <w:pPr>
        <w:ind w:left="7677" w:hanging="360"/>
      </w:pPr>
      <w:rPr>
        <w:rFonts w:hint="default"/>
        <w:lang w:val="en-US" w:eastAsia="en-US" w:bidi="en-US"/>
      </w:rPr>
    </w:lvl>
    <w:lvl w:ilvl="8" w:tplc="C67AAB5A">
      <w:numFmt w:val="bullet"/>
      <w:lvlText w:val="•"/>
      <w:lvlJc w:val="left"/>
      <w:pPr>
        <w:ind w:left="8713" w:hanging="360"/>
      </w:pPr>
      <w:rPr>
        <w:rFonts w:hint="default"/>
        <w:lang w:val="en-US" w:eastAsia="en-US" w:bidi="en-US"/>
      </w:rPr>
    </w:lvl>
  </w:abstractNum>
  <w:abstractNum w:abstractNumId="4" w15:restartNumberingAfterBreak="0">
    <w:nsid w:val="1DA61DE5"/>
    <w:multiLevelType w:val="hybridMultilevel"/>
    <w:tmpl w:val="22E873EE"/>
    <w:lvl w:ilvl="0" w:tplc="CF10444C">
      <w:numFmt w:val="bullet"/>
      <w:lvlText w:val="•"/>
      <w:lvlJc w:val="left"/>
      <w:pPr>
        <w:ind w:left="1453" w:hanging="720"/>
      </w:pPr>
      <w:rPr>
        <w:rFonts w:ascii="Calibri" w:eastAsia="Calibri" w:hAnsi="Calibri" w:cs="Calibri" w:hint="default"/>
        <w:b/>
        <w:bCs/>
        <w:w w:val="100"/>
        <w:sz w:val="22"/>
        <w:szCs w:val="22"/>
        <w:lang w:val="en-US" w:eastAsia="en-US" w:bidi="en-US"/>
      </w:rPr>
    </w:lvl>
    <w:lvl w:ilvl="1" w:tplc="8E248DE8">
      <w:numFmt w:val="bullet"/>
      <w:lvlText w:val="•"/>
      <w:lvlJc w:val="left"/>
      <w:pPr>
        <w:ind w:left="2392" w:hanging="720"/>
      </w:pPr>
      <w:rPr>
        <w:rFonts w:hint="default"/>
        <w:lang w:val="en-US" w:eastAsia="en-US" w:bidi="en-US"/>
      </w:rPr>
    </w:lvl>
    <w:lvl w:ilvl="2" w:tplc="A5F409FE">
      <w:numFmt w:val="bullet"/>
      <w:lvlText w:val="•"/>
      <w:lvlJc w:val="left"/>
      <w:pPr>
        <w:ind w:left="3325" w:hanging="720"/>
      </w:pPr>
      <w:rPr>
        <w:rFonts w:hint="default"/>
        <w:lang w:val="en-US" w:eastAsia="en-US" w:bidi="en-US"/>
      </w:rPr>
    </w:lvl>
    <w:lvl w:ilvl="3" w:tplc="8E8ABE5A">
      <w:numFmt w:val="bullet"/>
      <w:lvlText w:val="•"/>
      <w:lvlJc w:val="left"/>
      <w:pPr>
        <w:ind w:left="4257" w:hanging="720"/>
      </w:pPr>
      <w:rPr>
        <w:rFonts w:hint="default"/>
        <w:lang w:val="en-US" w:eastAsia="en-US" w:bidi="en-US"/>
      </w:rPr>
    </w:lvl>
    <w:lvl w:ilvl="4" w:tplc="F65842A8">
      <w:numFmt w:val="bullet"/>
      <w:lvlText w:val="•"/>
      <w:lvlJc w:val="left"/>
      <w:pPr>
        <w:ind w:left="5190" w:hanging="720"/>
      </w:pPr>
      <w:rPr>
        <w:rFonts w:hint="default"/>
        <w:lang w:val="en-US" w:eastAsia="en-US" w:bidi="en-US"/>
      </w:rPr>
    </w:lvl>
    <w:lvl w:ilvl="5" w:tplc="A030CEB6">
      <w:numFmt w:val="bullet"/>
      <w:lvlText w:val="•"/>
      <w:lvlJc w:val="left"/>
      <w:pPr>
        <w:ind w:left="6123" w:hanging="720"/>
      </w:pPr>
      <w:rPr>
        <w:rFonts w:hint="default"/>
        <w:lang w:val="en-US" w:eastAsia="en-US" w:bidi="en-US"/>
      </w:rPr>
    </w:lvl>
    <w:lvl w:ilvl="6" w:tplc="DBD63C78">
      <w:numFmt w:val="bullet"/>
      <w:lvlText w:val="•"/>
      <w:lvlJc w:val="left"/>
      <w:pPr>
        <w:ind w:left="7055" w:hanging="720"/>
      </w:pPr>
      <w:rPr>
        <w:rFonts w:hint="default"/>
        <w:lang w:val="en-US" w:eastAsia="en-US" w:bidi="en-US"/>
      </w:rPr>
    </w:lvl>
    <w:lvl w:ilvl="7" w:tplc="31088950">
      <w:numFmt w:val="bullet"/>
      <w:lvlText w:val="•"/>
      <w:lvlJc w:val="left"/>
      <w:pPr>
        <w:ind w:left="7988" w:hanging="720"/>
      </w:pPr>
      <w:rPr>
        <w:rFonts w:hint="default"/>
        <w:lang w:val="en-US" w:eastAsia="en-US" w:bidi="en-US"/>
      </w:rPr>
    </w:lvl>
    <w:lvl w:ilvl="8" w:tplc="2FAE6BBA">
      <w:numFmt w:val="bullet"/>
      <w:lvlText w:val="•"/>
      <w:lvlJc w:val="left"/>
      <w:pPr>
        <w:ind w:left="8921" w:hanging="720"/>
      </w:pPr>
      <w:rPr>
        <w:rFonts w:hint="default"/>
        <w:lang w:val="en-US" w:eastAsia="en-US" w:bidi="en-US"/>
      </w:rPr>
    </w:lvl>
  </w:abstractNum>
  <w:abstractNum w:abstractNumId="5" w15:restartNumberingAfterBreak="0">
    <w:nsid w:val="246D31B1"/>
    <w:multiLevelType w:val="multilevel"/>
    <w:tmpl w:val="FB1AA8AC"/>
    <w:lvl w:ilvl="0">
      <w:start w:val="1"/>
      <w:numFmt w:val="decimal"/>
      <w:lvlText w:val="%1."/>
      <w:lvlJc w:val="left"/>
      <w:pPr>
        <w:ind w:left="1174" w:hanging="442"/>
        <w:jc w:val="left"/>
      </w:pPr>
      <w:rPr>
        <w:rFonts w:ascii="Calibri" w:eastAsia="Calibri" w:hAnsi="Calibri" w:cs="Calibri" w:hint="default"/>
        <w:w w:val="100"/>
        <w:sz w:val="22"/>
        <w:szCs w:val="22"/>
        <w:lang w:val="en-US" w:eastAsia="en-US" w:bidi="en-US"/>
      </w:rPr>
    </w:lvl>
    <w:lvl w:ilvl="1">
      <w:start w:val="1"/>
      <w:numFmt w:val="decimal"/>
      <w:lvlText w:val="%1.%2."/>
      <w:lvlJc w:val="left"/>
      <w:pPr>
        <w:ind w:left="1614" w:hanging="660"/>
        <w:jc w:val="left"/>
      </w:pPr>
      <w:rPr>
        <w:rFonts w:ascii="Calibri" w:eastAsia="Calibri" w:hAnsi="Calibri" w:cs="Calibri" w:hint="default"/>
        <w:spacing w:val="-1"/>
        <w:w w:val="100"/>
        <w:sz w:val="22"/>
        <w:szCs w:val="22"/>
        <w:lang w:val="en-US" w:eastAsia="en-US" w:bidi="en-US"/>
      </w:rPr>
    </w:lvl>
    <w:lvl w:ilvl="2">
      <w:numFmt w:val="bullet"/>
      <w:lvlText w:val="•"/>
      <w:lvlJc w:val="left"/>
      <w:pPr>
        <w:ind w:left="2638" w:hanging="660"/>
      </w:pPr>
      <w:rPr>
        <w:rFonts w:hint="default"/>
        <w:lang w:val="en-US" w:eastAsia="en-US" w:bidi="en-US"/>
      </w:rPr>
    </w:lvl>
    <w:lvl w:ilvl="3">
      <w:numFmt w:val="bullet"/>
      <w:lvlText w:val="•"/>
      <w:lvlJc w:val="left"/>
      <w:pPr>
        <w:ind w:left="3656" w:hanging="660"/>
      </w:pPr>
      <w:rPr>
        <w:rFonts w:hint="default"/>
        <w:lang w:val="en-US" w:eastAsia="en-US" w:bidi="en-US"/>
      </w:rPr>
    </w:lvl>
    <w:lvl w:ilvl="4">
      <w:numFmt w:val="bullet"/>
      <w:lvlText w:val="•"/>
      <w:lvlJc w:val="left"/>
      <w:pPr>
        <w:ind w:left="4675" w:hanging="660"/>
      </w:pPr>
      <w:rPr>
        <w:rFonts w:hint="default"/>
        <w:lang w:val="en-US" w:eastAsia="en-US" w:bidi="en-US"/>
      </w:rPr>
    </w:lvl>
    <w:lvl w:ilvl="5">
      <w:numFmt w:val="bullet"/>
      <w:lvlText w:val="•"/>
      <w:lvlJc w:val="left"/>
      <w:pPr>
        <w:ind w:left="5693" w:hanging="660"/>
      </w:pPr>
      <w:rPr>
        <w:rFonts w:hint="default"/>
        <w:lang w:val="en-US" w:eastAsia="en-US" w:bidi="en-US"/>
      </w:rPr>
    </w:lvl>
    <w:lvl w:ilvl="6">
      <w:numFmt w:val="bullet"/>
      <w:lvlText w:val="•"/>
      <w:lvlJc w:val="left"/>
      <w:pPr>
        <w:ind w:left="6712" w:hanging="660"/>
      </w:pPr>
      <w:rPr>
        <w:rFonts w:hint="default"/>
        <w:lang w:val="en-US" w:eastAsia="en-US" w:bidi="en-US"/>
      </w:rPr>
    </w:lvl>
    <w:lvl w:ilvl="7">
      <w:numFmt w:val="bullet"/>
      <w:lvlText w:val="•"/>
      <w:lvlJc w:val="left"/>
      <w:pPr>
        <w:ind w:left="7730" w:hanging="660"/>
      </w:pPr>
      <w:rPr>
        <w:rFonts w:hint="default"/>
        <w:lang w:val="en-US" w:eastAsia="en-US" w:bidi="en-US"/>
      </w:rPr>
    </w:lvl>
    <w:lvl w:ilvl="8">
      <w:numFmt w:val="bullet"/>
      <w:lvlText w:val="•"/>
      <w:lvlJc w:val="left"/>
      <w:pPr>
        <w:ind w:left="8749" w:hanging="660"/>
      </w:pPr>
      <w:rPr>
        <w:rFonts w:hint="default"/>
        <w:lang w:val="en-US" w:eastAsia="en-US" w:bidi="en-US"/>
      </w:rPr>
    </w:lvl>
  </w:abstractNum>
  <w:abstractNum w:abstractNumId="6" w15:restartNumberingAfterBreak="0">
    <w:nsid w:val="2ADF66D1"/>
    <w:multiLevelType w:val="hybridMultilevel"/>
    <w:tmpl w:val="4FD2B43E"/>
    <w:lvl w:ilvl="0" w:tplc="57B071CA">
      <w:numFmt w:val="bullet"/>
      <w:lvlText w:val="•"/>
      <w:lvlJc w:val="left"/>
      <w:pPr>
        <w:ind w:left="268" w:hanging="161"/>
      </w:pPr>
      <w:rPr>
        <w:rFonts w:ascii="Calibri" w:eastAsia="Calibri" w:hAnsi="Calibri" w:cs="Calibri" w:hint="default"/>
        <w:w w:val="100"/>
        <w:sz w:val="22"/>
        <w:szCs w:val="22"/>
        <w:lang w:val="en-US" w:eastAsia="en-US" w:bidi="en-US"/>
      </w:rPr>
    </w:lvl>
    <w:lvl w:ilvl="1" w:tplc="EDEAAF44">
      <w:numFmt w:val="bullet"/>
      <w:lvlText w:val="•"/>
      <w:lvlJc w:val="left"/>
      <w:pPr>
        <w:ind w:left="440" w:hanging="161"/>
      </w:pPr>
      <w:rPr>
        <w:rFonts w:hint="default"/>
        <w:lang w:val="en-US" w:eastAsia="en-US" w:bidi="en-US"/>
      </w:rPr>
    </w:lvl>
    <w:lvl w:ilvl="2" w:tplc="7550DE5E">
      <w:numFmt w:val="bullet"/>
      <w:lvlText w:val="•"/>
      <w:lvlJc w:val="left"/>
      <w:pPr>
        <w:ind w:left="620" w:hanging="161"/>
      </w:pPr>
      <w:rPr>
        <w:rFonts w:hint="default"/>
        <w:lang w:val="en-US" w:eastAsia="en-US" w:bidi="en-US"/>
      </w:rPr>
    </w:lvl>
    <w:lvl w:ilvl="3" w:tplc="5DEA5BFE">
      <w:numFmt w:val="bullet"/>
      <w:lvlText w:val="•"/>
      <w:lvlJc w:val="left"/>
      <w:pPr>
        <w:ind w:left="800" w:hanging="161"/>
      </w:pPr>
      <w:rPr>
        <w:rFonts w:hint="default"/>
        <w:lang w:val="en-US" w:eastAsia="en-US" w:bidi="en-US"/>
      </w:rPr>
    </w:lvl>
    <w:lvl w:ilvl="4" w:tplc="8C32DFD2">
      <w:numFmt w:val="bullet"/>
      <w:lvlText w:val="•"/>
      <w:lvlJc w:val="left"/>
      <w:pPr>
        <w:ind w:left="980" w:hanging="161"/>
      </w:pPr>
      <w:rPr>
        <w:rFonts w:hint="default"/>
        <w:lang w:val="en-US" w:eastAsia="en-US" w:bidi="en-US"/>
      </w:rPr>
    </w:lvl>
    <w:lvl w:ilvl="5" w:tplc="1BF4B4D6">
      <w:numFmt w:val="bullet"/>
      <w:lvlText w:val="•"/>
      <w:lvlJc w:val="left"/>
      <w:pPr>
        <w:ind w:left="1161" w:hanging="161"/>
      </w:pPr>
      <w:rPr>
        <w:rFonts w:hint="default"/>
        <w:lang w:val="en-US" w:eastAsia="en-US" w:bidi="en-US"/>
      </w:rPr>
    </w:lvl>
    <w:lvl w:ilvl="6" w:tplc="F5B47C6E">
      <w:numFmt w:val="bullet"/>
      <w:lvlText w:val="•"/>
      <w:lvlJc w:val="left"/>
      <w:pPr>
        <w:ind w:left="1341" w:hanging="161"/>
      </w:pPr>
      <w:rPr>
        <w:rFonts w:hint="default"/>
        <w:lang w:val="en-US" w:eastAsia="en-US" w:bidi="en-US"/>
      </w:rPr>
    </w:lvl>
    <w:lvl w:ilvl="7" w:tplc="2ED2966A">
      <w:numFmt w:val="bullet"/>
      <w:lvlText w:val="•"/>
      <w:lvlJc w:val="left"/>
      <w:pPr>
        <w:ind w:left="1521" w:hanging="161"/>
      </w:pPr>
      <w:rPr>
        <w:rFonts w:hint="default"/>
        <w:lang w:val="en-US" w:eastAsia="en-US" w:bidi="en-US"/>
      </w:rPr>
    </w:lvl>
    <w:lvl w:ilvl="8" w:tplc="DF42A796">
      <w:numFmt w:val="bullet"/>
      <w:lvlText w:val="•"/>
      <w:lvlJc w:val="left"/>
      <w:pPr>
        <w:ind w:left="1701" w:hanging="161"/>
      </w:pPr>
      <w:rPr>
        <w:rFonts w:hint="default"/>
        <w:lang w:val="en-US" w:eastAsia="en-US" w:bidi="en-US"/>
      </w:rPr>
    </w:lvl>
  </w:abstractNum>
  <w:abstractNum w:abstractNumId="7" w15:restartNumberingAfterBreak="0">
    <w:nsid w:val="31E02552"/>
    <w:multiLevelType w:val="hybridMultilevel"/>
    <w:tmpl w:val="E690CDB2"/>
    <w:lvl w:ilvl="0" w:tplc="AA3A05B8">
      <w:numFmt w:val="bullet"/>
      <w:lvlText w:val="•"/>
      <w:lvlJc w:val="left"/>
      <w:pPr>
        <w:ind w:left="107" w:hanging="720"/>
      </w:pPr>
      <w:rPr>
        <w:rFonts w:ascii="Calibri" w:eastAsia="Calibri" w:hAnsi="Calibri" w:cs="Calibri" w:hint="default"/>
        <w:w w:val="100"/>
        <w:sz w:val="22"/>
        <w:szCs w:val="22"/>
        <w:lang w:val="en-US" w:eastAsia="en-US" w:bidi="en-US"/>
      </w:rPr>
    </w:lvl>
    <w:lvl w:ilvl="1" w:tplc="DBEA2B84">
      <w:numFmt w:val="bullet"/>
      <w:lvlText w:val="•"/>
      <w:lvlJc w:val="left"/>
      <w:pPr>
        <w:ind w:left="327" w:hanging="720"/>
      </w:pPr>
      <w:rPr>
        <w:rFonts w:hint="default"/>
        <w:lang w:val="en-US" w:eastAsia="en-US" w:bidi="en-US"/>
      </w:rPr>
    </w:lvl>
    <w:lvl w:ilvl="2" w:tplc="CDEE9E6E">
      <w:numFmt w:val="bullet"/>
      <w:lvlText w:val="•"/>
      <w:lvlJc w:val="left"/>
      <w:pPr>
        <w:ind w:left="554" w:hanging="720"/>
      </w:pPr>
      <w:rPr>
        <w:rFonts w:hint="default"/>
        <w:lang w:val="en-US" w:eastAsia="en-US" w:bidi="en-US"/>
      </w:rPr>
    </w:lvl>
    <w:lvl w:ilvl="3" w:tplc="50984C06">
      <w:numFmt w:val="bullet"/>
      <w:lvlText w:val="•"/>
      <w:lvlJc w:val="left"/>
      <w:pPr>
        <w:ind w:left="781" w:hanging="720"/>
      </w:pPr>
      <w:rPr>
        <w:rFonts w:hint="default"/>
        <w:lang w:val="en-US" w:eastAsia="en-US" w:bidi="en-US"/>
      </w:rPr>
    </w:lvl>
    <w:lvl w:ilvl="4" w:tplc="1084010A">
      <w:numFmt w:val="bullet"/>
      <w:lvlText w:val="•"/>
      <w:lvlJc w:val="left"/>
      <w:pPr>
        <w:ind w:left="1008" w:hanging="720"/>
      </w:pPr>
      <w:rPr>
        <w:rFonts w:hint="default"/>
        <w:lang w:val="en-US" w:eastAsia="en-US" w:bidi="en-US"/>
      </w:rPr>
    </w:lvl>
    <w:lvl w:ilvl="5" w:tplc="187A4A9E">
      <w:numFmt w:val="bullet"/>
      <w:lvlText w:val="•"/>
      <w:lvlJc w:val="left"/>
      <w:pPr>
        <w:ind w:left="1235" w:hanging="720"/>
      </w:pPr>
      <w:rPr>
        <w:rFonts w:hint="default"/>
        <w:lang w:val="en-US" w:eastAsia="en-US" w:bidi="en-US"/>
      </w:rPr>
    </w:lvl>
    <w:lvl w:ilvl="6" w:tplc="DCA8DA48">
      <w:numFmt w:val="bullet"/>
      <w:lvlText w:val="•"/>
      <w:lvlJc w:val="left"/>
      <w:pPr>
        <w:ind w:left="1462" w:hanging="720"/>
      </w:pPr>
      <w:rPr>
        <w:rFonts w:hint="default"/>
        <w:lang w:val="en-US" w:eastAsia="en-US" w:bidi="en-US"/>
      </w:rPr>
    </w:lvl>
    <w:lvl w:ilvl="7" w:tplc="A11A13A0">
      <w:numFmt w:val="bullet"/>
      <w:lvlText w:val="•"/>
      <w:lvlJc w:val="left"/>
      <w:pPr>
        <w:ind w:left="1689" w:hanging="720"/>
      </w:pPr>
      <w:rPr>
        <w:rFonts w:hint="default"/>
        <w:lang w:val="en-US" w:eastAsia="en-US" w:bidi="en-US"/>
      </w:rPr>
    </w:lvl>
    <w:lvl w:ilvl="8" w:tplc="5E067736">
      <w:numFmt w:val="bullet"/>
      <w:lvlText w:val="•"/>
      <w:lvlJc w:val="left"/>
      <w:pPr>
        <w:ind w:left="1916" w:hanging="720"/>
      </w:pPr>
      <w:rPr>
        <w:rFonts w:hint="default"/>
        <w:lang w:val="en-US" w:eastAsia="en-US" w:bidi="en-US"/>
      </w:rPr>
    </w:lvl>
  </w:abstractNum>
  <w:abstractNum w:abstractNumId="8" w15:restartNumberingAfterBreak="0">
    <w:nsid w:val="344E556F"/>
    <w:multiLevelType w:val="hybridMultilevel"/>
    <w:tmpl w:val="7586F362"/>
    <w:lvl w:ilvl="0" w:tplc="992CC140">
      <w:numFmt w:val="bullet"/>
      <w:lvlText w:val="•"/>
      <w:lvlJc w:val="left"/>
      <w:pPr>
        <w:ind w:left="1453" w:hanging="720"/>
      </w:pPr>
      <w:rPr>
        <w:rFonts w:ascii="Calibri" w:eastAsia="Calibri" w:hAnsi="Calibri" w:cs="Calibri" w:hint="default"/>
        <w:w w:val="100"/>
        <w:sz w:val="22"/>
        <w:szCs w:val="22"/>
        <w:lang w:val="en-US" w:eastAsia="en-US" w:bidi="en-US"/>
      </w:rPr>
    </w:lvl>
    <w:lvl w:ilvl="1" w:tplc="390C114A">
      <w:numFmt w:val="bullet"/>
      <w:lvlText w:val="o"/>
      <w:lvlJc w:val="left"/>
      <w:pPr>
        <w:ind w:left="2173" w:hanging="720"/>
      </w:pPr>
      <w:rPr>
        <w:rFonts w:ascii="Calibri" w:eastAsia="Calibri" w:hAnsi="Calibri" w:cs="Calibri" w:hint="default"/>
        <w:w w:val="100"/>
        <w:sz w:val="22"/>
        <w:szCs w:val="22"/>
        <w:lang w:val="en-US" w:eastAsia="en-US" w:bidi="en-US"/>
      </w:rPr>
    </w:lvl>
    <w:lvl w:ilvl="2" w:tplc="C7F2075E">
      <w:numFmt w:val="bullet"/>
      <w:lvlText w:val="•"/>
      <w:lvlJc w:val="left"/>
      <w:pPr>
        <w:ind w:left="3136" w:hanging="720"/>
      </w:pPr>
      <w:rPr>
        <w:rFonts w:hint="default"/>
        <w:lang w:val="en-US" w:eastAsia="en-US" w:bidi="en-US"/>
      </w:rPr>
    </w:lvl>
    <w:lvl w:ilvl="3" w:tplc="00864F16">
      <w:numFmt w:val="bullet"/>
      <w:lvlText w:val="•"/>
      <w:lvlJc w:val="left"/>
      <w:pPr>
        <w:ind w:left="4092" w:hanging="720"/>
      </w:pPr>
      <w:rPr>
        <w:rFonts w:hint="default"/>
        <w:lang w:val="en-US" w:eastAsia="en-US" w:bidi="en-US"/>
      </w:rPr>
    </w:lvl>
    <w:lvl w:ilvl="4" w:tplc="7E90D844">
      <w:numFmt w:val="bullet"/>
      <w:lvlText w:val="•"/>
      <w:lvlJc w:val="left"/>
      <w:pPr>
        <w:ind w:left="5048" w:hanging="720"/>
      </w:pPr>
      <w:rPr>
        <w:rFonts w:hint="default"/>
        <w:lang w:val="en-US" w:eastAsia="en-US" w:bidi="en-US"/>
      </w:rPr>
    </w:lvl>
    <w:lvl w:ilvl="5" w:tplc="4B905152">
      <w:numFmt w:val="bullet"/>
      <w:lvlText w:val="•"/>
      <w:lvlJc w:val="left"/>
      <w:pPr>
        <w:ind w:left="6005" w:hanging="720"/>
      </w:pPr>
      <w:rPr>
        <w:rFonts w:hint="default"/>
        <w:lang w:val="en-US" w:eastAsia="en-US" w:bidi="en-US"/>
      </w:rPr>
    </w:lvl>
    <w:lvl w:ilvl="6" w:tplc="2974B222">
      <w:numFmt w:val="bullet"/>
      <w:lvlText w:val="•"/>
      <w:lvlJc w:val="left"/>
      <w:pPr>
        <w:ind w:left="6961" w:hanging="720"/>
      </w:pPr>
      <w:rPr>
        <w:rFonts w:hint="default"/>
        <w:lang w:val="en-US" w:eastAsia="en-US" w:bidi="en-US"/>
      </w:rPr>
    </w:lvl>
    <w:lvl w:ilvl="7" w:tplc="75ACCEB8">
      <w:numFmt w:val="bullet"/>
      <w:lvlText w:val="•"/>
      <w:lvlJc w:val="left"/>
      <w:pPr>
        <w:ind w:left="7917" w:hanging="720"/>
      </w:pPr>
      <w:rPr>
        <w:rFonts w:hint="default"/>
        <w:lang w:val="en-US" w:eastAsia="en-US" w:bidi="en-US"/>
      </w:rPr>
    </w:lvl>
    <w:lvl w:ilvl="8" w:tplc="0B1804F4">
      <w:numFmt w:val="bullet"/>
      <w:lvlText w:val="•"/>
      <w:lvlJc w:val="left"/>
      <w:pPr>
        <w:ind w:left="8873" w:hanging="720"/>
      </w:pPr>
      <w:rPr>
        <w:rFonts w:hint="default"/>
        <w:lang w:val="en-US" w:eastAsia="en-US" w:bidi="en-US"/>
      </w:rPr>
    </w:lvl>
  </w:abstractNum>
  <w:abstractNum w:abstractNumId="9" w15:restartNumberingAfterBreak="0">
    <w:nsid w:val="36E66142"/>
    <w:multiLevelType w:val="multilevel"/>
    <w:tmpl w:val="DD606362"/>
    <w:lvl w:ilvl="0">
      <w:start w:val="3"/>
      <w:numFmt w:val="decimal"/>
      <w:lvlText w:val="%1"/>
      <w:lvlJc w:val="left"/>
      <w:pPr>
        <w:ind w:left="1453" w:hanging="720"/>
        <w:jc w:val="left"/>
      </w:pPr>
      <w:rPr>
        <w:rFonts w:hint="default"/>
        <w:lang w:val="en-US" w:eastAsia="en-US" w:bidi="en-US"/>
      </w:rPr>
    </w:lvl>
    <w:lvl w:ilvl="1">
      <w:start w:val="1"/>
      <w:numFmt w:val="decimal"/>
      <w:lvlText w:val="%1.%2."/>
      <w:lvlJc w:val="left"/>
      <w:pPr>
        <w:ind w:left="1453" w:hanging="720"/>
        <w:jc w:val="left"/>
      </w:pPr>
      <w:rPr>
        <w:rFonts w:ascii="Calibri" w:eastAsia="Calibri" w:hAnsi="Calibri" w:cs="Calibri" w:hint="default"/>
        <w:b/>
        <w:bCs/>
        <w:spacing w:val="-3"/>
        <w:w w:val="100"/>
        <w:sz w:val="24"/>
        <w:szCs w:val="24"/>
        <w:lang w:val="en-US" w:eastAsia="en-US" w:bidi="en-US"/>
      </w:rPr>
    </w:lvl>
    <w:lvl w:ilvl="2">
      <w:start w:val="1"/>
      <w:numFmt w:val="decimal"/>
      <w:lvlText w:val="%3."/>
      <w:lvlJc w:val="left"/>
      <w:pPr>
        <w:ind w:left="1813" w:hanging="720"/>
        <w:jc w:val="left"/>
      </w:pPr>
      <w:rPr>
        <w:rFonts w:hint="default"/>
        <w:w w:val="100"/>
        <w:lang w:val="en-US" w:eastAsia="en-US" w:bidi="en-US"/>
      </w:rPr>
    </w:lvl>
    <w:lvl w:ilvl="3">
      <w:numFmt w:val="bullet"/>
      <w:lvlText w:val="•"/>
      <w:lvlJc w:val="left"/>
      <w:pPr>
        <w:ind w:left="3812" w:hanging="720"/>
      </w:pPr>
      <w:rPr>
        <w:rFonts w:hint="default"/>
        <w:lang w:val="en-US" w:eastAsia="en-US" w:bidi="en-US"/>
      </w:rPr>
    </w:lvl>
    <w:lvl w:ilvl="4">
      <w:numFmt w:val="bullet"/>
      <w:lvlText w:val="•"/>
      <w:lvlJc w:val="left"/>
      <w:pPr>
        <w:ind w:left="4808" w:hanging="720"/>
      </w:pPr>
      <w:rPr>
        <w:rFonts w:hint="default"/>
        <w:lang w:val="en-US" w:eastAsia="en-US" w:bidi="en-US"/>
      </w:rPr>
    </w:lvl>
    <w:lvl w:ilvl="5">
      <w:numFmt w:val="bullet"/>
      <w:lvlText w:val="•"/>
      <w:lvlJc w:val="left"/>
      <w:pPr>
        <w:ind w:left="5805" w:hanging="720"/>
      </w:pPr>
      <w:rPr>
        <w:rFonts w:hint="default"/>
        <w:lang w:val="en-US" w:eastAsia="en-US" w:bidi="en-US"/>
      </w:rPr>
    </w:lvl>
    <w:lvl w:ilvl="6">
      <w:numFmt w:val="bullet"/>
      <w:lvlText w:val="•"/>
      <w:lvlJc w:val="left"/>
      <w:pPr>
        <w:ind w:left="6801" w:hanging="720"/>
      </w:pPr>
      <w:rPr>
        <w:rFonts w:hint="default"/>
        <w:lang w:val="en-US" w:eastAsia="en-US" w:bidi="en-US"/>
      </w:rPr>
    </w:lvl>
    <w:lvl w:ilvl="7">
      <w:numFmt w:val="bullet"/>
      <w:lvlText w:val="•"/>
      <w:lvlJc w:val="left"/>
      <w:pPr>
        <w:ind w:left="7797" w:hanging="720"/>
      </w:pPr>
      <w:rPr>
        <w:rFonts w:hint="default"/>
        <w:lang w:val="en-US" w:eastAsia="en-US" w:bidi="en-US"/>
      </w:rPr>
    </w:lvl>
    <w:lvl w:ilvl="8">
      <w:numFmt w:val="bullet"/>
      <w:lvlText w:val="•"/>
      <w:lvlJc w:val="left"/>
      <w:pPr>
        <w:ind w:left="8793" w:hanging="720"/>
      </w:pPr>
      <w:rPr>
        <w:rFonts w:hint="default"/>
        <w:lang w:val="en-US" w:eastAsia="en-US" w:bidi="en-US"/>
      </w:rPr>
    </w:lvl>
  </w:abstractNum>
  <w:abstractNum w:abstractNumId="10" w15:restartNumberingAfterBreak="0">
    <w:nsid w:val="3E8E063E"/>
    <w:multiLevelType w:val="hybridMultilevel"/>
    <w:tmpl w:val="6A7C75C6"/>
    <w:lvl w:ilvl="0" w:tplc="9A4A743C">
      <w:numFmt w:val="bullet"/>
      <w:lvlText w:val="•"/>
      <w:lvlJc w:val="left"/>
      <w:pPr>
        <w:ind w:left="110" w:hanging="720"/>
      </w:pPr>
      <w:rPr>
        <w:rFonts w:ascii="Calibri" w:eastAsia="Calibri" w:hAnsi="Calibri" w:cs="Calibri" w:hint="default"/>
        <w:w w:val="100"/>
        <w:sz w:val="22"/>
        <w:szCs w:val="22"/>
        <w:lang w:val="en-US" w:eastAsia="en-US" w:bidi="en-US"/>
      </w:rPr>
    </w:lvl>
    <w:lvl w:ilvl="1" w:tplc="8402E8DC">
      <w:numFmt w:val="bullet"/>
      <w:lvlText w:val="•"/>
      <w:lvlJc w:val="left"/>
      <w:pPr>
        <w:ind w:left="558" w:hanging="720"/>
      </w:pPr>
      <w:rPr>
        <w:rFonts w:hint="default"/>
        <w:lang w:val="en-US" w:eastAsia="en-US" w:bidi="en-US"/>
      </w:rPr>
    </w:lvl>
    <w:lvl w:ilvl="2" w:tplc="BF22184A">
      <w:numFmt w:val="bullet"/>
      <w:lvlText w:val="•"/>
      <w:lvlJc w:val="left"/>
      <w:pPr>
        <w:ind w:left="996" w:hanging="720"/>
      </w:pPr>
      <w:rPr>
        <w:rFonts w:hint="default"/>
        <w:lang w:val="en-US" w:eastAsia="en-US" w:bidi="en-US"/>
      </w:rPr>
    </w:lvl>
    <w:lvl w:ilvl="3" w:tplc="565ED766">
      <w:numFmt w:val="bullet"/>
      <w:lvlText w:val="•"/>
      <w:lvlJc w:val="left"/>
      <w:pPr>
        <w:ind w:left="1434" w:hanging="720"/>
      </w:pPr>
      <w:rPr>
        <w:rFonts w:hint="default"/>
        <w:lang w:val="en-US" w:eastAsia="en-US" w:bidi="en-US"/>
      </w:rPr>
    </w:lvl>
    <w:lvl w:ilvl="4" w:tplc="FE941546">
      <w:numFmt w:val="bullet"/>
      <w:lvlText w:val="•"/>
      <w:lvlJc w:val="left"/>
      <w:pPr>
        <w:ind w:left="1872" w:hanging="720"/>
      </w:pPr>
      <w:rPr>
        <w:rFonts w:hint="default"/>
        <w:lang w:val="en-US" w:eastAsia="en-US" w:bidi="en-US"/>
      </w:rPr>
    </w:lvl>
    <w:lvl w:ilvl="5" w:tplc="5E58AB6C">
      <w:numFmt w:val="bullet"/>
      <w:lvlText w:val="•"/>
      <w:lvlJc w:val="left"/>
      <w:pPr>
        <w:ind w:left="2310" w:hanging="720"/>
      </w:pPr>
      <w:rPr>
        <w:rFonts w:hint="default"/>
        <w:lang w:val="en-US" w:eastAsia="en-US" w:bidi="en-US"/>
      </w:rPr>
    </w:lvl>
    <w:lvl w:ilvl="6" w:tplc="FBCEC110">
      <w:numFmt w:val="bullet"/>
      <w:lvlText w:val="•"/>
      <w:lvlJc w:val="left"/>
      <w:pPr>
        <w:ind w:left="2748" w:hanging="720"/>
      </w:pPr>
      <w:rPr>
        <w:rFonts w:hint="default"/>
        <w:lang w:val="en-US" w:eastAsia="en-US" w:bidi="en-US"/>
      </w:rPr>
    </w:lvl>
    <w:lvl w:ilvl="7" w:tplc="0F6C251C">
      <w:numFmt w:val="bullet"/>
      <w:lvlText w:val="•"/>
      <w:lvlJc w:val="left"/>
      <w:pPr>
        <w:ind w:left="3186" w:hanging="720"/>
      </w:pPr>
      <w:rPr>
        <w:rFonts w:hint="default"/>
        <w:lang w:val="en-US" w:eastAsia="en-US" w:bidi="en-US"/>
      </w:rPr>
    </w:lvl>
    <w:lvl w:ilvl="8" w:tplc="215C107E">
      <w:numFmt w:val="bullet"/>
      <w:lvlText w:val="•"/>
      <w:lvlJc w:val="left"/>
      <w:pPr>
        <w:ind w:left="3624" w:hanging="720"/>
      </w:pPr>
      <w:rPr>
        <w:rFonts w:hint="default"/>
        <w:lang w:val="en-US" w:eastAsia="en-US" w:bidi="en-US"/>
      </w:rPr>
    </w:lvl>
  </w:abstractNum>
  <w:abstractNum w:abstractNumId="11" w15:restartNumberingAfterBreak="0">
    <w:nsid w:val="52B700ED"/>
    <w:multiLevelType w:val="hybridMultilevel"/>
    <w:tmpl w:val="6CAEBA7E"/>
    <w:lvl w:ilvl="0" w:tplc="F1643828">
      <w:numFmt w:val="bullet"/>
      <w:lvlText w:val="•"/>
      <w:lvlJc w:val="left"/>
      <w:pPr>
        <w:ind w:left="110" w:hanging="720"/>
      </w:pPr>
      <w:rPr>
        <w:rFonts w:ascii="Calibri" w:eastAsia="Calibri" w:hAnsi="Calibri" w:cs="Calibri" w:hint="default"/>
        <w:w w:val="100"/>
        <w:sz w:val="22"/>
        <w:szCs w:val="22"/>
        <w:lang w:val="en-US" w:eastAsia="en-US" w:bidi="en-US"/>
      </w:rPr>
    </w:lvl>
    <w:lvl w:ilvl="1" w:tplc="B3D222C8">
      <w:numFmt w:val="bullet"/>
      <w:lvlText w:val="•"/>
      <w:lvlJc w:val="left"/>
      <w:pPr>
        <w:ind w:left="558" w:hanging="720"/>
      </w:pPr>
      <w:rPr>
        <w:rFonts w:hint="default"/>
        <w:lang w:val="en-US" w:eastAsia="en-US" w:bidi="en-US"/>
      </w:rPr>
    </w:lvl>
    <w:lvl w:ilvl="2" w:tplc="B3AE9444">
      <w:numFmt w:val="bullet"/>
      <w:lvlText w:val="•"/>
      <w:lvlJc w:val="left"/>
      <w:pPr>
        <w:ind w:left="996" w:hanging="720"/>
      </w:pPr>
      <w:rPr>
        <w:rFonts w:hint="default"/>
        <w:lang w:val="en-US" w:eastAsia="en-US" w:bidi="en-US"/>
      </w:rPr>
    </w:lvl>
    <w:lvl w:ilvl="3" w:tplc="8814F810">
      <w:numFmt w:val="bullet"/>
      <w:lvlText w:val="•"/>
      <w:lvlJc w:val="left"/>
      <w:pPr>
        <w:ind w:left="1434" w:hanging="720"/>
      </w:pPr>
      <w:rPr>
        <w:rFonts w:hint="default"/>
        <w:lang w:val="en-US" w:eastAsia="en-US" w:bidi="en-US"/>
      </w:rPr>
    </w:lvl>
    <w:lvl w:ilvl="4" w:tplc="206E62B8">
      <w:numFmt w:val="bullet"/>
      <w:lvlText w:val="•"/>
      <w:lvlJc w:val="left"/>
      <w:pPr>
        <w:ind w:left="1872" w:hanging="720"/>
      </w:pPr>
      <w:rPr>
        <w:rFonts w:hint="default"/>
        <w:lang w:val="en-US" w:eastAsia="en-US" w:bidi="en-US"/>
      </w:rPr>
    </w:lvl>
    <w:lvl w:ilvl="5" w:tplc="82AA2952">
      <w:numFmt w:val="bullet"/>
      <w:lvlText w:val="•"/>
      <w:lvlJc w:val="left"/>
      <w:pPr>
        <w:ind w:left="2310" w:hanging="720"/>
      </w:pPr>
      <w:rPr>
        <w:rFonts w:hint="default"/>
        <w:lang w:val="en-US" w:eastAsia="en-US" w:bidi="en-US"/>
      </w:rPr>
    </w:lvl>
    <w:lvl w:ilvl="6" w:tplc="B314904A">
      <w:numFmt w:val="bullet"/>
      <w:lvlText w:val="•"/>
      <w:lvlJc w:val="left"/>
      <w:pPr>
        <w:ind w:left="2748" w:hanging="720"/>
      </w:pPr>
      <w:rPr>
        <w:rFonts w:hint="default"/>
        <w:lang w:val="en-US" w:eastAsia="en-US" w:bidi="en-US"/>
      </w:rPr>
    </w:lvl>
    <w:lvl w:ilvl="7" w:tplc="F082484C">
      <w:numFmt w:val="bullet"/>
      <w:lvlText w:val="•"/>
      <w:lvlJc w:val="left"/>
      <w:pPr>
        <w:ind w:left="3186" w:hanging="720"/>
      </w:pPr>
      <w:rPr>
        <w:rFonts w:hint="default"/>
        <w:lang w:val="en-US" w:eastAsia="en-US" w:bidi="en-US"/>
      </w:rPr>
    </w:lvl>
    <w:lvl w:ilvl="8" w:tplc="EC54D81A">
      <w:numFmt w:val="bullet"/>
      <w:lvlText w:val="•"/>
      <w:lvlJc w:val="left"/>
      <w:pPr>
        <w:ind w:left="3624" w:hanging="720"/>
      </w:pPr>
      <w:rPr>
        <w:rFonts w:hint="default"/>
        <w:lang w:val="en-US" w:eastAsia="en-US" w:bidi="en-US"/>
      </w:rPr>
    </w:lvl>
  </w:abstractNum>
  <w:abstractNum w:abstractNumId="12" w15:restartNumberingAfterBreak="0">
    <w:nsid w:val="59FA12BA"/>
    <w:multiLevelType w:val="hybridMultilevel"/>
    <w:tmpl w:val="14A20C4C"/>
    <w:lvl w:ilvl="0" w:tplc="3C0AB420">
      <w:numFmt w:val="bullet"/>
      <w:lvlText w:val="•"/>
      <w:lvlJc w:val="left"/>
      <w:pPr>
        <w:ind w:left="108" w:hanging="161"/>
      </w:pPr>
      <w:rPr>
        <w:rFonts w:ascii="Calibri" w:eastAsia="Calibri" w:hAnsi="Calibri" w:cs="Calibri" w:hint="default"/>
        <w:w w:val="100"/>
        <w:sz w:val="22"/>
        <w:szCs w:val="22"/>
        <w:lang w:val="en-US" w:eastAsia="en-US" w:bidi="en-US"/>
      </w:rPr>
    </w:lvl>
    <w:lvl w:ilvl="1" w:tplc="CAF00586">
      <w:numFmt w:val="bullet"/>
      <w:lvlText w:val="•"/>
      <w:lvlJc w:val="left"/>
      <w:pPr>
        <w:ind w:left="296" w:hanging="161"/>
      </w:pPr>
      <w:rPr>
        <w:rFonts w:hint="default"/>
        <w:lang w:val="en-US" w:eastAsia="en-US" w:bidi="en-US"/>
      </w:rPr>
    </w:lvl>
    <w:lvl w:ilvl="2" w:tplc="503C84B4">
      <w:numFmt w:val="bullet"/>
      <w:lvlText w:val="•"/>
      <w:lvlJc w:val="left"/>
      <w:pPr>
        <w:ind w:left="492" w:hanging="161"/>
      </w:pPr>
      <w:rPr>
        <w:rFonts w:hint="default"/>
        <w:lang w:val="en-US" w:eastAsia="en-US" w:bidi="en-US"/>
      </w:rPr>
    </w:lvl>
    <w:lvl w:ilvl="3" w:tplc="4F68C86C">
      <w:numFmt w:val="bullet"/>
      <w:lvlText w:val="•"/>
      <w:lvlJc w:val="left"/>
      <w:pPr>
        <w:ind w:left="688" w:hanging="161"/>
      </w:pPr>
      <w:rPr>
        <w:rFonts w:hint="default"/>
        <w:lang w:val="en-US" w:eastAsia="en-US" w:bidi="en-US"/>
      </w:rPr>
    </w:lvl>
    <w:lvl w:ilvl="4" w:tplc="6E4A8718">
      <w:numFmt w:val="bullet"/>
      <w:lvlText w:val="•"/>
      <w:lvlJc w:val="left"/>
      <w:pPr>
        <w:ind w:left="884" w:hanging="161"/>
      </w:pPr>
      <w:rPr>
        <w:rFonts w:hint="default"/>
        <w:lang w:val="en-US" w:eastAsia="en-US" w:bidi="en-US"/>
      </w:rPr>
    </w:lvl>
    <w:lvl w:ilvl="5" w:tplc="41ACEA16">
      <w:numFmt w:val="bullet"/>
      <w:lvlText w:val="•"/>
      <w:lvlJc w:val="left"/>
      <w:pPr>
        <w:ind w:left="1081" w:hanging="161"/>
      </w:pPr>
      <w:rPr>
        <w:rFonts w:hint="default"/>
        <w:lang w:val="en-US" w:eastAsia="en-US" w:bidi="en-US"/>
      </w:rPr>
    </w:lvl>
    <w:lvl w:ilvl="6" w:tplc="0BF89118">
      <w:numFmt w:val="bullet"/>
      <w:lvlText w:val="•"/>
      <w:lvlJc w:val="left"/>
      <w:pPr>
        <w:ind w:left="1277" w:hanging="161"/>
      </w:pPr>
      <w:rPr>
        <w:rFonts w:hint="default"/>
        <w:lang w:val="en-US" w:eastAsia="en-US" w:bidi="en-US"/>
      </w:rPr>
    </w:lvl>
    <w:lvl w:ilvl="7" w:tplc="E3BEB380">
      <w:numFmt w:val="bullet"/>
      <w:lvlText w:val="•"/>
      <w:lvlJc w:val="left"/>
      <w:pPr>
        <w:ind w:left="1473" w:hanging="161"/>
      </w:pPr>
      <w:rPr>
        <w:rFonts w:hint="default"/>
        <w:lang w:val="en-US" w:eastAsia="en-US" w:bidi="en-US"/>
      </w:rPr>
    </w:lvl>
    <w:lvl w:ilvl="8" w:tplc="D488DFE4">
      <w:numFmt w:val="bullet"/>
      <w:lvlText w:val="•"/>
      <w:lvlJc w:val="left"/>
      <w:pPr>
        <w:ind w:left="1669" w:hanging="161"/>
      </w:pPr>
      <w:rPr>
        <w:rFonts w:hint="default"/>
        <w:lang w:val="en-US" w:eastAsia="en-US" w:bidi="en-US"/>
      </w:rPr>
    </w:lvl>
  </w:abstractNum>
  <w:abstractNum w:abstractNumId="13" w15:restartNumberingAfterBreak="0">
    <w:nsid w:val="5A9D1203"/>
    <w:multiLevelType w:val="hybridMultilevel"/>
    <w:tmpl w:val="82C42020"/>
    <w:lvl w:ilvl="0" w:tplc="E3CA3BC2">
      <w:start w:val="1"/>
      <w:numFmt w:val="decimal"/>
      <w:lvlText w:val="%1."/>
      <w:lvlJc w:val="left"/>
      <w:pPr>
        <w:ind w:left="733" w:hanging="170"/>
        <w:jc w:val="left"/>
      </w:pPr>
      <w:rPr>
        <w:rFonts w:hint="default"/>
        <w:spacing w:val="-1"/>
        <w:w w:val="100"/>
        <w:lang w:val="en-US" w:eastAsia="en-US" w:bidi="en-US"/>
      </w:rPr>
    </w:lvl>
    <w:lvl w:ilvl="1" w:tplc="F6B87A00">
      <w:start w:val="1"/>
      <w:numFmt w:val="decimal"/>
      <w:lvlText w:val="%2."/>
      <w:lvlJc w:val="left"/>
      <w:pPr>
        <w:ind w:left="1453" w:hanging="360"/>
        <w:jc w:val="left"/>
      </w:pPr>
      <w:rPr>
        <w:rFonts w:ascii="Calibri" w:eastAsia="Calibri" w:hAnsi="Calibri" w:cs="Calibri" w:hint="default"/>
        <w:w w:val="100"/>
        <w:sz w:val="22"/>
        <w:szCs w:val="22"/>
        <w:lang w:val="en-US" w:eastAsia="en-US" w:bidi="en-US"/>
      </w:rPr>
    </w:lvl>
    <w:lvl w:ilvl="2" w:tplc="C1A8EA90">
      <w:numFmt w:val="bullet"/>
      <w:lvlText w:val="•"/>
      <w:lvlJc w:val="left"/>
      <w:pPr>
        <w:ind w:left="2496" w:hanging="360"/>
      </w:pPr>
      <w:rPr>
        <w:rFonts w:hint="default"/>
        <w:lang w:val="en-US" w:eastAsia="en-US" w:bidi="en-US"/>
      </w:rPr>
    </w:lvl>
    <w:lvl w:ilvl="3" w:tplc="575A912A">
      <w:numFmt w:val="bullet"/>
      <w:lvlText w:val="•"/>
      <w:lvlJc w:val="left"/>
      <w:pPr>
        <w:ind w:left="3532" w:hanging="360"/>
      </w:pPr>
      <w:rPr>
        <w:rFonts w:hint="default"/>
        <w:lang w:val="en-US" w:eastAsia="en-US" w:bidi="en-US"/>
      </w:rPr>
    </w:lvl>
    <w:lvl w:ilvl="4" w:tplc="67A8331C">
      <w:numFmt w:val="bullet"/>
      <w:lvlText w:val="•"/>
      <w:lvlJc w:val="left"/>
      <w:pPr>
        <w:ind w:left="4568" w:hanging="360"/>
      </w:pPr>
      <w:rPr>
        <w:rFonts w:hint="default"/>
        <w:lang w:val="en-US" w:eastAsia="en-US" w:bidi="en-US"/>
      </w:rPr>
    </w:lvl>
    <w:lvl w:ilvl="5" w:tplc="2A16017E">
      <w:numFmt w:val="bullet"/>
      <w:lvlText w:val="•"/>
      <w:lvlJc w:val="left"/>
      <w:pPr>
        <w:ind w:left="5605" w:hanging="360"/>
      </w:pPr>
      <w:rPr>
        <w:rFonts w:hint="default"/>
        <w:lang w:val="en-US" w:eastAsia="en-US" w:bidi="en-US"/>
      </w:rPr>
    </w:lvl>
    <w:lvl w:ilvl="6" w:tplc="A022AB40">
      <w:numFmt w:val="bullet"/>
      <w:lvlText w:val="•"/>
      <w:lvlJc w:val="left"/>
      <w:pPr>
        <w:ind w:left="6641" w:hanging="360"/>
      </w:pPr>
      <w:rPr>
        <w:rFonts w:hint="default"/>
        <w:lang w:val="en-US" w:eastAsia="en-US" w:bidi="en-US"/>
      </w:rPr>
    </w:lvl>
    <w:lvl w:ilvl="7" w:tplc="288041AE">
      <w:numFmt w:val="bullet"/>
      <w:lvlText w:val="•"/>
      <w:lvlJc w:val="left"/>
      <w:pPr>
        <w:ind w:left="7677" w:hanging="360"/>
      </w:pPr>
      <w:rPr>
        <w:rFonts w:hint="default"/>
        <w:lang w:val="en-US" w:eastAsia="en-US" w:bidi="en-US"/>
      </w:rPr>
    </w:lvl>
    <w:lvl w:ilvl="8" w:tplc="FA5420EC">
      <w:numFmt w:val="bullet"/>
      <w:lvlText w:val="•"/>
      <w:lvlJc w:val="left"/>
      <w:pPr>
        <w:ind w:left="8713" w:hanging="360"/>
      </w:pPr>
      <w:rPr>
        <w:rFonts w:hint="default"/>
        <w:lang w:val="en-US" w:eastAsia="en-US" w:bidi="en-US"/>
      </w:rPr>
    </w:lvl>
  </w:abstractNum>
  <w:abstractNum w:abstractNumId="14" w15:restartNumberingAfterBreak="0">
    <w:nsid w:val="61152C10"/>
    <w:multiLevelType w:val="hybridMultilevel"/>
    <w:tmpl w:val="281E9172"/>
    <w:lvl w:ilvl="0" w:tplc="623AB6FA">
      <w:numFmt w:val="bullet"/>
      <w:lvlText w:val="•"/>
      <w:lvlJc w:val="left"/>
      <w:pPr>
        <w:ind w:left="109" w:hanging="721"/>
      </w:pPr>
      <w:rPr>
        <w:rFonts w:ascii="Calibri" w:eastAsia="Calibri" w:hAnsi="Calibri" w:cs="Calibri" w:hint="default"/>
        <w:w w:val="100"/>
        <w:sz w:val="22"/>
        <w:szCs w:val="22"/>
        <w:lang w:val="en-US" w:eastAsia="en-US" w:bidi="en-US"/>
      </w:rPr>
    </w:lvl>
    <w:lvl w:ilvl="1" w:tplc="3152905E">
      <w:numFmt w:val="bullet"/>
      <w:lvlText w:val="•"/>
      <w:lvlJc w:val="left"/>
      <w:pPr>
        <w:ind w:left="434" w:hanging="721"/>
      </w:pPr>
      <w:rPr>
        <w:rFonts w:hint="default"/>
        <w:lang w:val="en-US" w:eastAsia="en-US" w:bidi="en-US"/>
      </w:rPr>
    </w:lvl>
    <w:lvl w:ilvl="2" w:tplc="CA386864">
      <w:numFmt w:val="bullet"/>
      <w:lvlText w:val="•"/>
      <w:lvlJc w:val="left"/>
      <w:pPr>
        <w:ind w:left="769" w:hanging="721"/>
      </w:pPr>
      <w:rPr>
        <w:rFonts w:hint="default"/>
        <w:lang w:val="en-US" w:eastAsia="en-US" w:bidi="en-US"/>
      </w:rPr>
    </w:lvl>
    <w:lvl w:ilvl="3" w:tplc="5E64BB26">
      <w:numFmt w:val="bullet"/>
      <w:lvlText w:val="•"/>
      <w:lvlJc w:val="left"/>
      <w:pPr>
        <w:ind w:left="1103" w:hanging="721"/>
      </w:pPr>
      <w:rPr>
        <w:rFonts w:hint="default"/>
        <w:lang w:val="en-US" w:eastAsia="en-US" w:bidi="en-US"/>
      </w:rPr>
    </w:lvl>
    <w:lvl w:ilvl="4" w:tplc="1C7E4D22">
      <w:numFmt w:val="bullet"/>
      <w:lvlText w:val="•"/>
      <w:lvlJc w:val="left"/>
      <w:pPr>
        <w:ind w:left="1438" w:hanging="721"/>
      </w:pPr>
      <w:rPr>
        <w:rFonts w:hint="default"/>
        <w:lang w:val="en-US" w:eastAsia="en-US" w:bidi="en-US"/>
      </w:rPr>
    </w:lvl>
    <w:lvl w:ilvl="5" w:tplc="617A193E">
      <w:numFmt w:val="bullet"/>
      <w:lvlText w:val="•"/>
      <w:lvlJc w:val="left"/>
      <w:pPr>
        <w:ind w:left="1772" w:hanging="721"/>
      </w:pPr>
      <w:rPr>
        <w:rFonts w:hint="default"/>
        <w:lang w:val="en-US" w:eastAsia="en-US" w:bidi="en-US"/>
      </w:rPr>
    </w:lvl>
    <w:lvl w:ilvl="6" w:tplc="AF78025A">
      <w:numFmt w:val="bullet"/>
      <w:lvlText w:val="•"/>
      <w:lvlJc w:val="left"/>
      <w:pPr>
        <w:ind w:left="2107" w:hanging="721"/>
      </w:pPr>
      <w:rPr>
        <w:rFonts w:hint="default"/>
        <w:lang w:val="en-US" w:eastAsia="en-US" w:bidi="en-US"/>
      </w:rPr>
    </w:lvl>
    <w:lvl w:ilvl="7" w:tplc="93CA3D0E">
      <w:numFmt w:val="bullet"/>
      <w:lvlText w:val="•"/>
      <w:lvlJc w:val="left"/>
      <w:pPr>
        <w:ind w:left="2441" w:hanging="721"/>
      </w:pPr>
      <w:rPr>
        <w:rFonts w:hint="default"/>
        <w:lang w:val="en-US" w:eastAsia="en-US" w:bidi="en-US"/>
      </w:rPr>
    </w:lvl>
    <w:lvl w:ilvl="8" w:tplc="B2505AB2">
      <w:numFmt w:val="bullet"/>
      <w:lvlText w:val="•"/>
      <w:lvlJc w:val="left"/>
      <w:pPr>
        <w:ind w:left="2776" w:hanging="721"/>
      </w:pPr>
      <w:rPr>
        <w:rFonts w:hint="default"/>
        <w:lang w:val="en-US" w:eastAsia="en-US" w:bidi="en-US"/>
      </w:rPr>
    </w:lvl>
  </w:abstractNum>
  <w:abstractNum w:abstractNumId="15" w15:restartNumberingAfterBreak="0">
    <w:nsid w:val="61AE1D09"/>
    <w:multiLevelType w:val="hybridMultilevel"/>
    <w:tmpl w:val="32320CBC"/>
    <w:lvl w:ilvl="0" w:tplc="0C403DCA">
      <w:numFmt w:val="bullet"/>
      <w:lvlText w:val="•"/>
      <w:lvlJc w:val="left"/>
      <w:pPr>
        <w:ind w:left="733" w:hanging="720"/>
      </w:pPr>
      <w:rPr>
        <w:rFonts w:ascii="Calibri" w:eastAsia="Calibri" w:hAnsi="Calibri" w:cs="Calibri" w:hint="default"/>
        <w:w w:val="100"/>
        <w:sz w:val="22"/>
        <w:szCs w:val="22"/>
        <w:lang w:val="en-US" w:eastAsia="en-US" w:bidi="en-US"/>
      </w:rPr>
    </w:lvl>
    <w:lvl w:ilvl="1" w:tplc="C0144E9C">
      <w:numFmt w:val="bullet"/>
      <w:lvlText w:val=""/>
      <w:lvlJc w:val="left"/>
      <w:pPr>
        <w:ind w:left="1453" w:hanging="360"/>
      </w:pPr>
      <w:rPr>
        <w:rFonts w:ascii="Symbol" w:eastAsia="Symbol" w:hAnsi="Symbol" w:cs="Symbol" w:hint="default"/>
        <w:w w:val="100"/>
        <w:sz w:val="22"/>
        <w:szCs w:val="22"/>
        <w:lang w:val="en-US" w:eastAsia="en-US" w:bidi="en-US"/>
      </w:rPr>
    </w:lvl>
    <w:lvl w:ilvl="2" w:tplc="31088ED4">
      <w:numFmt w:val="bullet"/>
      <w:lvlText w:val="•"/>
      <w:lvlJc w:val="left"/>
      <w:pPr>
        <w:ind w:left="2496" w:hanging="360"/>
      </w:pPr>
      <w:rPr>
        <w:rFonts w:hint="default"/>
        <w:lang w:val="en-US" w:eastAsia="en-US" w:bidi="en-US"/>
      </w:rPr>
    </w:lvl>
    <w:lvl w:ilvl="3" w:tplc="D1D69038">
      <w:numFmt w:val="bullet"/>
      <w:lvlText w:val="•"/>
      <w:lvlJc w:val="left"/>
      <w:pPr>
        <w:ind w:left="3532" w:hanging="360"/>
      </w:pPr>
      <w:rPr>
        <w:rFonts w:hint="default"/>
        <w:lang w:val="en-US" w:eastAsia="en-US" w:bidi="en-US"/>
      </w:rPr>
    </w:lvl>
    <w:lvl w:ilvl="4" w:tplc="56C64AF8">
      <w:numFmt w:val="bullet"/>
      <w:lvlText w:val="•"/>
      <w:lvlJc w:val="left"/>
      <w:pPr>
        <w:ind w:left="4568" w:hanging="360"/>
      </w:pPr>
      <w:rPr>
        <w:rFonts w:hint="default"/>
        <w:lang w:val="en-US" w:eastAsia="en-US" w:bidi="en-US"/>
      </w:rPr>
    </w:lvl>
    <w:lvl w:ilvl="5" w:tplc="7B6AF7F6">
      <w:numFmt w:val="bullet"/>
      <w:lvlText w:val="•"/>
      <w:lvlJc w:val="left"/>
      <w:pPr>
        <w:ind w:left="5605" w:hanging="360"/>
      </w:pPr>
      <w:rPr>
        <w:rFonts w:hint="default"/>
        <w:lang w:val="en-US" w:eastAsia="en-US" w:bidi="en-US"/>
      </w:rPr>
    </w:lvl>
    <w:lvl w:ilvl="6" w:tplc="5B46E016">
      <w:numFmt w:val="bullet"/>
      <w:lvlText w:val="•"/>
      <w:lvlJc w:val="left"/>
      <w:pPr>
        <w:ind w:left="6641" w:hanging="360"/>
      </w:pPr>
      <w:rPr>
        <w:rFonts w:hint="default"/>
        <w:lang w:val="en-US" w:eastAsia="en-US" w:bidi="en-US"/>
      </w:rPr>
    </w:lvl>
    <w:lvl w:ilvl="7" w:tplc="5BA8CD42">
      <w:numFmt w:val="bullet"/>
      <w:lvlText w:val="•"/>
      <w:lvlJc w:val="left"/>
      <w:pPr>
        <w:ind w:left="7677" w:hanging="360"/>
      </w:pPr>
      <w:rPr>
        <w:rFonts w:hint="default"/>
        <w:lang w:val="en-US" w:eastAsia="en-US" w:bidi="en-US"/>
      </w:rPr>
    </w:lvl>
    <w:lvl w:ilvl="8" w:tplc="026080FC">
      <w:numFmt w:val="bullet"/>
      <w:lvlText w:val="•"/>
      <w:lvlJc w:val="left"/>
      <w:pPr>
        <w:ind w:left="8713" w:hanging="360"/>
      </w:pPr>
      <w:rPr>
        <w:rFonts w:hint="default"/>
        <w:lang w:val="en-US" w:eastAsia="en-US" w:bidi="en-US"/>
      </w:rPr>
    </w:lvl>
  </w:abstractNum>
  <w:abstractNum w:abstractNumId="16" w15:restartNumberingAfterBreak="0">
    <w:nsid w:val="6B8A4A87"/>
    <w:multiLevelType w:val="hybridMultilevel"/>
    <w:tmpl w:val="E6CE025E"/>
    <w:lvl w:ilvl="0" w:tplc="272E5640">
      <w:numFmt w:val="bullet"/>
      <w:lvlText w:val="•"/>
      <w:lvlJc w:val="left"/>
      <w:pPr>
        <w:ind w:left="107" w:hanging="720"/>
      </w:pPr>
      <w:rPr>
        <w:rFonts w:ascii="Calibri" w:eastAsia="Calibri" w:hAnsi="Calibri" w:cs="Calibri" w:hint="default"/>
        <w:w w:val="100"/>
        <w:sz w:val="22"/>
        <w:szCs w:val="22"/>
        <w:lang w:val="en-US" w:eastAsia="en-US" w:bidi="en-US"/>
      </w:rPr>
    </w:lvl>
    <w:lvl w:ilvl="1" w:tplc="3EF6EFF8">
      <w:numFmt w:val="bullet"/>
      <w:lvlText w:val="•"/>
      <w:lvlJc w:val="left"/>
      <w:pPr>
        <w:ind w:left="327" w:hanging="720"/>
      </w:pPr>
      <w:rPr>
        <w:rFonts w:hint="default"/>
        <w:lang w:val="en-US" w:eastAsia="en-US" w:bidi="en-US"/>
      </w:rPr>
    </w:lvl>
    <w:lvl w:ilvl="2" w:tplc="974247DE">
      <w:numFmt w:val="bullet"/>
      <w:lvlText w:val="•"/>
      <w:lvlJc w:val="left"/>
      <w:pPr>
        <w:ind w:left="554" w:hanging="720"/>
      </w:pPr>
      <w:rPr>
        <w:rFonts w:hint="default"/>
        <w:lang w:val="en-US" w:eastAsia="en-US" w:bidi="en-US"/>
      </w:rPr>
    </w:lvl>
    <w:lvl w:ilvl="3" w:tplc="93A47C7E">
      <w:numFmt w:val="bullet"/>
      <w:lvlText w:val="•"/>
      <w:lvlJc w:val="left"/>
      <w:pPr>
        <w:ind w:left="781" w:hanging="720"/>
      </w:pPr>
      <w:rPr>
        <w:rFonts w:hint="default"/>
        <w:lang w:val="en-US" w:eastAsia="en-US" w:bidi="en-US"/>
      </w:rPr>
    </w:lvl>
    <w:lvl w:ilvl="4" w:tplc="65C6F86E">
      <w:numFmt w:val="bullet"/>
      <w:lvlText w:val="•"/>
      <w:lvlJc w:val="left"/>
      <w:pPr>
        <w:ind w:left="1008" w:hanging="720"/>
      </w:pPr>
      <w:rPr>
        <w:rFonts w:hint="default"/>
        <w:lang w:val="en-US" w:eastAsia="en-US" w:bidi="en-US"/>
      </w:rPr>
    </w:lvl>
    <w:lvl w:ilvl="5" w:tplc="3840472C">
      <w:numFmt w:val="bullet"/>
      <w:lvlText w:val="•"/>
      <w:lvlJc w:val="left"/>
      <w:pPr>
        <w:ind w:left="1235" w:hanging="720"/>
      </w:pPr>
      <w:rPr>
        <w:rFonts w:hint="default"/>
        <w:lang w:val="en-US" w:eastAsia="en-US" w:bidi="en-US"/>
      </w:rPr>
    </w:lvl>
    <w:lvl w:ilvl="6" w:tplc="E8D601C6">
      <w:numFmt w:val="bullet"/>
      <w:lvlText w:val="•"/>
      <w:lvlJc w:val="left"/>
      <w:pPr>
        <w:ind w:left="1462" w:hanging="720"/>
      </w:pPr>
      <w:rPr>
        <w:rFonts w:hint="default"/>
        <w:lang w:val="en-US" w:eastAsia="en-US" w:bidi="en-US"/>
      </w:rPr>
    </w:lvl>
    <w:lvl w:ilvl="7" w:tplc="4F807B8E">
      <w:numFmt w:val="bullet"/>
      <w:lvlText w:val="•"/>
      <w:lvlJc w:val="left"/>
      <w:pPr>
        <w:ind w:left="1689" w:hanging="720"/>
      </w:pPr>
      <w:rPr>
        <w:rFonts w:hint="default"/>
        <w:lang w:val="en-US" w:eastAsia="en-US" w:bidi="en-US"/>
      </w:rPr>
    </w:lvl>
    <w:lvl w:ilvl="8" w:tplc="63A2939C">
      <w:numFmt w:val="bullet"/>
      <w:lvlText w:val="•"/>
      <w:lvlJc w:val="left"/>
      <w:pPr>
        <w:ind w:left="1916" w:hanging="720"/>
      </w:pPr>
      <w:rPr>
        <w:rFonts w:hint="default"/>
        <w:lang w:val="en-US" w:eastAsia="en-US" w:bidi="en-US"/>
      </w:rPr>
    </w:lvl>
  </w:abstractNum>
  <w:abstractNum w:abstractNumId="17" w15:restartNumberingAfterBreak="0">
    <w:nsid w:val="6E120872"/>
    <w:multiLevelType w:val="hybridMultilevel"/>
    <w:tmpl w:val="4D74BF6C"/>
    <w:lvl w:ilvl="0" w:tplc="258CF12E">
      <w:numFmt w:val="bullet"/>
      <w:lvlText w:val="•"/>
      <w:lvlJc w:val="left"/>
      <w:pPr>
        <w:ind w:left="107" w:hanging="720"/>
      </w:pPr>
      <w:rPr>
        <w:rFonts w:ascii="Calibri" w:eastAsia="Calibri" w:hAnsi="Calibri" w:cs="Calibri" w:hint="default"/>
        <w:w w:val="100"/>
        <w:sz w:val="22"/>
        <w:szCs w:val="22"/>
        <w:lang w:val="en-US" w:eastAsia="en-US" w:bidi="en-US"/>
      </w:rPr>
    </w:lvl>
    <w:lvl w:ilvl="1" w:tplc="F30A45D8">
      <w:numFmt w:val="bullet"/>
      <w:lvlText w:val="•"/>
      <w:lvlJc w:val="left"/>
      <w:pPr>
        <w:ind w:left="327" w:hanging="720"/>
      </w:pPr>
      <w:rPr>
        <w:rFonts w:hint="default"/>
        <w:lang w:val="en-US" w:eastAsia="en-US" w:bidi="en-US"/>
      </w:rPr>
    </w:lvl>
    <w:lvl w:ilvl="2" w:tplc="FAB0BB36">
      <w:numFmt w:val="bullet"/>
      <w:lvlText w:val="•"/>
      <w:lvlJc w:val="left"/>
      <w:pPr>
        <w:ind w:left="554" w:hanging="720"/>
      </w:pPr>
      <w:rPr>
        <w:rFonts w:hint="default"/>
        <w:lang w:val="en-US" w:eastAsia="en-US" w:bidi="en-US"/>
      </w:rPr>
    </w:lvl>
    <w:lvl w:ilvl="3" w:tplc="78025122">
      <w:numFmt w:val="bullet"/>
      <w:lvlText w:val="•"/>
      <w:lvlJc w:val="left"/>
      <w:pPr>
        <w:ind w:left="781" w:hanging="720"/>
      </w:pPr>
      <w:rPr>
        <w:rFonts w:hint="default"/>
        <w:lang w:val="en-US" w:eastAsia="en-US" w:bidi="en-US"/>
      </w:rPr>
    </w:lvl>
    <w:lvl w:ilvl="4" w:tplc="20282768">
      <w:numFmt w:val="bullet"/>
      <w:lvlText w:val="•"/>
      <w:lvlJc w:val="left"/>
      <w:pPr>
        <w:ind w:left="1008" w:hanging="720"/>
      </w:pPr>
      <w:rPr>
        <w:rFonts w:hint="default"/>
        <w:lang w:val="en-US" w:eastAsia="en-US" w:bidi="en-US"/>
      </w:rPr>
    </w:lvl>
    <w:lvl w:ilvl="5" w:tplc="3D8CA4F8">
      <w:numFmt w:val="bullet"/>
      <w:lvlText w:val="•"/>
      <w:lvlJc w:val="left"/>
      <w:pPr>
        <w:ind w:left="1235" w:hanging="720"/>
      </w:pPr>
      <w:rPr>
        <w:rFonts w:hint="default"/>
        <w:lang w:val="en-US" w:eastAsia="en-US" w:bidi="en-US"/>
      </w:rPr>
    </w:lvl>
    <w:lvl w:ilvl="6" w:tplc="57C21A96">
      <w:numFmt w:val="bullet"/>
      <w:lvlText w:val="•"/>
      <w:lvlJc w:val="left"/>
      <w:pPr>
        <w:ind w:left="1462" w:hanging="720"/>
      </w:pPr>
      <w:rPr>
        <w:rFonts w:hint="default"/>
        <w:lang w:val="en-US" w:eastAsia="en-US" w:bidi="en-US"/>
      </w:rPr>
    </w:lvl>
    <w:lvl w:ilvl="7" w:tplc="7276721E">
      <w:numFmt w:val="bullet"/>
      <w:lvlText w:val="•"/>
      <w:lvlJc w:val="left"/>
      <w:pPr>
        <w:ind w:left="1689" w:hanging="720"/>
      </w:pPr>
      <w:rPr>
        <w:rFonts w:hint="default"/>
        <w:lang w:val="en-US" w:eastAsia="en-US" w:bidi="en-US"/>
      </w:rPr>
    </w:lvl>
    <w:lvl w:ilvl="8" w:tplc="4336D822">
      <w:numFmt w:val="bullet"/>
      <w:lvlText w:val="•"/>
      <w:lvlJc w:val="left"/>
      <w:pPr>
        <w:ind w:left="1916" w:hanging="720"/>
      </w:pPr>
      <w:rPr>
        <w:rFonts w:hint="default"/>
        <w:lang w:val="en-US" w:eastAsia="en-US" w:bidi="en-US"/>
      </w:rPr>
    </w:lvl>
  </w:abstractNum>
  <w:abstractNum w:abstractNumId="18" w15:restartNumberingAfterBreak="0">
    <w:nsid w:val="7B8B4709"/>
    <w:multiLevelType w:val="hybridMultilevel"/>
    <w:tmpl w:val="AAAC0F96"/>
    <w:lvl w:ilvl="0" w:tplc="502C0D50">
      <w:numFmt w:val="bullet"/>
      <w:lvlText w:val="•"/>
      <w:lvlJc w:val="left"/>
      <w:pPr>
        <w:ind w:left="110" w:hanging="720"/>
      </w:pPr>
      <w:rPr>
        <w:rFonts w:ascii="Calibri" w:eastAsia="Calibri" w:hAnsi="Calibri" w:cs="Calibri" w:hint="default"/>
        <w:w w:val="100"/>
        <w:sz w:val="22"/>
        <w:szCs w:val="22"/>
        <w:lang w:val="en-US" w:eastAsia="en-US" w:bidi="en-US"/>
      </w:rPr>
    </w:lvl>
    <w:lvl w:ilvl="1" w:tplc="00F87D34">
      <w:numFmt w:val="bullet"/>
      <w:lvlText w:val="•"/>
      <w:lvlJc w:val="left"/>
      <w:pPr>
        <w:ind w:left="558" w:hanging="720"/>
      </w:pPr>
      <w:rPr>
        <w:rFonts w:hint="default"/>
        <w:lang w:val="en-US" w:eastAsia="en-US" w:bidi="en-US"/>
      </w:rPr>
    </w:lvl>
    <w:lvl w:ilvl="2" w:tplc="9AAEB010">
      <w:numFmt w:val="bullet"/>
      <w:lvlText w:val="•"/>
      <w:lvlJc w:val="left"/>
      <w:pPr>
        <w:ind w:left="996" w:hanging="720"/>
      </w:pPr>
      <w:rPr>
        <w:rFonts w:hint="default"/>
        <w:lang w:val="en-US" w:eastAsia="en-US" w:bidi="en-US"/>
      </w:rPr>
    </w:lvl>
    <w:lvl w:ilvl="3" w:tplc="F5A8C0F6">
      <w:numFmt w:val="bullet"/>
      <w:lvlText w:val="•"/>
      <w:lvlJc w:val="left"/>
      <w:pPr>
        <w:ind w:left="1434" w:hanging="720"/>
      </w:pPr>
      <w:rPr>
        <w:rFonts w:hint="default"/>
        <w:lang w:val="en-US" w:eastAsia="en-US" w:bidi="en-US"/>
      </w:rPr>
    </w:lvl>
    <w:lvl w:ilvl="4" w:tplc="24400936">
      <w:numFmt w:val="bullet"/>
      <w:lvlText w:val="•"/>
      <w:lvlJc w:val="left"/>
      <w:pPr>
        <w:ind w:left="1872" w:hanging="720"/>
      </w:pPr>
      <w:rPr>
        <w:rFonts w:hint="default"/>
        <w:lang w:val="en-US" w:eastAsia="en-US" w:bidi="en-US"/>
      </w:rPr>
    </w:lvl>
    <w:lvl w:ilvl="5" w:tplc="B34A9EEE">
      <w:numFmt w:val="bullet"/>
      <w:lvlText w:val="•"/>
      <w:lvlJc w:val="left"/>
      <w:pPr>
        <w:ind w:left="2310" w:hanging="720"/>
      </w:pPr>
      <w:rPr>
        <w:rFonts w:hint="default"/>
        <w:lang w:val="en-US" w:eastAsia="en-US" w:bidi="en-US"/>
      </w:rPr>
    </w:lvl>
    <w:lvl w:ilvl="6" w:tplc="B9D003C4">
      <w:numFmt w:val="bullet"/>
      <w:lvlText w:val="•"/>
      <w:lvlJc w:val="left"/>
      <w:pPr>
        <w:ind w:left="2748" w:hanging="720"/>
      </w:pPr>
      <w:rPr>
        <w:rFonts w:hint="default"/>
        <w:lang w:val="en-US" w:eastAsia="en-US" w:bidi="en-US"/>
      </w:rPr>
    </w:lvl>
    <w:lvl w:ilvl="7" w:tplc="C172C774">
      <w:numFmt w:val="bullet"/>
      <w:lvlText w:val="•"/>
      <w:lvlJc w:val="left"/>
      <w:pPr>
        <w:ind w:left="3186" w:hanging="720"/>
      </w:pPr>
      <w:rPr>
        <w:rFonts w:hint="default"/>
        <w:lang w:val="en-US" w:eastAsia="en-US" w:bidi="en-US"/>
      </w:rPr>
    </w:lvl>
    <w:lvl w:ilvl="8" w:tplc="646AAFDE">
      <w:numFmt w:val="bullet"/>
      <w:lvlText w:val="•"/>
      <w:lvlJc w:val="left"/>
      <w:pPr>
        <w:ind w:left="3624" w:hanging="720"/>
      </w:pPr>
      <w:rPr>
        <w:rFonts w:hint="default"/>
        <w:lang w:val="en-US" w:eastAsia="en-US" w:bidi="en-US"/>
      </w:rPr>
    </w:lvl>
  </w:abstractNum>
  <w:abstractNum w:abstractNumId="19" w15:restartNumberingAfterBreak="0">
    <w:nsid w:val="7E584FC1"/>
    <w:multiLevelType w:val="hybridMultilevel"/>
    <w:tmpl w:val="D63665F6"/>
    <w:lvl w:ilvl="0" w:tplc="2B12BDF0">
      <w:start w:val="1"/>
      <w:numFmt w:val="decimal"/>
      <w:lvlText w:val="%1)"/>
      <w:lvlJc w:val="left"/>
      <w:pPr>
        <w:ind w:left="1299" w:hanging="284"/>
        <w:jc w:val="left"/>
      </w:pPr>
      <w:rPr>
        <w:rFonts w:ascii="Calibri" w:eastAsia="Calibri" w:hAnsi="Calibri" w:cs="Calibri" w:hint="default"/>
        <w:w w:val="100"/>
        <w:sz w:val="22"/>
        <w:szCs w:val="22"/>
        <w:lang w:val="en-US" w:eastAsia="en-US" w:bidi="en-US"/>
      </w:rPr>
    </w:lvl>
    <w:lvl w:ilvl="1" w:tplc="414C6996">
      <w:numFmt w:val="bullet"/>
      <w:lvlText w:val="•"/>
      <w:lvlJc w:val="left"/>
      <w:pPr>
        <w:ind w:left="2248" w:hanging="284"/>
      </w:pPr>
      <w:rPr>
        <w:rFonts w:hint="default"/>
        <w:lang w:val="en-US" w:eastAsia="en-US" w:bidi="en-US"/>
      </w:rPr>
    </w:lvl>
    <w:lvl w:ilvl="2" w:tplc="0FF0C62C">
      <w:numFmt w:val="bullet"/>
      <w:lvlText w:val="•"/>
      <w:lvlJc w:val="left"/>
      <w:pPr>
        <w:ind w:left="3197" w:hanging="284"/>
      </w:pPr>
      <w:rPr>
        <w:rFonts w:hint="default"/>
        <w:lang w:val="en-US" w:eastAsia="en-US" w:bidi="en-US"/>
      </w:rPr>
    </w:lvl>
    <w:lvl w:ilvl="3" w:tplc="0AEC3E82">
      <w:numFmt w:val="bullet"/>
      <w:lvlText w:val="•"/>
      <w:lvlJc w:val="left"/>
      <w:pPr>
        <w:ind w:left="4145" w:hanging="284"/>
      </w:pPr>
      <w:rPr>
        <w:rFonts w:hint="default"/>
        <w:lang w:val="en-US" w:eastAsia="en-US" w:bidi="en-US"/>
      </w:rPr>
    </w:lvl>
    <w:lvl w:ilvl="4" w:tplc="8F787CEE">
      <w:numFmt w:val="bullet"/>
      <w:lvlText w:val="•"/>
      <w:lvlJc w:val="left"/>
      <w:pPr>
        <w:ind w:left="5094" w:hanging="284"/>
      </w:pPr>
      <w:rPr>
        <w:rFonts w:hint="default"/>
        <w:lang w:val="en-US" w:eastAsia="en-US" w:bidi="en-US"/>
      </w:rPr>
    </w:lvl>
    <w:lvl w:ilvl="5" w:tplc="5BB47F6E">
      <w:numFmt w:val="bullet"/>
      <w:lvlText w:val="•"/>
      <w:lvlJc w:val="left"/>
      <w:pPr>
        <w:ind w:left="6043" w:hanging="284"/>
      </w:pPr>
      <w:rPr>
        <w:rFonts w:hint="default"/>
        <w:lang w:val="en-US" w:eastAsia="en-US" w:bidi="en-US"/>
      </w:rPr>
    </w:lvl>
    <w:lvl w:ilvl="6" w:tplc="3FE6BF8E">
      <w:numFmt w:val="bullet"/>
      <w:lvlText w:val="•"/>
      <w:lvlJc w:val="left"/>
      <w:pPr>
        <w:ind w:left="6991" w:hanging="284"/>
      </w:pPr>
      <w:rPr>
        <w:rFonts w:hint="default"/>
        <w:lang w:val="en-US" w:eastAsia="en-US" w:bidi="en-US"/>
      </w:rPr>
    </w:lvl>
    <w:lvl w:ilvl="7" w:tplc="59462552">
      <w:numFmt w:val="bullet"/>
      <w:lvlText w:val="•"/>
      <w:lvlJc w:val="left"/>
      <w:pPr>
        <w:ind w:left="7940" w:hanging="284"/>
      </w:pPr>
      <w:rPr>
        <w:rFonts w:hint="default"/>
        <w:lang w:val="en-US" w:eastAsia="en-US" w:bidi="en-US"/>
      </w:rPr>
    </w:lvl>
    <w:lvl w:ilvl="8" w:tplc="3BE083D2">
      <w:numFmt w:val="bullet"/>
      <w:lvlText w:val="•"/>
      <w:lvlJc w:val="left"/>
      <w:pPr>
        <w:ind w:left="8889" w:hanging="284"/>
      </w:pPr>
      <w:rPr>
        <w:rFonts w:hint="default"/>
        <w:lang w:val="en-US" w:eastAsia="en-US" w:bidi="en-US"/>
      </w:rPr>
    </w:lvl>
  </w:abstractNum>
  <w:num w:numId="1" w16cid:durableId="110250977">
    <w:abstractNumId w:val="13"/>
  </w:num>
  <w:num w:numId="2" w16cid:durableId="1377394685">
    <w:abstractNumId w:val="15"/>
  </w:num>
  <w:num w:numId="3" w16cid:durableId="553780203">
    <w:abstractNumId w:val="4"/>
  </w:num>
  <w:num w:numId="4" w16cid:durableId="1925794287">
    <w:abstractNumId w:val="8"/>
  </w:num>
  <w:num w:numId="5" w16cid:durableId="182012727">
    <w:abstractNumId w:val="1"/>
  </w:num>
  <w:num w:numId="6" w16cid:durableId="2052223948">
    <w:abstractNumId w:val="18"/>
  </w:num>
  <w:num w:numId="7" w16cid:durableId="1407339992">
    <w:abstractNumId w:val="10"/>
  </w:num>
  <w:num w:numId="8" w16cid:durableId="1266304982">
    <w:abstractNumId w:val="11"/>
  </w:num>
  <w:num w:numId="9" w16cid:durableId="1371346396">
    <w:abstractNumId w:val="2"/>
  </w:num>
  <w:num w:numId="10" w16cid:durableId="1555048060">
    <w:abstractNumId w:val="16"/>
  </w:num>
  <w:num w:numId="11" w16cid:durableId="1926331791">
    <w:abstractNumId w:val="14"/>
  </w:num>
  <w:num w:numId="12" w16cid:durableId="1312563497">
    <w:abstractNumId w:val="12"/>
  </w:num>
  <w:num w:numId="13" w16cid:durableId="964853379">
    <w:abstractNumId w:val="17"/>
  </w:num>
  <w:num w:numId="14" w16cid:durableId="1782533673">
    <w:abstractNumId w:val="6"/>
  </w:num>
  <w:num w:numId="15" w16cid:durableId="225916205">
    <w:abstractNumId w:val="7"/>
  </w:num>
  <w:num w:numId="16" w16cid:durableId="475952074">
    <w:abstractNumId w:val="0"/>
  </w:num>
  <w:num w:numId="17" w16cid:durableId="77027186">
    <w:abstractNumId w:val="19"/>
  </w:num>
  <w:num w:numId="18" w16cid:durableId="684792718">
    <w:abstractNumId w:val="9"/>
  </w:num>
  <w:num w:numId="19" w16cid:durableId="717705981">
    <w:abstractNumId w:val="3"/>
  </w:num>
  <w:num w:numId="20" w16cid:durableId="696781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F7"/>
    <w:rsid w:val="000B5561"/>
    <w:rsid w:val="00294027"/>
    <w:rsid w:val="002C4268"/>
    <w:rsid w:val="003A2310"/>
    <w:rsid w:val="003F2A64"/>
    <w:rsid w:val="004D4917"/>
    <w:rsid w:val="004E71E8"/>
    <w:rsid w:val="007733F4"/>
    <w:rsid w:val="007F6DF7"/>
    <w:rsid w:val="00865548"/>
    <w:rsid w:val="00887B3E"/>
    <w:rsid w:val="008D632C"/>
    <w:rsid w:val="009903A4"/>
    <w:rsid w:val="009B1EA0"/>
    <w:rsid w:val="00A25F02"/>
    <w:rsid w:val="00CC59F6"/>
    <w:rsid w:val="00DC4B55"/>
    <w:rsid w:val="00E74912"/>
    <w:rsid w:val="00F362D3"/>
    <w:rsid w:val="00F64141"/>
    <w:rsid w:val="1530EC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A2663"/>
  <w15:docId w15:val="{9EB20710-0A23-47AC-BB17-0CDC0798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44"/>
      <w:ind w:left="1299" w:hanging="566"/>
      <w:outlineLvl w:val="0"/>
    </w:pPr>
    <w:rPr>
      <w:b/>
      <w:bCs/>
      <w:sz w:val="28"/>
      <w:szCs w:val="28"/>
    </w:rPr>
  </w:style>
  <w:style w:type="paragraph" w:styleId="Heading2">
    <w:name w:val="heading 2"/>
    <w:basedOn w:val="Normal"/>
    <w:uiPriority w:val="9"/>
    <w:unhideWhenUsed/>
    <w:qFormat/>
    <w:pPr>
      <w:spacing w:before="119"/>
      <w:ind w:left="1453" w:hanging="720"/>
      <w:outlineLvl w:val="1"/>
    </w:pPr>
    <w:rPr>
      <w:b/>
      <w:bCs/>
      <w:sz w:val="24"/>
      <w:szCs w:val="24"/>
    </w:rPr>
  </w:style>
  <w:style w:type="paragraph" w:styleId="Heading3">
    <w:name w:val="heading 3"/>
    <w:basedOn w:val="Normal"/>
    <w:uiPriority w:val="9"/>
    <w:unhideWhenUsed/>
    <w:qFormat/>
    <w:pPr>
      <w:ind w:left="73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1174" w:hanging="660"/>
    </w:pPr>
  </w:style>
  <w:style w:type="paragraph" w:styleId="BodyText">
    <w:name w:val="Body Text"/>
    <w:basedOn w:val="Normal"/>
    <w:uiPriority w:val="1"/>
    <w:qFormat/>
  </w:style>
  <w:style w:type="paragraph" w:styleId="ListParagraph">
    <w:name w:val="List Paragraph"/>
    <w:basedOn w:val="Normal"/>
    <w:uiPriority w:val="1"/>
    <w:qFormat/>
    <w:pPr>
      <w:spacing w:before="61"/>
      <w:ind w:left="145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62D3"/>
    <w:rPr>
      <w:color w:val="0000FF" w:themeColor="hyperlink"/>
      <w:u w:val="single"/>
    </w:rPr>
  </w:style>
  <w:style w:type="character" w:styleId="UnresolvedMention">
    <w:name w:val="Unresolved Mention"/>
    <w:basedOn w:val="DefaultParagraphFont"/>
    <w:uiPriority w:val="99"/>
    <w:semiHidden/>
    <w:unhideWhenUsed/>
    <w:rsid w:val="00F362D3"/>
    <w:rPr>
      <w:color w:val="605E5C"/>
      <w:shd w:val="clear" w:color="auto" w:fill="E1DFDD"/>
    </w:rPr>
  </w:style>
  <w:style w:type="paragraph" w:styleId="Header">
    <w:name w:val="header"/>
    <w:basedOn w:val="Normal"/>
    <w:link w:val="HeaderChar"/>
    <w:uiPriority w:val="99"/>
    <w:unhideWhenUsed/>
    <w:rsid w:val="003A2310"/>
    <w:pPr>
      <w:tabs>
        <w:tab w:val="center" w:pos="4513"/>
        <w:tab w:val="right" w:pos="9026"/>
      </w:tabs>
    </w:pPr>
  </w:style>
  <w:style w:type="character" w:customStyle="1" w:styleId="HeaderChar">
    <w:name w:val="Header Char"/>
    <w:basedOn w:val="DefaultParagraphFont"/>
    <w:link w:val="Header"/>
    <w:uiPriority w:val="99"/>
    <w:rsid w:val="003A2310"/>
    <w:rPr>
      <w:rFonts w:ascii="Calibri" w:eastAsia="Calibri" w:hAnsi="Calibri" w:cs="Calibri"/>
      <w:lang w:bidi="en-US"/>
    </w:rPr>
  </w:style>
  <w:style w:type="paragraph" w:styleId="Footer">
    <w:name w:val="footer"/>
    <w:basedOn w:val="Normal"/>
    <w:link w:val="FooterChar"/>
    <w:uiPriority w:val="99"/>
    <w:unhideWhenUsed/>
    <w:rsid w:val="003A2310"/>
    <w:pPr>
      <w:tabs>
        <w:tab w:val="center" w:pos="4513"/>
        <w:tab w:val="right" w:pos="9026"/>
      </w:tabs>
    </w:pPr>
  </w:style>
  <w:style w:type="character" w:customStyle="1" w:styleId="FooterChar">
    <w:name w:val="Footer Char"/>
    <w:basedOn w:val="DefaultParagraphFont"/>
    <w:link w:val="Footer"/>
    <w:uiPriority w:val="99"/>
    <w:rsid w:val="003A2310"/>
    <w:rPr>
      <w:rFonts w:ascii="Calibri" w:eastAsia="Calibri" w:hAnsi="Calibri" w:cs="Calibri"/>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51651">
      <w:bodyDiv w:val="1"/>
      <w:marLeft w:val="0"/>
      <w:marRight w:val="0"/>
      <w:marTop w:val="0"/>
      <w:marBottom w:val="0"/>
      <w:divBdr>
        <w:top w:val="none" w:sz="0" w:space="0" w:color="auto"/>
        <w:left w:val="none" w:sz="0" w:space="0" w:color="auto"/>
        <w:bottom w:val="none" w:sz="0" w:space="0" w:color="auto"/>
        <w:right w:val="none" w:sz="0" w:space="0" w:color="auto"/>
      </w:divBdr>
    </w:div>
    <w:div w:id="1971978810">
      <w:bodyDiv w:val="1"/>
      <w:marLeft w:val="0"/>
      <w:marRight w:val="0"/>
      <w:marTop w:val="0"/>
      <w:marBottom w:val="0"/>
      <w:divBdr>
        <w:top w:val="none" w:sz="0" w:space="0" w:color="auto"/>
        <w:left w:val="none" w:sz="0" w:space="0" w:color="auto"/>
        <w:bottom w:val="none" w:sz="0" w:space="0" w:color="auto"/>
        <w:right w:val="none" w:sz="0" w:space="0" w:color="auto"/>
      </w:divBdr>
    </w:div>
    <w:div w:id="2114473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atapharmltd.b2clogin.com/datapharmltd.onmicrosoft.com/oauth2/v2.0/authorize?p=b2c_1a_signin_emc&amp;amp;client_id=aa96291e-b580-4aac-a70b-6a008287f3d7&amp;amp;redirect_uri=https%3A%2F%2Fwww.medicines.org.uk%2Femc%2Fsignin-oidc&amp;amp;response_type=id_token&amp;amp;scope=openid%20profile&amp;amp;response_mode=form_post&amp;amp;nonce=638500797032319864.M2FlMTY3MWYtNzM1Ny00ODU4LThiNTQtZGIzNDRiNjhkM2FmZDY4NDk4NzItYzc4ZS00NDkxLWI0ZmQtYTRkYWMzZDU5MGU4&amp;amp;state=CfDJ8M7u9MACbsFCjIh7JF1swbF9pfXpiRM0zlQzSkoKHWq0C6dsPHcb8K798a9SKtR--6cDNabKYPKS79oYwq66kBfNogbb7DVcHCGZg_XwpJTc1UGc8worSMj3G6BuBI7VkDmIRg-npuUYPoeOOsDKkyLpMtNLse9BbemjETF1FYeVU5qDq4EkGVi3F631yC_N6O44EvPAXgko4wu9dTE3RsCxGU2d-_60jCxiJKmBL7GF855NrpKKKOjsi-Co4dQHvyXii8f5CV9eWiXYqj3mZJ4UxMGxP1Lt1a_89vnwEUpq8v3bDC_wqRi7aCuRF6_tTz9qNV1RiFN4NZ9IA78mbkKCe8QEyyMPMnIYXpC3ph6vRTNxM5NGvRbSPeQYMYk50g&amp;amp;x-client-SKU=ID_NET6_0&amp;amp;x-client-ver=6.31.0.0" TargetMode="External"/><Relationship Id="rId26" Type="http://schemas.openxmlformats.org/officeDocument/2006/relationships/hyperlink" Target="https://bnf.nice.org.uk/" TargetMode="External"/><Relationship Id="rId39" Type="http://schemas.openxmlformats.org/officeDocument/2006/relationships/header" Target="header10.xml"/><Relationship Id="rId21" Type="http://schemas.openxmlformats.org/officeDocument/2006/relationships/hyperlink" Target="http://www.medicines.org.uk/" TargetMode="External"/><Relationship Id="rId34" Type="http://schemas.openxmlformats.org/officeDocument/2006/relationships/header" Target="header9.xml"/><Relationship Id="rId42" Type="http://schemas.openxmlformats.org/officeDocument/2006/relationships/header" Target="header12.xml"/><Relationship Id="rId47" Type="http://schemas.openxmlformats.org/officeDocument/2006/relationships/hyperlink" Target="https://www.medicinesinpregnancy.org/" TargetMode="External"/><Relationship Id="rId50" Type="http://schemas.openxmlformats.org/officeDocument/2006/relationships/hyperlink" Target="http://www/" TargetMode="External"/><Relationship Id="rId55" Type="http://schemas.openxmlformats.org/officeDocument/2006/relationships/header" Target="header16.xml"/><Relationship Id="rId63" Type="http://schemas.openxmlformats.org/officeDocument/2006/relationships/hyperlink" Target="https://www.nice.org.uk/guidance/ng87" TargetMode="External"/><Relationship Id="rId68" Type="http://schemas.openxmlformats.org/officeDocument/2006/relationships/hyperlink" Target="https://www.england.nhs.uk/medicines-2/regional-medicines-optimisation-committees-advice/shared-care-protocols/" TargetMode="External"/><Relationship Id="rId76" Type="http://schemas.openxmlformats.org/officeDocument/2006/relationships/hyperlink" Target="https://www.england.nhs.uk/medicines-2/regional-medicines-optimisation-committees-advice/shared-care-protocols/" TargetMode="External"/><Relationship Id="rId84" Type="http://schemas.openxmlformats.org/officeDocument/2006/relationships/hyperlink" Target="mailto:adult.adhd@candi.nhs.uk" TargetMode="External"/><Relationship Id="rId89"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england.nhs.uk/medicines-2/regional-medicines-optimisation-committees-advice/shared-care-protocols/" TargetMode="External"/><Relationship Id="rId92" Type="http://schemas.openxmlformats.org/officeDocument/2006/relationships/header" Target="header26.xml"/><Relationship Id="rId2" Type="http://schemas.openxmlformats.org/officeDocument/2006/relationships/customXml" Target="../customXml/item2.xml"/><Relationship Id="rId16" Type="http://schemas.openxmlformats.org/officeDocument/2006/relationships/hyperlink" Target="https://www.gov.uk/adhd-and-driving" TargetMode="External"/><Relationship Id="rId29" Type="http://schemas.openxmlformats.org/officeDocument/2006/relationships/hyperlink" Target="https://www.medicines.org.uk/emc/" TargetMode="Externa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yperlink" Target="https://www.medicines.org.uk/emc/" TargetMode="External"/><Relationship Id="rId37" Type="http://schemas.openxmlformats.org/officeDocument/2006/relationships/hyperlink" Target="https://bnf.nice.org.uk/" TargetMode="External"/><Relationship Id="rId40" Type="http://schemas.openxmlformats.org/officeDocument/2006/relationships/hyperlink" Target="https://www.nice.org.uk/guidance/ng87" TargetMode="External"/><Relationship Id="rId45" Type="http://schemas.openxmlformats.org/officeDocument/2006/relationships/header" Target="header13.xml"/><Relationship Id="rId53" Type="http://schemas.openxmlformats.org/officeDocument/2006/relationships/hyperlink" Target="https://www.ncbi.nlm.nih.gov/books/NBK501922/" TargetMode="External"/><Relationship Id="rId58" Type="http://schemas.openxmlformats.org/officeDocument/2006/relationships/hyperlink" Target="https://www.medicines.org.uk/emc/" TargetMode="External"/><Relationship Id="rId66" Type="http://schemas.openxmlformats.org/officeDocument/2006/relationships/hyperlink" Target="https://www.gov.uk/drug-safety-update/methylphenidate-long-acting-modified-release-preparations-caution-if-switching-between-products-due-to-differences-in-formulations" TargetMode="External"/><Relationship Id="rId74" Type="http://schemas.openxmlformats.org/officeDocument/2006/relationships/hyperlink" Target="https://www.england.nhs.uk/medicines-2/regional-medicines-optimisation-committees-advice/shared-care-protocols/" TargetMode="External"/><Relationship Id="rId79" Type="http://schemas.openxmlformats.org/officeDocument/2006/relationships/hyperlink" Target="https://gps.northcentrallondon.icb.nhs.uk/adhd-patients-right-to-choose-care-provider" TargetMode="External"/><Relationship Id="rId87" Type="http://schemas.openxmlformats.org/officeDocument/2006/relationships/hyperlink" Target="mailto:NCL.perinatal@candi.nhs.uk" TargetMode="External"/><Relationship Id="rId5" Type="http://schemas.openxmlformats.org/officeDocument/2006/relationships/numbering" Target="numbering.xml"/><Relationship Id="rId61" Type="http://schemas.openxmlformats.org/officeDocument/2006/relationships/header" Target="header20.xml"/><Relationship Id="rId82" Type="http://schemas.openxmlformats.org/officeDocument/2006/relationships/hyperlink" Target="https://www.choiceandmedication.org/candi/" TargetMode="External"/><Relationship Id="rId90" Type="http://schemas.openxmlformats.org/officeDocument/2006/relationships/hyperlink" Target="https://nclhealthandcare.org.uk/our-workingareas/medicines-optimisation/shared-care-guidelinesand-factsheets/" TargetMode="External"/><Relationship Id="rId95" Type="http://schemas.openxmlformats.org/officeDocument/2006/relationships/theme" Target="theme/theme1.xml"/><Relationship Id="rId19" Type="http://schemas.openxmlformats.org/officeDocument/2006/relationships/hyperlink" Target="https://bnf.nice.org.uk/" TargetMode="External"/><Relationship Id="rId14" Type="http://schemas.openxmlformats.org/officeDocument/2006/relationships/header" Target="header2.xml"/><Relationship Id="rId22" Type="http://schemas.openxmlformats.org/officeDocument/2006/relationships/hyperlink" Target="https://www.sps.nhs.uk/" TargetMode="External"/><Relationship Id="rId27" Type="http://schemas.openxmlformats.org/officeDocument/2006/relationships/hyperlink" Target="https://www.medicines.org.uk/emc/" TargetMode="External"/><Relationship Id="rId30" Type="http://schemas.openxmlformats.org/officeDocument/2006/relationships/header" Target="header7.xml"/><Relationship Id="rId35" Type="http://schemas.openxmlformats.org/officeDocument/2006/relationships/hyperlink" Target="https://www.nice.org.uk/guidance/ng87" TargetMode="External"/><Relationship Id="rId43" Type="http://schemas.openxmlformats.org/officeDocument/2006/relationships/hyperlink" Target="https://yellowcard.mhra.gov.uk/" TargetMode="External"/><Relationship Id="rId48" Type="http://schemas.openxmlformats.org/officeDocument/2006/relationships/hyperlink" Target="https://www.medicinesinpregnancy.org/Medicine--pregnancy/Methylphenidate/" TargetMode="External"/><Relationship Id="rId56" Type="http://schemas.openxmlformats.org/officeDocument/2006/relationships/header" Target="header17.xml"/><Relationship Id="rId64" Type="http://schemas.openxmlformats.org/officeDocument/2006/relationships/hyperlink" Target="https://bnf.nice.org.uk/" TargetMode="External"/><Relationship Id="rId69" Type="http://schemas.openxmlformats.org/officeDocument/2006/relationships/hyperlink" Target="https://www.england.nhs.uk/medicines-2/regional-medicines-optimisation-committees-advice/shared-care-protocols/" TargetMode="External"/><Relationship Id="rId77" Type="http://schemas.openxmlformats.org/officeDocument/2006/relationships/hyperlink" Target="https://uktis.org/monographs/use-of-methylphenidate-in-pregnancy/" TargetMode="External"/><Relationship Id="rId8" Type="http://schemas.openxmlformats.org/officeDocument/2006/relationships/webSettings" Target="webSettings.xml"/><Relationship Id="rId51" Type="http://schemas.openxmlformats.org/officeDocument/2006/relationships/header" Target="header15.xml"/><Relationship Id="rId72" Type="http://schemas.openxmlformats.org/officeDocument/2006/relationships/hyperlink" Target="https://www.england.nhs.uk/medicines-2/regional-medicines-optimisation-committees-advice/shared-care-protocols/" TargetMode="External"/><Relationship Id="rId80" Type="http://schemas.openxmlformats.org/officeDocument/2006/relationships/hyperlink" Target="https://www.rcpsych.ac.uk/mental-health/problems-disorders/adhd-in-adults" TargetMode="External"/><Relationship Id="rId85" Type="http://schemas.openxmlformats.org/officeDocument/2006/relationships/header" Target="header23.xml"/><Relationship Id="rId93"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gov.uk/drug-safety-update/methylphenidate-long-acting-modified-release-preparations-caution-if-switching-between-products-due-to-differences-in-formulations" TargetMode="External"/><Relationship Id="rId33" Type="http://schemas.openxmlformats.org/officeDocument/2006/relationships/header" Target="header8.xml"/><Relationship Id="rId38" Type="http://schemas.openxmlformats.org/officeDocument/2006/relationships/hyperlink" Target="https://www.medicines.org.uk/emc/" TargetMode="External"/><Relationship Id="rId46" Type="http://schemas.openxmlformats.org/officeDocument/2006/relationships/header" Target="header14.xml"/><Relationship Id="rId59" Type="http://schemas.openxmlformats.org/officeDocument/2006/relationships/hyperlink" Target="https://www.medicines.org.uk/emc/" TargetMode="External"/><Relationship Id="rId67" Type="http://schemas.openxmlformats.org/officeDocument/2006/relationships/hyperlink" Target="https://www.gov.uk/drug-safety-update/methylphenidate-long-acting-modified-release-preparations-caution-if-switching-between-products-due-to-differences-in-formulations" TargetMode="External"/><Relationship Id="rId20" Type="http://schemas.openxmlformats.org/officeDocument/2006/relationships/hyperlink" Target="https://www.medicines.org.uk/emc/" TargetMode="External"/><Relationship Id="rId41" Type="http://schemas.openxmlformats.org/officeDocument/2006/relationships/header" Target="header11.xml"/><Relationship Id="rId54" Type="http://schemas.openxmlformats.org/officeDocument/2006/relationships/hyperlink" Target="https://www.ncbi.nlm.nih.gov/books/NBK501922/" TargetMode="External"/><Relationship Id="rId62" Type="http://schemas.openxmlformats.org/officeDocument/2006/relationships/header" Target="header21.xml"/><Relationship Id="rId70" Type="http://schemas.openxmlformats.org/officeDocument/2006/relationships/hyperlink" Target="https://www.england.nhs.uk/medicines-2/regional-medicines-optimisation-committees-advice/shared-care-protocols/" TargetMode="External"/><Relationship Id="rId75" Type="http://schemas.openxmlformats.org/officeDocument/2006/relationships/header" Target="header22.xml"/><Relationship Id="rId83" Type="http://schemas.openxmlformats.org/officeDocument/2006/relationships/hyperlink" Target="https://www.medicinesinpregnancy.org/" TargetMode="External"/><Relationship Id="rId88" Type="http://schemas.openxmlformats.org/officeDocument/2006/relationships/header" Target="header24.xml"/><Relationship Id="rId9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gps.northcentrallondon.icb.nhs.uk/prescribing-guidelines/adhd-medicines-shortage-ncl-memo" TargetMode="External"/><Relationship Id="rId28" Type="http://schemas.openxmlformats.org/officeDocument/2006/relationships/header" Target="header6.xml"/><Relationship Id="rId36" Type="http://schemas.openxmlformats.org/officeDocument/2006/relationships/hyperlink" Target="https://www.nice.org.uk/guidance/ng87" TargetMode="External"/><Relationship Id="rId49" Type="http://schemas.openxmlformats.org/officeDocument/2006/relationships/hyperlink" Target="https://www.ncbi.nlm.nih.gov/books/NBK501922/" TargetMode="External"/><Relationship Id="rId57"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hyperlink" Target="https://www.medicines.org.uk/emc/" TargetMode="External"/><Relationship Id="rId44" Type="http://schemas.openxmlformats.org/officeDocument/2006/relationships/hyperlink" Target="https://www.medicines.org.uk/emc/" TargetMode="External"/><Relationship Id="rId52" Type="http://schemas.openxmlformats.org/officeDocument/2006/relationships/hyperlink" Target="https://www.medicinesinpregnancy.org/" TargetMode="External"/><Relationship Id="rId60" Type="http://schemas.openxmlformats.org/officeDocument/2006/relationships/header" Target="header19.xml"/><Relationship Id="rId65" Type="http://schemas.openxmlformats.org/officeDocument/2006/relationships/hyperlink" Target="http://www.medicines.org.uk/" TargetMode="External"/><Relationship Id="rId73" Type="http://schemas.openxmlformats.org/officeDocument/2006/relationships/hyperlink" Target="https://www.england.nhs.uk/medicines-2/regional-medicines-optimisation-committees-advice/shared-care-protocols/" TargetMode="External"/><Relationship Id="rId78" Type="http://schemas.openxmlformats.org/officeDocument/2006/relationships/hyperlink" Target="https://uktis.org/monographs/use-of-atomoxetine-in-pregnancy/" TargetMode="External"/><Relationship Id="rId81" Type="http://schemas.openxmlformats.org/officeDocument/2006/relationships/hyperlink" Target="https://www.nhs.uk/conditions/attention-deficit-hyperactivity-disorder-adhd/" TargetMode="External"/><Relationship Id="rId86" Type="http://schemas.openxmlformats.org/officeDocument/2006/relationships/footer" Target="footer2.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904F1CA799A4EB2B8E1B37AAB5F88" ma:contentTypeVersion="15" ma:contentTypeDescription="Create a new document." ma:contentTypeScope="" ma:versionID="68b24d3637d6a5c659dc80ae5480cbd5">
  <xsd:schema xmlns:xsd="http://www.w3.org/2001/XMLSchema" xmlns:xs="http://www.w3.org/2001/XMLSchema" xmlns:p="http://schemas.microsoft.com/office/2006/metadata/properties" xmlns:ns1="http://schemas.microsoft.com/sharepoint/v3" xmlns:ns2="de37781b-99aa-4df2-92c5-14938be939e3" xmlns:ns3="c3ed8bc8-98dc-4f3f-bb05-b9d1322e6f3e" targetNamespace="http://schemas.microsoft.com/office/2006/metadata/properties" ma:root="true" ma:fieldsID="5e76c79c60318825641f1c9026d75667" ns1:_="" ns2:_="" ns3:_="">
    <xsd:import namespace="http://schemas.microsoft.com/sharepoint/v3"/>
    <xsd:import namespace="de37781b-99aa-4df2-92c5-14938be939e3"/>
    <xsd:import namespace="c3ed8bc8-98dc-4f3f-bb05-b9d1322e6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7781b-99aa-4df2-92c5-14938be9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d8bc8-98dc-4f3f-bb05-b9d1322e6f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e37781b-99aa-4df2-92c5-14938be939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1A31C-C9DE-4D80-99EE-0B1AA5EEC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37781b-99aa-4df2-92c5-14938be939e3"/>
    <ds:schemaRef ds:uri="c3ed8bc8-98dc-4f3f-bb05-b9d1322e6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81AB7-6AE9-4C1B-AC2D-9451C2F83CD2}">
  <ds:schemaRefs>
    <ds:schemaRef ds:uri="http://schemas.microsoft.com/sharepoint/v3/contenttype/forms"/>
  </ds:schemaRefs>
</ds:datastoreItem>
</file>

<file path=customXml/itemProps3.xml><?xml version="1.0" encoding="utf-8"?>
<ds:datastoreItem xmlns:ds="http://schemas.openxmlformats.org/officeDocument/2006/customXml" ds:itemID="{3E117184-50A0-4FDA-BBAE-4D0AF5450F79}">
  <ds:schemaRefs>
    <ds:schemaRef ds:uri="http://purl.org/dc/elements/1.1/"/>
    <ds:schemaRef ds:uri="http://schemas.microsoft.com/office/2006/metadata/properties"/>
    <ds:schemaRef ds:uri="c3ed8bc8-98dc-4f3f-bb05-b9d1322e6f3e"/>
    <ds:schemaRef ds:uri="de37781b-99aa-4df2-92c5-14938be939e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95E6A6D4-F5D1-4E60-B691-64AF698A99E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9670</Words>
  <Characters>55124</Characters>
  <Application>Microsoft Office Word</Application>
  <DocSecurity>0</DocSecurity>
  <Lines>459</Lines>
  <Paragraphs>129</Paragraphs>
  <ScaleCrop>false</ScaleCrop>
  <Company>UCLH</Company>
  <LinksUpToDate>false</LinksUpToDate>
  <CharactersWithSpaces>64665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&lt;&lt;Add Title. Not more than 4 lines. Drop font size as necessary to fit in box&gt;&gt;</dc:title>
  <dc:subject>….</dc:subject>
  <dc:creator>Gurps</dc:creator>
  <cp:lastModifiedBy>NCL-MON, Admin (UNIVERSITY COLLEGE LONDON HOSPITALS NHS FOUNDATION TRUST)</cp:lastModifiedBy>
  <cp:revision>2</cp:revision>
  <cp:lastPrinted>2024-10-24T15:25:00Z</cp:lastPrinted>
  <dcterms:created xsi:type="dcterms:W3CDTF">2024-10-24T15:26:00Z</dcterms:created>
  <dcterms:modified xsi:type="dcterms:W3CDTF">2024-10-24T15:26:00Z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2024-06-30T00:00:00Z</vt:filetime>
  </property>
  <property fmtid="{D5CDD505-2E9C-101B-9397-08002B2CF9AE}" pid="3" name="Creator">
    <vt:lpwstr>Microsoft® Word for Microsoft 365</vt:lpwstr>
  </property>
  <property fmtid="{D5CDD505-2E9C-101B-9397-08002B2CF9AE}" pid="4" name="LastSaved">
    <vt:filetime>2024-07-22T00:00:00Z</vt:filetime>
  </property>
  <property fmtid="{D5CDD505-2E9C-101B-9397-08002B2CF9AE}" pid="5" name="ContentTypeId">
    <vt:lpwstr>0x0101002D0904F1CA799A4EB2B8E1B37AAB5F88</vt:lpwstr>
  </property>
  <property fmtid="{D5CDD505-2E9C-101B-9397-08002B2CF9AE}" pid="6" name="MediaServiceImageTags">
    <vt:lpwstr/>
  </property>
</Properties>
</file>