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4F7E" w14:textId="77777777" w:rsidR="00AF0506" w:rsidRDefault="00AF0506"/>
    <w:tbl>
      <w:tblPr>
        <w:tblpPr w:leftFromText="180" w:rightFromText="180" w:vertAnchor="text" w:horzAnchor="margin" w:tblpYSpec="top"/>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9302"/>
      </w:tblGrid>
      <w:tr w:rsidR="00C27844" w14:paraId="5D647F55" w14:textId="77777777" w:rsidTr="00AD5403">
        <w:tc>
          <w:tcPr>
            <w:tcW w:w="9446" w:type="dxa"/>
            <w:tcBorders>
              <w:top w:val="single" w:sz="12" w:space="0" w:color="C0C0C0"/>
              <w:left w:val="single" w:sz="12" w:space="0" w:color="C0C0C0"/>
              <w:bottom w:val="single" w:sz="12" w:space="0" w:color="C0C0C0"/>
              <w:right w:val="single" w:sz="12" w:space="0" w:color="C0C0C0"/>
            </w:tcBorders>
            <w:shd w:val="clear" w:color="auto" w:fill="F3F3F3"/>
            <w:tcMar>
              <w:top w:w="57" w:type="dxa"/>
              <w:left w:w="57" w:type="dxa"/>
              <w:bottom w:w="57" w:type="dxa"/>
              <w:right w:w="57" w:type="dxa"/>
            </w:tcMar>
            <w:vAlign w:val="center"/>
          </w:tcPr>
          <w:p w14:paraId="14215271" w14:textId="77777777" w:rsidR="00C27844" w:rsidRDefault="00CC0BCE" w:rsidP="00AD5403">
            <w:pPr>
              <w:spacing w:after="0"/>
              <w:jc w:val="center"/>
              <w:rPr>
                <w:rFonts w:cs="Arial"/>
                <w:b/>
                <w:color w:val="333333"/>
                <w:spacing w:val="30"/>
                <w:sz w:val="22"/>
                <w:szCs w:val="22"/>
              </w:rPr>
            </w:pPr>
            <w:r>
              <w:rPr>
                <w:rFonts w:cs="Arial"/>
                <w:b/>
                <w:color w:val="333333"/>
                <w:spacing w:val="30"/>
                <w:sz w:val="22"/>
                <w:szCs w:val="22"/>
              </w:rPr>
              <w:t xml:space="preserve">Drug Name (Brand Name®, </w:t>
            </w:r>
            <w:r w:rsidRPr="00AC02B8">
              <w:rPr>
                <w:rFonts w:cs="Arial"/>
                <w:b/>
                <w:i/>
                <w:color w:val="333333"/>
                <w:spacing w:val="30"/>
                <w:sz w:val="22"/>
                <w:szCs w:val="22"/>
              </w:rPr>
              <w:t>Manufacturer</w:t>
            </w:r>
            <w:r>
              <w:rPr>
                <w:rFonts w:cs="Arial"/>
                <w:b/>
                <w:color w:val="333333"/>
                <w:spacing w:val="30"/>
                <w:sz w:val="22"/>
                <w:szCs w:val="22"/>
              </w:rPr>
              <w:t>): Indication</w:t>
            </w:r>
          </w:p>
        </w:tc>
      </w:tr>
    </w:tbl>
    <w:p w14:paraId="7375C840" w14:textId="77777777" w:rsidR="00624F18" w:rsidRPr="006264E2" w:rsidRDefault="00624F18" w:rsidP="006264E2">
      <w:pPr>
        <w:pStyle w:val="NCLHeading1"/>
      </w:pPr>
      <w:r w:rsidRPr="006264E2">
        <w:t>Summary</w:t>
      </w:r>
    </w:p>
    <w:p w14:paraId="0890406E" w14:textId="77777777" w:rsidR="00624F18" w:rsidRDefault="00624F18" w:rsidP="00624F18">
      <w:pPr>
        <w:pStyle w:val="NCLBodyText"/>
      </w:pPr>
      <w:r w:rsidRPr="00000A09">
        <w:t xml:space="preserve">Summarise, based on the considerations </w:t>
      </w:r>
      <w:r>
        <w:t>in the evaluation</w:t>
      </w:r>
      <w:r w:rsidRPr="00000A09">
        <w:t>, whether the drug should be adopted for use.  Consider whether, for example, particular stopping criteria or use under evaluation should be considered. Include place in therapy and alternative treatments where available.</w:t>
      </w:r>
    </w:p>
    <w:p w14:paraId="21047522" w14:textId="77777777" w:rsidR="00067D65" w:rsidRDefault="00067D65" w:rsidP="00624F18">
      <w:pPr>
        <w:pStyle w:val="NCLBodyText"/>
      </w:pPr>
    </w:p>
    <w:p w14:paraId="430E6388" w14:textId="77777777" w:rsidR="00624F18" w:rsidRPr="006264E2" w:rsidRDefault="00624F18" w:rsidP="006264E2">
      <w:pPr>
        <w:pStyle w:val="NCLBodyText"/>
      </w:pPr>
      <w:r w:rsidRPr="006264E2">
        <w:t xml:space="preserve">Outline three key questions for </w:t>
      </w:r>
      <w:r w:rsidR="009B5A2E" w:rsidRPr="006264E2">
        <w:t xml:space="preserve">the </w:t>
      </w:r>
      <w:r w:rsidRPr="006264E2">
        <w:t xml:space="preserve">Committee </w:t>
      </w:r>
      <w:r w:rsidR="009B5A2E" w:rsidRPr="006264E2">
        <w:t>to consider</w:t>
      </w:r>
    </w:p>
    <w:p w14:paraId="1A0D2B81" w14:textId="77777777" w:rsidR="00624F18" w:rsidRDefault="00624F18" w:rsidP="00624F18">
      <w:pPr>
        <w:pStyle w:val="NCLBodyText"/>
      </w:pPr>
    </w:p>
    <w:tbl>
      <w:tblPr>
        <w:tblStyle w:val="ReportTable"/>
        <w:tblW w:w="9606" w:type="dxa"/>
        <w:tblLook w:val="0420" w:firstRow="1" w:lastRow="0" w:firstColumn="0" w:lastColumn="0" w:noHBand="0" w:noVBand="1"/>
      </w:tblPr>
      <w:tblGrid>
        <w:gridCol w:w="3074"/>
        <w:gridCol w:w="578"/>
        <w:gridCol w:w="5954"/>
      </w:tblGrid>
      <w:tr w:rsidR="00624F18" w:rsidRPr="00A1322D" w14:paraId="2F25F613" w14:textId="77777777" w:rsidTr="00FE62CB">
        <w:trPr>
          <w:cnfStyle w:val="100000000000" w:firstRow="1" w:lastRow="0" w:firstColumn="0" w:lastColumn="0" w:oddVBand="0" w:evenVBand="0" w:oddHBand="0" w:evenHBand="0" w:firstRowFirstColumn="0" w:firstRowLastColumn="0" w:lastRowFirstColumn="0" w:lastRowLastColumn="0"/>
          <w:trHeight w:val="311"/>
        </w:trPr>
        <w:tc>
          <w:tcPr>
            <w:tcW w:w="3074" w:type="dxa"/>
            <w:hideMark/>
          </w:tcPr>
          <w:p w14:paraId="064AB834" w14:textId="77777777" w:rsidR="00624F18" w:rsidRPr="00A1322D" w:rsidRDefault="00624F18" w:rsidP="00FE62CB">
            <w:pPr>
              <w:pStyle w:val="NCLTableText"/>
            </w:pPr>
            <w:r w:rsidRPr="00A1322D">
              <w:t>Drug</w:t>
            </w:r>
          </w:p>
        </w:tc>
        <w:tc>
          <w:tcPr>
            <w:tcW w:w="578" w:type="dxa"/>
            <w:hideMark/>
          </w:tcPr>
          <w:p w14:paraId="7B89492D" w14:textId="77777777" w:rsidR="00624F18" w:rsidRPr="00A1322D" w:rsidRDefault="00624F18" w:rsidP="00FE62CB">
            <w:pPr>
              <w:pStyle w:val="NCLTableText"/>
            </w:pPr>
            <w:r w:rsidRPr="00A1322D">
              <w:t>RAG</w:t>
            </w:r>
          </w:p>
        </w:tc>
        <w:tc>
          <w:tcPr>
            <w:tcW w:w="5954" w:type="dxa"/>
            <w:hideMark/>
          </w:tcPr>
          <w:p w14:paraId="5CC93C95" w14:textId="77777777" w:rsidR="00624F18" w:rsidRPr="00A1322D" w:rsidRDefault="00624F18" w:rsidP="00FE62CB">
            <w:pPr>
              <w:pStyle w:val="NCLTableText"/>
            </w:pPr>
            <w:r w:rsidRPr="00A1322D">
              <w:t>Information</w:t>
            </w:r>
          </w:p>
        </w:tc>
      </w:tr>
      <w:tr w:rsidR="00624F18" w:rsidRPr="00A1322D" w14:paraId="083C6AFC" w14:textId="77777777" w:rsidTr="00FE62CB">
        <w:trPr>
          <w:trHeight w:val="203"/>
        </w:trPr>
        <w:tc>
          <w:tcPr>
            <w:tcW w:w="3074" w:type="dxa"/>
            <w:hideMark/>
          </w:tcPr>
          <w:p w14:paraId="5E5DF77D" w14:textId="77777777" w:rsidR="00624F18" w:rsidRPr="00A1322D" w:rsidRDefault="00624F18" w:rsidP="00FE62CB">
            <w:pPr>
              <w:pStyle w:val="NCLTableText"/>
            </w:pPr>
            <w:commentRangeStart w:id="0"/>
            <w:r w:rsidRPr="00A1322D">
              <w:t>Efficacy vs. placebo</w:t>
            </w:r>
            <w:commentRangeEnd w:id="0"/>
            <w:r>
              <w:rPr>
                <w:rStyle w:val="CommentReference"/>
                <w:rFonts w:cstheme="minorBidi"/>
              </w:rPr>
              <w:commentReference w:id="0"/>
            </w:r>
          </w:p>
        </w:tc>
        <w:tc>
          <w:tcPr>
            <w:tcW w:w="578" w:type="dxa"/>
            <w:hideMark/>
          </w:tcPr>
          <w:p w14:paraId="55EC6647" w14:textId="77777777" w:rsidR="00624F18" w:rsidRPr="00A1322D" w:rsidRDefault="00624F18" w:rsidP="00FE62CB">
            <w:pPr>
              <w:pStyle w:val="NCLTableText"/>
            </w:pPr>
          </w:p>
        </w:tc>
        <w:tc>
          <w:tcPr>
            <w:tcW w:w="5954" w:type="dxa"/>
            <w:hideMark/>
          </w:tcPr>
          <w:p w14:paraId="691C92E6" w14:textId="77777777" w:rsidR="00624F18" w:rsidRPr="00A1322D" w:rsidRDefault="00624F18" w:rsidP="00FE62CB">
            <w:pPr>
              <w:pStyle w:val="NCLTableText"/>
            </w:pPr>
          </w:p>
        </w:tc>
      </w:tr>
      <w:tr w:rsidR="00624F18" w:rsidRPr="00A1322D" w14:paraId="1C2F8BE9" w14:textId="77777777" w:rsidTr="00FE62CB">
        <w:trPr>
          <w:trHeight w:val="408"/>
        </w:trPr>
        <w:tc>
          <w:tcPr>
            <w:tcW w:w="3074" w:type="dxa"/>
            <w:hideMark/>
          </w:tcPr>
          <w:p w14:paraId="10E0E877" w14:textId="77777777" w:rsidR="00624F18" w:rsidRPr="00A1322D" w:rsidRDefault="00624F18" w:rsidP="00FE62CB">
            <w:pPr>
              <w:pStyle w:val="NCLTableText"/>
            </w:pPr>
            <w:r w:rsidRPr="00A1322D">
              <w:t>Efficacy vs. relevant comparator</w:t>
            </w:r>
          </w:p>
        </w:tc>
        <w:tc>
          <w:tcPr>
            <w:tcW w:w="578" w:type="dxa"/>
            <w:hideMark/>
          </w:tcPr>
          <w:p w14:paraId="1F42E96F" w14:textId="77777777" w:rsidR="00624F18" w:rsidRPr="00A1322D" w:rsidRDefault="00624F18" w:rsidP="00FE62CB">
            <w:pPr>
              <w:pStyle w:val="NCLTableText"/>
            </w:pPr>
          </w:p>
        </w:tc>
        <w:tc>
          <w:tcPr>
            <w:tcW w:w="5954" w:type="dxa"/>
            <w:hideMark/>
          </w:tcPr>
          <w:p w14:paraId="650216BF" w14:textId="77777777" w:rsidR="00624F18" w:rsidRPr="00A1322D" w:rsidRDefault="00624F18" w:rsidP="00FE62CB">
            <w:pPr>
              <w:pStyle w:val="NCLTableText"/>
            </w:pPr>
          </w:p>
        </w:tc>
      </w:tr>
      <w:tr w:rsidR="00624F18" w:rsidRPr="00A1322D" w14:paraId="55B52CE4" w14:textId="77777777" w:rsidTr="00FE62CB">
        <w:trPr>
          <w:trHeight w:val="130"/>
        </w:trPr>
        <w:tc>
          <w:tcPr>
            <w:tcW w:w="3074" w:type="dxa"/>
            <w:hideMark/>
          </w:tcPr>
          <w:p w14:paraId="67171A0C" w14:textId="77777777" w:rsidR="00624F18" w:rsidRPr="00A1322D" w:rsidRDefault="00624F18" w:rsidP="00FE62CB">
            <w:pPr>
              <w:pStyle w:val="NCLTableText"/>
            </w:pPr>
            <w:commentRangeStart w:id="1"/>
            <w:r w:rsidRPr="00A1322D">
              <w:t>Safety</w:t>
            </w:r>
            <w:commentRangeEnd w:id="1"/>
            <w:r>
              <w:rPr>
                <w:rStyle w:val="CommentReference"/>
                <w:rFonts w:cstheme="minorBidi"/>
              </w:rPr>
              <w:commentReference w:id="1"/>
            </w:r>
          </w:p>
        </w:tc>
        <w:tc>
          <w:tcPr>
            <w:tcW w:w="578" w:type="dxa"/>
            <w:hideMark/>
          </w:tcPr>
          <w:p w14:paraId="7C4F253C" w14:textId="77777777" w:rsidR="00624F18" w:rsidRPr="00A1322D" w:rsidRDefault="00624F18" w:rsidP="00FE62CB">
            <w:pPr>
              <w:pStyle w:val="NCLTableText"/>
            </w:pPr>
          </w:p>
        </w:tc>
        <w:tc>
          <w:tcPr>
            <w:tcW w:w="5954" w:type="dxa"/>
            <w:hideMark/>
          </w:tcPr>
          <w:p w14:paraId="035457B3" w14:textId="77777777" w:rsidR="00624F18" w:rsidRPr="00A1322D" w:rsidRDefault="00624F18" w:rsidP="00FE62CB">
            <w:pPr>
              <w:pStyle w:val="NCLTableText"/>
            </w:pPr>
          </w:p>
        </w:tc>
      </w:tr>
      <w:tr w:rsidR="00624F18" w:rsidRPr="00A1322D" w14:paraId="30406C89" w14:textId="77777777" w:rsidTr="00FE62CB">
        <w:trPr>
          <w:trHeight w:val="64"/>
        </w:trPr>
        <w:tc>
          <w:tcPr>
            <w:tcW w:w="3074" w:type="dxa"/>
            <w:hideMark/>
          </w:tcPr>
          <w:p w14:paraId="22880FE2" w14:textId="77777777" w:rsidR="00624F18" w:rsidRPr="00A1322D" w:rsidRDefault="00624F18" w:rsidP="00FE62CB">
            <w:pPr>
              <w:pStyle w:val="NCLTableText"/>
            </w:pPr>
            <w:commentRangeStart w:id="2"/>
            <w:r w:rsidRPr="00A1322D">
              <w:t>Convenience</w:t>
            </w:r>
            <w:commentRangeEnd w:id="2"/>
            <w:r>
              <w:rPr>
                <w:rStyle w:val="CommentReference"/>
                <w:rFonts w:cstheme="minorBidi"/>
              </w:rPr>
              <w:commentReference w:id="2"/>
            </w:r>
          </w:p>
        </w:tc>
        <w:tc>
          <w:tcPr>
            <w:tcW w:w="578" w:type="dxa"/>
            <w:hideMark/>
          </w:tcPr>
          <w:p w14:paraId="58D60E8B" w14:textId="77777777" w:rsidR="00624F18" w:rsidRPr="00A1322D" w:rsidRDefault="00624F18" w:rsidP="00FE62CB">
            <w:pPr>
              <w:pStyle w:val="NCLTableText"/>
            </w:pPr>
          </w:p>
        </w:tc>
        <w:tc>
          <w:tcPr>
            <w:tcW w:w="5954" w:type="dxa"/>
            <w:hideMark/>
          </w:tcPr>
          <w:p w14:paraId="26F8C23D" w14:textId="77777777" w:rsidR="00624F18" w:rsidRPr="00A1322D" w:rsidRDefault="00624F18" w:rsidP="00FE62CB">
            <w:pPr>
              <w:pStyle w:val="NCLTableText"/>
            </w:pPr>
          </w:p>
        </w:tc>
      </w:tr>
      <w:tr w:rsidR="00624F18" w:rsidRPr="00A1322D" w14:paraId="7F1D8F50" w14:textId="77777777" w:rsidTr="00FE62CB">
        <w:trPr>
          <w:trHeight w:val="64"/>
        </w:trPr>
        <w:tc>
          <w:tcPr>
            <w:tcW w:w="3074" w:type="dxa"/>
            <w:hideMark/>
          </w:tcPr>
          <w:p w14:paraId="32909D76" w14:textId="77777777" w:rsidR="00624F18" w:rsidRPr="00A1322D" w:rsidRDefault="00624F18" w:rsidP="00FE62CB">
            <w:pPr>
              <w:pStyle w:val="NCLTableText"/>
            </w:pPr>
            <w:commentRangeStart w:id="3"/>
            <w:r w:rsidRPr="00A1322D">
              <w:t>Budget impact for NCL</w:t>
            </w:r>
            <w:commentRangeEnd w:id="3"/>
            <w:r>
              <w:rPr>
                <w:rStyle w:val="CommentReference"/>
                <w:rFonts w:cstheme="minorBidi"/>
              </w:rPr>
              <w:commentReference w:id="3"/>
            </w:r>
          </w:p>
        </w:tc>
        <w:tc>
          <w:tcPr>
            <w:tcW w:w="578" w:type="dxa"/>
            <w:hideMark/>
          </w:tcPr>
          <w:p w14:paraId="70F57B9A" w14:textId="77777777" w:rsidR="00624F18" w:rsidRPr="00A1322D" w:rsidRDefault="00624F18" w:rsidP="00FE62CB">
            <w:pPr>
              <w:pStyle w:val="NCLTableText"/>
            </w:pPr>
          </w:p>
        </w:tc>
        <w:tc>
          <w:tcPr>
            <w:tcW w:w="5954" w:type="dxa"/>
            <w:hideMark/>
          </w:tcPr>
          <w:p w14:paraId="1493A494" w14:textId="77777777" w:rsidR="00624F18" w:rsidRPr="00A1322D" w:rsidRDefault="00624F18" w:rsidP="00FE62CB">
            <w:pPr>
              <w:pStyle w:val="NCLTableText"/>
            </w:pPr>
          </w:p>
        </w:tc>
      </w:tr>
      <w:tr w:rsidR="00624F18" w:rsidRPr="00A1322D" w14:paraId="377E90A8" w14:textId="77777777" w:rsidTr="00FE62CB">
        <w:trPr>
          <w:trHeight w:val="713"/>
        </w:trPr>
        <w:tc>
          <w:tcPr>
            <w:tcW w:w="3074" w:type="dxa"/>
            <w:hideMark/>
          </w:tcPr>
          <w:p w14:paraId="2C0FF031" w14:textId="77777777" w:rsidR="00624F18" w:rsidRPr="00A1322D" w:rsidRDefault="00624F18" w:rsidP="00FE62CB">
            <w:pPr>
              <w:pStyle w:val="NCLTableText"/>
            </w:pPr>
            <w:commentRangeStart w:id="4"/>
            <w:r w:rsidRPr="00A1322D">
              <w:t>Recommendation in national or international guidance</w:t>
            </w:r>
            <w:commentRangeEnd w:id="4"/>
            <w:r>
              <w:rPr>
                <w:rStyle w:val="CommentReference"/>
                <w:rFonts w:cstheme="minorBidi"/>
              </w:rPr>
              <w:commentReference w:id="4"/>
            </w:r>
          </w:p>
        </w:tc>
        <w:tc>
          <w:tcPr>
            <w:tcW w:w="578" w:type="dxa"/>
            <w:hideMark/>
          </w:tcPr>
          <w:p w14:paraId="7A7E52A7" w14:textId="77777777" w:rsidR="00624F18" w:rsidRPr="00A1322D" w:rsidRDefault="00624F18" w:rsidP="00FE62CB">
            <w:pPr>
              <w:pStyle w:val="NCLTableText"/>
            </w:pPr>
          </w:p>
        </w:tc>
        <w:tc>
          <w:tcPr>
            <w:tcW w:w="5954" w:type="dxa"/>
            <w:hideMark/>
          </w:tcPr>
          <w:p w14:paraId="5B35BC1D" w14:textId="77777777" w:rsidR="00624F18" w:rsidRPr="00A1322D" w:rsidRDefault="00624F18" w:rsidP="00FE62CB">
            <w:pPr>
              <w:pStyle w:val="NCLTableText"/>
            </w:pPr>
          </w:p>
        </w:tc>
      </w:tr>
    </w:tbl>
    <w:p w14:paraId="0D805AFF" w14:textId="77777777" w:rsidR="00D93CC9" w:rsidRDefault="00C27844" w:rsidP="006264E2">
      <w:pPr>
        <w:pStyle w:val="NCLHeading1"/>
      </w:pPr>
      <w:commentRangeStart w:id="5"/>
      <w:commentRangeStart w:id="6"/>
      <w:r w:rsidRPr="006264E2">
        <w:t>Background</w:t>
      </w:r>
      <w:r>
        <w:t xml:space="preserve"> </w:t>
      </w:r>
      <w:commentRangeEnd w:id="5"/>
      <w:r w:rsidR="00E506C9">
        <w:rPr>
          <w:rStyle w:val="CommentReference"/>
          <w:rFonts w:eastAsiaTheme="minorHAnsi" w:cstheme="minorBidi"/>
          <w:b w:val="0"/>
          <w:bCs w:val="0"/>
        </w:rPr>
        <w:commentReference w:id="5"/>
      </w:r>
      <w:commentRangeEnd w:id="6"/>
      <w:r w:rsidR="00744766">
        <w:rPr>
          <w:rStyle w:val="CommentReference"/>
          <w:rFonts w:eastAsiaTheme="minorHAnsi" w:cstheme="minorBidi"/>
          <w:b w:val="0"/>
          <w:bCs w:val="0"/>
        </w:rPr>
        <w:commentReference w:id="6"/>
      </w:r>
    </w:p>
    <w:p w14:paraId="102F9393" w14:textId="77777777" w:rsidR="005B2F03" w:rsidRPr="00B80692" w:rsidRDefault="00D93CC9" w:rsidP="00B80692">
      <w:pPr>
        <w:pStyle w:val="NCLBodyText"/>
      </w:pPr>
      <w:r w:rsidRPr="00B80692">
        <w:t xml:space="preserve">Summarise briefly the disease, the drug in question, and alternative treatments.  </w:t>
      </w:r>
      <w:r w:rsidR="00E92C31">
        <w:t xml:space="preserve">Consider whether the drug and indication are licensed / off-label / unlicensed. </w:t>
      </w:r>
      <w:r w:rsidRPr="00B80692">
        <w:t xml:space="preserve">With particular reference to the drug for review, outline briefly NICE guidance in the therapeutic area or other best practice guidance in the absence of NICE </w:t>
      </w:r>
      <w:r w:rsidR="005B2F03" w:rsidRPr="00B80692">
        <w:t>(</w:t>
      </w:r>
      <w:r w:rsidRPr="00B80692">
        <w:t xml:space="preserve">see </w:t>
      </w:r>
      <w:hyperlink r:id="rId15" w:history="1">
        <w:r w:rsidRPr="00AF0506">
          <w:rPr>
            <w:rStyle w:val="Hyperlink"/>
          </w:rPr>
          <w:t>UKMi</w:t>
        </w:r>
      </w:hyperlink>
      <w:r w:rsidR="005B2F03" w:rsidRPr="00B80692">
        <w:t>)</w:t>
      </w:r>
      <w:r w:rsidR="00000A09" w:rsidRPr="00B80692">
        <w:t>.</w:t>
      </w:r>
    </w:p>
    <w:p w14:paraId="0C3D24F4" w14:textId="77777777" w:rsidR="00C27844" w:rsidRDefault="00C27844" w:rsidP="00C27844">
      <w:pPr>
        <w:pStyle w:val="NCLHeading1"/>
      </w:pPr>
      <w:r>
        <w:t>Proposed place in therapy</w:t>
      </w:r>
    </w:p>
    <w:p w14:paraId="20BF611C" w14:textId="77777777" w:rsidR="00D93CC9" w:rsidRPr="00000A09" w:rsidRDefault="00D93CC9" w:rsidP="00000A09">
      <w:pPr>
        <w:pStyle w:val="NCLBodyText"/>
      </w:pPr>
      <w:commentRangeStart w:id="7"/>
      <w:r w:rsidRPr="00000A09">
        <w:t>Detail the proposed place in therapy as described by either the requesting clinician or the manufacturer; outline the nature of comparators</w:t>
      </w:r>
      <w:r w:rsidR="00000A09">
        <w:t>.</w:t>
      </w:r>
      <w:commentRangeEnd w:id="7"/>
      <w:r w:rsidR="00624F18">
        <w:rPr>
          <w:rStyle w:val="CommentReference"/>
          <w:rFonts w:cstheme="minorBidi"/>
        </w:rPr>
        <w:commentReference w:id="7"/>
      </w:r>
    </w:p>
    <w:p w14:paraId="68FD390D" w14:textId="77777777" w:rsidR="005B2F03" w:rsidRDefault="00C27844" w:rsidP="005B2F03">
      <w:pPr>
        <w:pStyle w:val="NCLHeading1"/>
      </w:pPr>
      <w:r>
        <w:t>Efficacy</w:t>
      </w:r>
    </w:p>
    <w:p w14:paraId="5582854F" w14:textId="77777777" w:rsidR="00D93CC9" w:rsidRPr="00000A09" w:rsidRDefault="00D93CC9" w:rsidP="00000A09">
      <w:pPr>
        <w:pStyle w:val="NCLBodyText"/>
      </w:pPr>
      <w:r w:rsidRPr="00000A09">
        <w:t xml:space="preserve">Outline and summarise the clinical literature reviewed.  Include a brief explanation of the trials included and the rationale for focusing on specific studies (for example, active comparator RCTs only may be considered, or a recent meta-analysis).  For included studies summarise key characteristics; for RCTs, for example:  </w:t>
      </w:r>
    </w:p>
    <w:p w14:paraId="0B40FC86" w14:textId="77777777" w:rsidR="00D93CC9" w:rsidRPr="00000A09" w:rsidRDefault="00D93CC9" w:rsidP="00F06FB9">
      <w:pPr>
        <w:pStyle w:val="ListBullet"/>
      </w:pPr>
      <w:r w:rsidRPr="00000A09">
        <w:t>The trial design including the population</w:t>
      </w:r>
      <w:r w:rsidR="00BE0D92">
        <w:t xml:space="preserve"> and any important inclusion/exclusion criteria</w:t>
      </w:r>
      <w:r w:rsidRPr="00000A09">
        <w:t xml:space="preserve">   </w:t>
      </w:r>
    </w:p>
    <w:p w14:paraId="57244578" w14:textId="77777777" w:rsidR="00D93CC9" w:rsidRPr="00000A09" w:rsidRDefault="00D93CC9" w:rsidP="00F06FB9">
      <w:pPr>
        <w:pStyle w:val="ListBullet"/>
      </w:pPr>
      <w:r w:rsidRPr="00000A09">
        <w:t xml:space="preserve">The number of subjects and the allocation process  </w:t>
      </w:r>
    </w:p>
    <w:p w14:paraId="2589ED8E" w14:textId="77777777" w:rsidR="00D93CC9" w:rsidRPr="00000A09" w:rsidRDefault="00D93CC9" w:rsidP="00F06FB9">
      <w:pPr>
        <w:pStyle w:val="ListBullet"/>
      </w:pPr>
      <w:r w:rsidRPr="00000A09">
        <w:t xml:space="preserve">The primary efficacy endpoint  </w:t>
      </w:r>
    </w:p>
    <w:p w14:paraId="376B15B6" w14:textId="77777777" w:rsidR="00D93CC9" w:rsidRPr="00000A09" w:rsidRDefault="00D93CC9" w:rsidP="00F06FB9">
      <w:pPr>
        <w:pStyle w:val="ListBullet"/>
      </w:pPr>
      <w:r w:rsidRPr="00000A09">
        <w:t xml:space="preserve">The key results and their statistical / clinical significance  </w:t>
      </w:r>
    </w:p>
    <w:p w14:paraId="222CB8A4" w14:textId="77777777" w:rsidR="00D93CC9" w:rsidRPr="00000A09" w:rsidRDefault="00D93CC9" w:rsidP="00000A09">
      <w:pPr>
        <w:pStyle w:val="NCLBodyText"/>
      </w:pPr>
      <w:r w:rsidRPr="00000A09">
        <w:lastRenderedPageBreak/>
        <w:t xml:space="preserve">Consider, for example, how internal and external validity of the trials might affect use in actual clinical practice; and what the absolute advantages of the drug are in comparison to a natural comparator – are there any direct comparisons, meta-analyses, Cochrane reviews etc, or can data from other registrational studies be used as a loose comparison.  </w:t>
      </w:r>
    </w:p>
    <w:p w14:paraId="28B43708" w14:textId="77777777" w:rsidR="00D93CC9" w:rsidRPr="00000A09" w:rsidRDefault="00D93CC9" w:rsidP="00000A09">
      <w:pPr>
        <w:pStyle w:val="NCLBodyText"/>
      </w:pPr>
      <w:r w:rsidRPr="00000A09">
        <w:t>How does this compare with current therapy?  What are the limitations in comparing older studies with newer ones – study design, duration, patient populations, endpoints etc.</w:t>
      </w:r>
    </w:p>
    <w:p w14:paraId="24B00460" w14:textId="77777777" w:rsidR="00A56FDF" w:rsidRDefault="00A56FDF" w:rsidP="00A56FDF">
      <w:pPr>
        <w:pStyle w:val="NCLHeading2"/>
      </w:pPr>
      <w:r>
        <w:t>Relevant clinical trials which have not published</w:t>
      </w:r>
    </w:p>
    <w:p w14:paraId="0FA4A1E2" w14:textId="77777777" w:rsidR="00A56FDF" w:rsidRDefault="00A56FDF" w:rsidP="00A56FDF">
      <w:pPr>
        <w:pStyle w:val="NCLBodyText"/>
      </w:pPr>
      <w:r>
        <w:t xml:space="preserve">Search </w:t>
      </w:r>
      <w:hyperlink r:id="rId16" w:history="1">
        <w:r w:rsidRPr="00C64597">
          <w:rPr>
            <w:rStyle w:val="Hyperlink"/>
          </w:rPr>
          <w:t>https://clinicaltrials.gov/ct2/search/advanced</w:t>
        </w:r>
      </w:hyperlink>
      <w:r>
        <w:t xml:space="preserve"> for studies which are planned however have not reported. Knowledge of forthcoming </w:t>
      </w:r>
      <w:r w:rsidR="005C188C">
        <w:t>trials</w:t>
      </w:r>
      <w:r>
        <w:t xml:space="preserve"> will support the Committee in understanding </w:t>
      </w:r>
      <w:r w:rsidR="005C188C">
        <w:t xml:space="preserve">the degree of </w:t>
      </w:r>
      <w:r>
        <w:t xml:space="preserve">uncertainty </w:t>
      </w:r>
      <w:r w:rsidR="005C188C">
        <w:t xml:space="preserve">surrounding </w:t>
      </w:r>
      <w:r>
        <w:t xml:space="preserve">the risk/benefit and may support the Committee in delaying a decision until the evidence base has matured.  </w:t>
      </w:r>
    </w:p>
    <w:p w14:paraId="39E307C2" w14:textId="77777777" w:rsidR="00A56FDF" w:rsidRPr="00A56FDF" w:rsidRDefault="00A56FDF" w:rsidP="00A56FDF">
      <w:pPr>
        <w:pStyle w:val="NCLBodyText"/>
      </w:pPr>
      <w:r>
        <w:t xml:space="preserve">Use the above link to identify the NCT number then </w:t>
      </w:r>
      <w:r w:rsidR="005C188C">
        <w:t xml:space="preserve">enter the number into </w:t>
      </w:r>
      <w:hyperlink r:id="rId17" w:history="1">
        <w:r w:rsidRPr="00C64597">
          <w:rPr>
            <w:rStyle w:val="Hyperlink"/>
          </w:rPr>
          <w:t>https://scholar.google.co.uk/</w:t>
        </w:r>
      </w:hyperlink>
      <w:r>
        <w:t xml:space="preserve"> to establish whether the study results are in the public domain. </w:t>
      </w:r>
    </w:p>
    <w:p w14:paraId="55AD8135" w14:textId="77777777" w:rsidR="00CC0BCE" w:rsidRPr="00CC0BCE" w:rsidRDefault="00C27844" w:rsidP="00CC0BCE">
      <w:pPr>
        <w:pStyle w:val="NCLHeading1"/>
      </w:pPr>
      <w:r>
        <w:t>Safety</w:t>
      </w:r>
    </w:p>
    <w:p w14:paraId="7C429F06" w14:textId="77777777" w:rsidR="00C27844" w:rsidRDefault="00E84973" w:rsidP="00C27844">
      <w:pPr>
        <w:pStyle w:val="NCLHeading2"/>
      </w:pPr>
      <w:r>
        <w:t>Key adverse events</w:t>
      </w:r>
    </w:p>
    <w:p w14:paraId="22DBA20B" w14:textId="77777777" w:rsidR="00D93CC9" w:rsidRPr="00000A09" w:rsidRDefault="00D93CC9" w:rsidP="00000A09">
      <w:pPr>
        <w:pStyle w:val="NCLBodyText"/>
      </w:pPr>
      <w:r w:rsidRPr="00000A09">
        <w:t>Outline key safety data identified in the efficacy studies.  Such safety considerations relate to the drug entity itself rather than its use in practice; as such the main focus will be to describe potential adverse drug reactions and any limitations in understanding their nature.</w:t>
      </w:r>
    </w:p>
    <w:p w14:paraId="5EE43305" w14:textId="77777777" w:rsidR="00E84973" w:rsidRDefault="00E84973" w:rsidP="00E84973">
      <w:pPr>
        <w:pStyle w:val="NCLHeading2"/>
      </w:pPr>
      <w:commentRangeStart w:id="8"/>
      <w:r>
        <w:t>Risk assessment</w:t>
      </w:r>
      <w:commentRangeEnd w:id="8"/>
      <w:r w:rsidR="0093286B">
        <w:rPr>
          <w:rStyle w:val="CommentReference"/>
          <w:rFonts w:eastAsiaTheme="minorHAnsi" w:cstheme="minorBidi"/>
          <w:b w:val="0"/>
          <w:bCs w:val="0"/>
          <w:color w:val="auto"/>
        </w:rPr>
        <w:commentReference w:id="8"/>
      </w:r>
    </w:p>
    <w:p w14:paraId="73863B67" w14:textId="77777777" w:rsidR="00C24315" w:rsidRDefault="00C24315" w:rsidP="00000A09">
      <w:pPr>
        <w:pStyle w:val="NCLBodyText"/>
      </w:pPr>
      <w:r w:rsidRPr="00000A09">
        <w:t xml:space="preserve">Include any risks associated with </w:t>
      </w:r>
      <w:commentRangeStart w:id="9"/>
      <w:r w:rsidRPr="00000A09">
        <w:t>administration</w:t>
      </w:r>
      <w:commentRangeEnd w:id="9"/>
      <w:r w:rsidR="00C121E2">
        <w:rPr>
          <w:rStyle w:val="CommentReference"/>
          <w:rFonts w:cstheme="minorBidi"/>
        </w:rPr>
        <w:commentReference w:id="9"/>
      </w:r>
      <w:r w:rsidR="00000A09">
        <w:t>.</w:t>
      </w:r>
    </w:p>
    <w:p w14:paraId="7FA1D088" w14:textId="77777777" w:rsidR="00C121E2" w:rsidRDefault="00C121E2" w:rsidP="00000A09">
      <w:pPr>
        <w:pStyle w:val="NCLBodyText"/>
      </w:pPr>
    </w:p>
    <w:tbl>
      <w:tblPr>
        <w:tblStyle w:val="ReportTable"/>
        <w:tblW w:w="0" w:type="auto"/>
        <w:tblLook w:val="04A0" w:firstRow="1" w:lastRow="0" w:firstColumn="1" w:lastColumn="0" w:noHBand="0" w:noVBand="1"/>
      </w:tblPr>
      <w:tblGrid>
        <w:gridCol w:w="1221"/>
        <w:gridCol w:w="960"/>
        <w:gridCol w:w="719"/>
        <w:gridCol w:w="678"/>
        <w:gridCol w:w="690"/>
        <w:gridCol w:w="679"/>
        <w:gridCol w:w="720"/>
        <w:gridCol w:w="678"/>
        <w:gridCol w:w="720"/>
        <w:gridCol w:w="679"/>
        <w:gridCol w:w="1578"/>
      </w:tblGrid>
      <w:tr w:rsidR="00C121E2" w14:paraId="7E974E6B" w14:textId="77777777" w:rsidTr="00C121E2">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383" w:type="dxa"/>
          </w:tcPr>
          <w:p w14:paraId="7DC9E3D1" w14:textId="77777777" w:rsidR="00C121E2" w:rsidRPr="00BD64BE" w:rsidRDefault="00C121E2" w:rsidP="00385012">
            <w:pPr>
              <w:pStyle w:val="NCLBodyText"/>
              <w:spacing w:before="0"/>
              <w:jc w:val="center"/>
              <w:rPr>
                <w:sz w:val="16"/>
              </w:rPr>
            </w:pPr>
            <w:r w:rsidRPr="00BD64BE">
              <w:rPr>
                <w:sz w:val="16"/>
              </w:rPr>
              <w:t>Drug name</w:t>
            </w:r>
          </w:p>
        </w:tc>
        <w:tc>
          <w:tcPr>
            <w:tcW w:w="984" w:type="dxa"/>
          </w:tcPr>
          <w:p w14:paraId="4535D737"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r w:rsidRPr="00BD64BE">
              <w:rPr>
                <w:sz w:val="16"/>
              </w:rPr>
              <w:t>Prepared</w:t>
            </w:r>
            <w:r>
              <w:rPr>
                <w:sz w:val="16"/>
              </w:rPr>
              <w:t xml:space="preserve"> </w:t>
            </w:r>
            <w:r w:rsidRPr="00BD64BE">
              <w:rPr>
                <w:sz w:val="16"/>
              </w:rPr>
              <w:t>injectable</w:t>
            </w:r>
          </w:p>
          <w:p w14:paraId="3D8E306C"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r w:rsidRPr="00BD64BE">
              <w:rPr>
                <w:sz w:val="16"/>
              </w:rPr>
              <w:t>medicine</w:t>
            </w:r>
          </w:p>
        </w:tc>
        <w:tc>
          <w:tcPr>
            <w:tcW w:w="744" w:type="dxa"/>
            <w:textDirection w:val="btLr"/>
          </w:tcPr>
          <w:p w14:paraId="12E4781A" w14:textId="77777777" w:rsidR="00C121E2"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commentRangeStart w:id="10"/>
            <w:r w:rsidRPr="00BD64BE">
              <w:rPr>
                <w:sz w:val="16"/>
              </w:rPr>
              <w:t xml:space="preserve">Therapeutic </w:t>
            </w:r>
          </w:p>
          <w:p w14:paraId="61E04141"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r w:rsidRPr="00BD64BE">
              <w:rPr>
                <w:sz w:val="16"/>
              </w:rPr>
              <w:t>risk</w:t>
            </w:r>
            <w:commentRangeEnd w:id="10"/>
            <w:r>
              <w:rPr>
                <w:rStyle w:val="CommentReference"/>
                <w:rFonts w:cstheme="minorBidi"/>
                <w:b w:val="0"/>
              </w:rPr>
              <w:commentReference w:id="10"/>
            </w:r>
          </w:p>
        </w:tc>
        <w:tc>
          <w:tcPr>
            <w:tcW w:w="743" w:type="dxa"/>
            <w:textDirection w:val="btLr"/>
          </w:tcPr>
          <w:p w14:paraId="73344336"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commentRangeStart w:id="11"/>
            <w:r w:rsidRPr="00BD64BE">
              <w:rPr>
                <w:sz w:val="16"/>
              </w:rPr>
              <w:t xml:space="preserve">Use of </w:t>
            </w:r>
            <w:r>
              <w:rPr>
                <w:sz w:val="16"/>
              </w:rPr>
              <w:t xml:space="preserve"> c</w:t>
            </w:r>
            <w:r w:rsidRPr="00BD64BE">
              <w:rPr>
                <w:sz w:val="16"/>
              </w:rPr>
              <w:t>oncentrate</w:t>
            </w:r>
            <w:commentRangeEnd w:id="11"/>
            <w:r>
              <w:rPr>
                <w:rStyle w:val="CommentReference"/>
                <w:rFonts w:cstheme="minorBidi"/>
                <w:b w:val="0"/>
              </w:rPr>
              <w:commentReference w:id="11"/>
            </w:r>
          </w:p>
        </w:tc>
        <w:tc>
          <w:tcPr>
            <w:tcW w:w="759" w:type="dxa"/>
            <w:textDirection w:val="btLr"/>
          </w:tcPr>
          <w:p w14:paraId="37035E56"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commentRangeStart w:id="12"/>
            <w:r w:rsidRPr="00BD64BE">
              <w:rPr>
                <w:sz w:val="16"/>
              </w:rPr>
              <w:t>Complex calculation</w:t>
            </w:r>
            <w:commentRangeEnd w:id="12"/>
            <w:r>
              <w:rPr>
                <w:rStyle w:val="CommentReference"/>
                <w:rFonts w:cstheme="minorBidi"/>
                <w:b w:val="0"/>
              </w:rPr>
              <w:commentReference w:id="12"/>
            </w:r>
          </w:p>
        </w:tc>
        <w:tc>
          <w:tcPr>
            <w:tcW w:w="744" w:type="dxa"/>
            <w:textDirection w:val="btLr"/>
          </w:tcPr>
          <w:p w14:paraId="1746DC7E"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commentRangeStart w:id="13"/>
            <w:r w:rsidRPr="00BD64BE">
              <w:rPr>
                <w:sz w:val="16"/>
              </w:rPr>
              <w:t>Complex preparation</w:t>
            </w:r>
            <w:r w:rsidRPr="00BD64BE">
              <w:rPr>
                <w:sz w:val="16"/>
              </w:rPr>
              <w:cr/>
            </w:r>
            <w:commentRangeEnd w:id="13"/>
            <w:r>
              <w:rPr>
                <w:rStyle w:val="CommentReference"/>
                <w:rFonts w:cstheme="minorBidi"/>
                <w:b w:val="0"/>
              </w:rPr>
              <w:commentReference w:id="13"/>
            </w:r>
          </w:p>
        </w:tc>
        <w:tc>
          <w:tcPr>
            <w:tcW w:w="744" w:type="dxa"/>
            <w:textDirection w:val="btLr"/>
          </w:tcPr>
          <w:p w14:paraId="148579AF" w14:textId="77777777" w:rsidR="00C121E2"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commentRangeStart w:id="14"/>
            <w:r w:rsidRPr="00BD64BE">
              <w:rPr>
                <w:sz w:val="16"/>
              </w:rPr>
              <w:t xml:space="preserve">Reconstitute </w:t>
            </w:r>
          </w:p>
          <w:p w14:paraId="5F99F2FB"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r w:rsidRPr="00BD64BE">
              <w:rPr>
                <w:sz w:val="16"/>
              </w:rPr>
              <w:t>via</w:t>
            </w:r>
            <w:r>
              <w:rPr>
                <w:sz w:val="16"/>
              </w:rPr>
              <w:t>l</w:t>
            </w:r>
            <w:commentRangeEnd w:id="14"/>
            <w:r>
              <w:rPr>
                <w:rStyle w:val="CommentReference"/>
                <w:rFonts w:cstheme="minorBidi"/>
                <w:b w:val="0"/>
              </w:rPr>
              <w:commentReference w:id="14"/>
            </w:r>
          </w:p>
        </w:tc>
        <w:tc>
          <w:tcPr>
            <w:tcW w:w="743" w:type="dxa"/>
            <w:textDirection w:val="btLr"/>
          </w:tcPr>
          <w:p w14:paraId="300B812B"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commentRangeStart w:id="15"/>
            <w:r w:rsidRPr="00BD64BE">
              <w:rPr>
                <w:sz w:val="16"/>
              </w:rPr>
              <w:t>Part/multiple container</w:t>
            </w:r>
            <w:commentRangeEnd w:id="15"/>
            <w:r>
              <w:rPr>
                <w:rStyle w:val="CommentReference"/>
                <w:rFonts w:cstheme="minorBidi"/>
                <w:b w:val="0"/>
              </w:rPr>
              <w:commentReference w:id="15"/>
            </w:r>
          </w:p>
        </w:tc>
        <w:tc>
          <w:tcPr>
            <w:tcW w:w="744" w:type="dxa"/>
            <w:textDirection w:val="btLr"/>
          </w:tcPr>
          <w:p w14:paraId="44671D5F"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commentRangeStart w:id="16"/>
            <w:r w:rsidRPr="00BD64BE">
              <w:rPr>
                <w:sz w:val="16"/>
              </w:rPr>
              <w:t>Use of infusion</w:t>
            </w:r>
          </w:p>
          <w:p w14:paraId="42DE9BAE"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r>
              <w:rPr>
                <w:sz w:val="16"/>
              </w:rPr>
              <w:t>pump/driver</w:t>
            </w:r>
            <w:commentRangeEnd w:id="16"/>
            <w:r>
              <w:rPr>
                <w:rStyle w:val="CommentReference"/>
                <w:rFonts w:cstheme="minorBidi"/>
                <w:b w:val="0"/>
              </w:rPr>
              <w:commentReference w:id="16"/>
            </w:r>
          </w:p>
        </w:tc>
        <w:tc>
          <w:tcPr>
            <w:tcW w:w="744" w:type="dxa"/>
            <w:textDirection w:val="btLr"/>
          </w:tcPr>
          <w:p w14:paraId="710737B4"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commentRangeStart w:id="17"/>
            <w:r>
              <w:rPr>
                <w:sz w:val="16"/>
              </w:rPr>
              <w:t>N</w:t>
            </w:r>
            <w:r w:rsidRPr="00BD64BE">
              <w:rPr>
                <w:sz w:val="16"/>
              </w:rPr>
              <w:t xml:space="preserve">on </w:t>
            </w:r>
            <w:r>
              <w:rPr>
                <w:sz w:val="16"/>
              </w:rPr>
              <w:t>s</w:t>
            </w:r>
            <w:r w:rsidRPr="00BD64BE">
              <w:rPr>
                <w:sz w:val="16"/>
              </w:rPr>
              <w:t>tandard infusion set</w:t>
            </w:r>
          </w:p>
        </w:tc>
        <w:tc>
          <w:tcPr>
            <w:tcW w:w="1216" w:type="dxa"/>
          </w:tcPr>
          <w:p w14:paraId="3CF0D7E5" w14:textId="77777777" w:rsidR="00C121E2" w:rsidRPr="00BD64BE" w:rsidRDefault="00C121E2" w:rsidP="00385012">
            <w:pPr>
              <w:pStyle w:val="NCLBodyText"/>
              <w:spacing w:before="0"/>
              <w:jc w:val="center"/>
              <w:cnfStyle w:val="100000000000" w:firstRow="1" w:lastRow="0" w:firstColumn="0" w:lastColumn="0" w:oddVBand="0" w:evenVBand="0" w:oddHBand="0" w:evenHBand="0" w:firstRowFirstColumn="0" w:firstRowLastColumn="0" w:lastRowFirstColumn="0" w:lastRowLastColumn="0"/>
              <w:rPr>
                <w:sz w:val="16"/>
              </w:rPr>
            </w:pPr>
            <w:commentRangeStart w:id="18"/>
            <w:r w:rsidRPr="00BD64BE">
              <w:rPr>
                <w:sz w:val="16"/>
              </w:rPr>
              <w:t>Total Risk Factors</w:t>
            </w:r>
            <w:commentRangeEnd w:id="18"/>
            <w:r>
              <w:rPr>
                <w:rStyle w:val="CommentReference"/>
                <w:rFonts w:cstheme="minorBidi"/>
                <w:b w:val="0"/>
              </w:rPr>
              <w:commentReference w:id="18"/>
            </w:r>
            <w:commentRangeEnd w:id="17"/>
            <w:r>
              <w:rPr>
                <w:rStyle w:val="CommentReference"/>
                <w:rFonts w:cstheme="minorBidi"/>
                <w:b w:val="0"/>
              </w:rPr>
              <w:commentReference w:id="17"/>
            </w:r>
          </w:p>
        </w:tc>
      </w:tr>
      <w:tr w:rsidR="00C121E2" w14:paraId="03EDC747" w14:textId="77777777" w:rsidTr="00C121E2">
        <w:tc>
          <w:tcPr>
            <w:cnfStyle w:val="001000000000" w:firstRow="0" w:lastRow="0" w:firstColumn="1" w:lastColumn="0" w:oddVBand="0" w:evenVBand="0" w:oddHBand="0" w:evenHBand="0" w:firstRowFirstColumn="0" w:firstRowLastColumn="0" w:lastRowFirstColumn="0" w:lastRowLastColumn="0"/>
            <w:tcW w:w="1383" w:type="dxa"/>
          </w:tcPr>
          <w:p w14:paraId="0DA86419" w14:textId="77777777" w:rsidR="00C121E2" w:rsidRPr="00BD64BE" w:rsidRDefault="00C121E2" w:rsidP="00385012">
            <w:pPr>
              <w:pStyle w:val="NCLBodyText"/>
              <w:spacing w:before="0"/>
              <w:jc w:val="left"/>
              <w:rPr>
                <w:sz w:val="16"/>
              </w:rPr>
            </w:pPr>
          </w:p>
        </w:tc>
        <w:tc>
          <w:tcPr>
            <w:tcW w:w="984" w:type="dxa"/>
          </w:tcPr>
          <w:p w14:paraId="1014C510" w14:textId="77777777" w:rsidR="00C121E2" w:rsidRPr="00BD64BE" w:rsidRDefault="00C121E2" w:rsidP="00385012">
            <w:pPr>
              <w:pStyle w:val="NCLBodyText"/>
              <w:spacing w:before="0"/>
              <w:jc w:val="center"/>
              <w:cnfStyle w:val="000000000000" w:firstRow="0" w:lastRow="0" w:firstColumn="0" w:lastColumn="0" w:oddVBand="0" w:evenVBand="0" w:oddHBand="0" w:evenHBand="0" w:firstRowFirstColumn="0" w:firstRowLastColumn="0" w:lastRowFirstColumn="0" w:lastRowLastColumn="0"/>
              <w:rPr>
                <w:sz w:val="16"/>
              </w:rPr>
            </w:pPr>
          </w:p>
        </w:tc>
        <w:tc>
          <w:tcPr>
            <w:tcW w:w="744" w:type="dxa"/>
          </w:tcPr>
          <w:p w14:paraId="07D8B036" w14:textId="77777777" w:rsidR="00C121E2" w:rsidRPr="00BD64BE" w:rsidRDefault="00C121E2" w:rsidP="00385012">
            <w:pPr>
              <w:pStyle w:val="NCLBodyText"/>
              <w:spacing w:before="0"/>
              <w:jc w:val="left"/>
              <w:cnfStyle w:val="000000000000" w:firstRow="0" w:lastRow="0" w:firstColumn="0" w:lastColumn="0" w:oddVBand="0" w:evenVBand="0" w:oddHBand="0" w:evenHBand="0" w:firstRowFirstColumn="0" w:firstRowLastColumn="0" w:lastRowFirstColumn="0" w:lastRowLastColumn="0"/>
              <w:rPr>
                <w:sz w:val="16"/>
              </w:rPr>
            </w:pPr>
          </w:p>
        </w:tc>
        <w:tc>
          <w:tcPr>
            <w:tcW w:w="743" w:type="dxa"/>
          </w:tcPr>
          <w:p w14:paraId="1EECC057" w14:textId="77777777" w:rsidR="00C121E2" w:rsidRPr="00BD64BE" w:rsidRDefault="00C121E2" w:rsidP="00385012">
            <w:pPr>
              <w:pStyle w:val="NCLBodyText"/>
              <w:spacing w:before="0"/>
              <w:jc w:val="center"/>
              <w:cnfStyle w:val="000000000000" w:firstRow="0" w:lastRow="0" w:firstColumn="0" w:lastColumn="0" w:oddVBand="0" w:evenVBand="0" w:oddHBand="0" w:evenHBand="0" w:firstRowFirstColumn="0" w:firstRowLastColumn="0" w:lastRowFirstColumn="0" w:lastRowLastColumn="0"/>
              <w:rPr>
                <w:sz w:val="16"/>
              </w:rPr>
            </w:pPr>
          </w:p>
        </w:tc>
        <w:tc>
          <w:tcPr>
            <w:tcW w:w="759" w:type="dxa"/>
          </w:tcPr>
          <w:p w14:paraId="7B9B9056" w14:textId="77777777" w:rsidR="00C121E2" w:rsidRPr="00BD64BE" w:rsidRDefault="00C121E2" w:rsidP="00385012">
            <w:pPr>
              <w:pStyle w:val="NCLBodyText"/>
              <w:spacing w:before="0"/>
              <w:jc w:val="center"/>
              <w:cnfStyle w:val="000000000000" w:firstRow="0" w:lastRow="0" w:firstColumn="0" w:lastColumn="0" w:oddVBand="0" w:evenVBand="0" w:oddHBand="0" w:evenHBand="0" w:firstRowFirstColumn="0" w:firstRowLastColumn="0" w:lastRowFirstColumn="0" w:lastRowLastColumn="0"/>
              <w:rPr>
                <w:sz w:val="16"/>
              </w:rPr>
            </w:pPr>
          </w:p>
        </w:tc>
        <w:tc>
          <w:tcPr>
            <w:tcW w:w="744" w:type="dxa"/>
          </w:tcPr>
          <w:p w14:paraId="19FD1F11" w14:textId="77777777" w:rsidR="00C121E2" w:rsidRPr="00BD64BE" w:rsidRDefault="00C121E2" w:rsidP="00385012">
            <w:pPr>
              <w:pStyle w:val="NCLBodyText"/>
              <w:spacing w:before="0"/>
              <w:jc w:val="center"/>
              <w:cnfStyle w:val="000000000000" w:firstRow="0" w:lastRow="0" w:firstColumn="0" w:lastColumn="0" w:oddVBand="0" w:evenVBand="0" w:oddHBand="0" w:evenHBand="0" w:firstRowFirstColumn="0" w:firstRowLastColumn="0" w:lastRowFirstColumn="0" w:lastRowLastColumn="0"/>
              <w:rPr>
                <w:sz w:val="16"/>
              </w:rPr>
            </w:pPr>
          </w:p>
        </w:tc>
        <w:tc>
          <w:tcPr>
            <w:tcW w:w="744" w:type="dxa"/>
          </w:tcPr>
          <w:p w14:paraId="1E9D9157" w14:textId="77777777" w:rsidR="00C121E2" w:rsidRPr="00BD64BE" w:rsidRDefault="00C121E2" w:rsidP="00385012">
            <w:pPr>
              <w:pStyle w:val="NCLBodyText"/>
              <w:spacing w:before="0"/>
              <w:jc w:val="center"/>
              <w:cnfStyle w:val="000000000000" w:firstRow="0" w:lastRow="0" w:firstColumn="0" w:lastColumn="0" w:oddVBand="0" w:evenVBand="0" w:oddHBand="0" w:evenHBand="0" w:firstRowFirstColumn="0" w:firstRowLastColumn="0" w:lastRowFirstColumn="0" w:lastRowLastColumn="0"/>
              <w:rPr>
                <w:sz w:val="16"/>
              </w:rPr>
            </w:pPr>
          </w:p>
        </w:tc>
        <w:tc>
          <w:tcPr>
            <w:tcW w:w="743" w:type="dxa"/>
          </w:tcPr>
          <w:p w14:paraId="1DDD78FF" w14:textId="77777777" w:rsidR="00C121E2" w:rsidRPr="00BD64BE" w:rsidRDefault="00C121E2" w:rsidP="00385012">
            <w:pPr>
              <w:pStyle w:val="NCLBodyText"/>
              <w:spacing w:before="0"/>
              <w:jc w:val="center"/>
              <w:cnfStyle w:val="000000000000" w:firstRow="0" w:lastRow="0" w:firstColumn="0" w:lastColumn="0" w:oddVBand="0" w:evenVBand="0" w:oddHBand="0" w:evenHBand="0" w:firstRowFirstColumn="0" w:firstRowLastColumn="0" w:lastRowFirstColumn="0" w:lastRowLastColumn="0"/>
              <w:rPr>
                <w:sz w:val="16"/>
              </w:rPr>
            </w:pPr>
          </w:p>
        </w:tc>
        <w:tc>
          <w:tcPr>
            <w:tcW w:w="744" w:type="dxa"/>
          </w:tcPr>
          <w:p w14:paraId="54777F90" w14:textId="77777777" w:rsidR="00C121E2" w:rsidRPr="00BD64BE" w:rsidRDefault="00C121E2" w:rsidP="00385012">
            <w:pPr>
              <w:pStyle w:val="NCLBodyText"/>
              <w:spacing w:before="0"/>
              <w:jc w:val="center"/>
              <w:cnfStyle w:val="000000000000" w:firstRow="0" w:lastRow="0" w:firstColumn="0" w:lastColumn="0" w:oddVBand="0" w:evenVBand="0" w:oddHBand="0" w:evenHBand="0" w:firstRowFirstColumn="0" w:firstRowLastColumn="0" w:lastRowFirstColumn="0" w:lastRowLastColumn="0"/>
              <w:rPr>
                <w:sz w:val="16"/>
              </w:rPr>
            </w:pPr>
          </w:p>
        </w:tc>
        <w:tc>
          <w:tcPr>
            <w:tcW w:w="744" w:type="dxa"/>
          </w:tcPr>
          <w:p w14:paraId="0765A89C" w14:textId="77777777" w:rsidR="00C121E2" w:rsidRPr="00BD64BE" w:rsidRDefault="00C121E2" w:rsidP="00385012">
            <w:pPr>
              <w:pStyle w:val="NCLBodyText"/>
              <w:spacing w:before="0"/>
              <w:jc w:val="center"/>
              <w:cnfStyle w:val="000000000000" w:firstRow="0" w:lastRow="0" w:firstColumn="0" w:lastColumn="0" w:oddVBand="0" w:evenVBand="0" w:oddHBand="0" w:evenHBand="0" w:firstRowFirstColumn="0" w:firstRowLastColumn="0" w:lastRowFirstColumn="0" w:lastRowLastColumn="0"/>
              <w:rPr>
                <w:sz w:val="16"/>
              </w:rPr>
            </w:pPr>
          </w:p>
        </w:tc>
        <w:tc>
          <w:tcPr>
            <w:tcW w:w="1216" w:type="dxa"/>
          </w:tcPr>
          <w:p w14:paraId="62020E5C" w14:textId="77777777" w:rsidR="00C121E2" w:rsidRPr="00BD64BE" w:rsidRDefault="00C121E2" w:rsidP="004A0016">
            <w:pPr>
              <w:pStyle w:val="NCLBodyText"/>
              <w:spacing w:before="0"/>
              <w:jc w:val="center"/>
              <w:cnfStyle w:val="000000000000" w:firstRow="0" w:lastRow="0" w:firstColumn="0" w:lastColumn="0" w:oddVBand="0" w:evenVBand="0" w:oddHBand="0" w:evenHBand="0" w:firstRowFirstColumn="0" w:firstRowLastColumn="0" w:lastRowFirstColumn="0" w:lastRowLastColumn="0"/>
              <w:rPr>
                <w:sz w:val="16"/>
              </w:rPr>
            </w:pPr>
          </w:p>
        </w:tc>
      </w:tr>
    </w:tbl>
    <w:p w14:paraId="540298D4" w14:textId="77777777" w:rsidR="00A20540" w:rsidRDefault="00A20540" w:rsidP="00D93CC9">
      <w:pPr>
        <w:pStyle w:val="NCLHeading1"/>
      </w:pPr>
      <w:r>
        <w:t>Cost-effectiveness</w:t>
      </w:r>
    </w:p>
    <w:p w14:paraId="02ADD30A" w14:textId="77777777" w:rsidR="00C24315" w:rsidRPr="00000A09" w:rsidRDefault="00C24315" w:rsidP="00000A09">
      <w:pPr>
        <w:pStyle w:val="NCLBodyText"/>
      </w:pPr>
      <w:r w:rsidRPr="00000A09">
        <w:t xml:space="preserve">Give an outline of any data identified or a statement that health economic analyses are not available as necessary:  No health economic data were identified.  </w:t>
      </w:r>
    </w:p>
    <w:p w14:paraId="6185C7D3" w14:textId="77777777" w:rsidR="00C24315" w:rsidRPr="00000A09" w:rsidRDefault="00C24315" w:rsidP="00000A09">
      <w:pPr>
        <w:pStyle w:val="NCLBodyText"/>
      </w:pPr>
      <w:r w:rsidRPr="00000A09">
        <w:t xml:space="preserve">Where an analysis exists, report:   </w:t>
      </w:r>
    </w:p>
    <w:p w14:paraId="644FD566" w14:textId="77777777" w:rsidR="00C24315" w:rsidRPr="00000A09" w:rsidRDefault="00C24315" w:rsidP="00000A09">
      <w:pPr>
        <w:pStyle w:val="ListBullet"/>
      </w:pPr>
      <w:r w:rsidRPr="00000A09">
        <w:t xml:space="preserve">Key assumptions of the economic modelling </w:t>
      </w:r>
    </w:p>
    <w:p w14:paraId="65BAA28A" w14:textId="77777777" w:rsidR="00C24315" w:rsidRPr="00000A09" w:rsidRDefault="00C24315" w:rsidP="00000A09">
      <w:pPr>
        <w:pStyle w:val="ListBullet"/>
      </w:pPr>
      <w:r w:rsidRPr="00000A09">
        <w:t xml:space="preserve">Cost per QALY (or cost per gain in natural marker if no cost-utility analysis identified) </w:t>
      </w:r>
    </w:p>
    <w:p w14:paraId="43FA64F8" w14:textId="77777777" w:rsidR="00C24315" w:rsidRPr="00000A09" w:rsidRDefault="00C24315" w:rsidP="00000A09">
      <w:pPr>
        <w:pStyle w:val="ListBullet"/>
      </w:pPr>
      <w:r w:rsidRPr="00000A09">
        <w:t>Range of costs per QALY if sensitivity analysis reported</w:t>
      </w:r>
    </w:p>
    <w:p w14:paraId="780059F4" w14:textId="77777777" w:rsidR="00C27844" w:rsidRDefault="00E84973" w:rsidP="00E84973">
      <w:pPr>
        <w:pStyle w:val="NCLHeading1"/>
      </w:pPr>
      <w:r>
        <w:t>Convenience</w:t>
      </w:r>
    </w:p>
    <w:p w14:paraId="4087DA01" w14:textId="77777777" w:rsidR="00C24315" w:rsidRPr="00000A09" w:rsidRDefault="00C24315" w:rsidP="00000A09">
      <w:pPr>
        <w:pStyle w:val="NCLBodyText"/>
      </w:pPr>
      <w:r w:rsidRPr="00000A09">
        <w:t>Consider whether patient and/or healthcare provider convenience is affected by the drug.  Consider:  tolerability of the drug; acceptability of the drug and administration route by the patient; adherence to treatment (if assessed in trials, or if administration route could affect this); patient preference for this drug (if assessed in trials). Consider any practical information about drug administration, such as oral, SC injection.</w:t>
      </w:r>
    </w:p>
    <w:p w14:paraId="36C335A6" w14:textId="77777777" w:rsidR="00E84973" w:rsidRDefault="0033552D" w:rsidP="00E84973">
      <w:pPr>
        <w:pStyle w:val="NCLHeading1"/>
      </w:pPr>
      <w:r>
        <w:t>Financial implications</w:t>
      </w:r>
    </w:p>
    <w:p w14:paraId="79EE009C" w14:textId="77777777" w:rsidR="00211CC0" w:rsidRDefault="00211CC0" w:rsidP="00211CC0">
      <w:pPr>
        <w:pStyle w:val="NCLHeading2"/>
      </w:pPr>
      <w:r>
        <w:t>Likely commissioning and funding pathway</w:t>
      </w:r>
    </w:p>
    <w:p w14:paraId="3A9A62AC" w14:textId="77777777" w:rsidR="00C24315" w:rsidRPr="00000A09" w:rsidRDefault="00C24315" w:rsidP="00000A09">
      <w:pPr>
        <w:pStyle w:val="NCLBodyText"/>
      </w:pPr>
      <w:r w:rsidRPr="00000A09">
        <w:t xml:space="preserve">Consider the funding pathway—for example, whether the drug is in tariff or excluded; and whether commissioning will be through CCGs or NHS-E.     </w:t>
      </w:r>
    </w:p>
    <w:p w14:paraId="4FC84004" w14:textId="77777777" w:rsidR="0033552D" w:rsidRDefault="0033552D" w:rsidP="0033552D">
      <w:pPr>
        <w:pStyle w:val="NCLHeading2"/>
      </w:pPr>
      <w:r>
        <w:lastRenderedPageBreak/>
        <w:t>Drug cost</w:t>
      </w:r>
    </w:p>
    <w:p w14:paraId="504CC9FF" w14:textId="77777777" w:rsidR="00C25095" w:rsidRDefault="003D5111" w:rsidP="00000A09">
      <w:pPr>
        <w:pStyle w:val="NCLBodyText"/>
      </w:pPr>
      <w:sdt>
        <w:sdtPr>
          <w:alias w:val="Drug cost reference"/>
          <w:tag w:val="Drug cost reference"/>
          <w:id w:val="-602807695"/>
          <w:placeholder>
            <w:docPart w:val="DAAFAAD98F6D4FBDA31FC43236BD419A"/>
          </w:placeholder>
          <w:showingPlcHdr/>
          <w:dropDownList>
            <w:listItem w:value="Choose an item."/>
            <w:listItem w:displayText="BNF (Drug Tariff)" w:value="BNF (Drug Tariff)"/>
            <w:listItem w:displayText="BNF (NHS List price)" w:value="BNF (NHS List price)"/>
            <w:listItem w:displayText="Hospital only price (CMU)" w:value="Hospital only price (CMU)"/>
            <w:listItem w:displayText="PAS price" w:value="PAS price"/>
          </w:dropDownList>
        </w:sdtPr>
        <w:sdtEndPr/>
        <w:sdtContent>
          <w:r w:rsidR="00C25095" w:rsidRPr="00162F2F">
            <w:rPr>
              <w:rStyle w:val="PlaceholderText"/>
            </w:rPr>
            <w:t>Choose an item.</w:t>
          </w:r>
        </w:sdtContent>
      </w:sdt>
    </w:p>
    <w:p w14:paraId="2CEE0EBC" w14:textId="77777777" w:rsidR="00C24315" w:rsidRPr="00000A09" w:rsidRDefault="00C24315" w:rsidP="00000A09">
      <w:pPr>
        <w:pStyle w:val="NCLBodyText"/>
      </w:pPr>
      <w:r w:rsidRPr="00000A09">
        <w:t xml:space="preserve">Pack prices and annual/course cost per patient. Consider the drug’s cost in comparison with alternatives. Consider whether patient access schemes, for example, have an effect on comparative costs. Think about patents for alternatives. </w:t>
      </w:r>
    </w:p>
    <w:p w14:paraId="43B806A2" w14:textId="77777777" w:rsidR="00A20540" w:rsidRDefault="00A20540" w:rsidP="00A20540">
      <w:pPr>
        <w:pStyle w:val="NCLHeading2"/>
      </w:pPr>
      <w:r>
        <w:t>Healthcare resource utilisation</w:t>
      </w:r>
    </w:p>
    <w:p w14:paraId="05E34182" w14:textId="77777777" w:rsidR="00C24315" w:rsidRPr="00000A09" w:rsidRDefault="00C24315" w:rsidP="00000A09">
      <w:pPr>
        <w:pStyle w:val="NCLBodyText"/>
      </w:pPr>
      <w:r w:rsidRPr="00000A09">
        <w:t>Consider the potential effects on hospital attendances, for example, or other resource utilisation issues.    Include details of monitoring required and frequency, and other tests required, e.g. endoscopies.</w:t>
      </w:r>
    </w:p>
    <w:p w14:paraId="7A54C4BB" w14:textId="77777777" w:rsidR="0033552D" w:rsidRDefault="0033552D" w:rsidP="0033552D">
      <w:pPr>
        <w:pStyle w:val="NCLHeading2"/>
      </w:pPr>
      <w:r>
        <w:t>Budget impact</w:t>
      </w:r>
    </w:p>
    <w:p w14:paraId="210C3618" w14:textId="77777777" w:rsidR="00C24315" w:rsidRPr="00000A09" w:rsidRDefault="00C24315" w:rsidP="00000A09">
      <w:pPr>
        <w:pStyle w:val="NCLBodyText"/>
      </w:pPr>
      <w:r w:rsidRPr="00000A09">
        <w:t xml:space="preserve">Consider the likely budgetary impact.  If available this section might also report the estimated cost per 100 000 population; to include:  </w:t>
      </w:r>
    </w:p>
    <w:p w14:paraId="6C83E971" w14:textId="77777777" w:rsidR="00C24315" w:rsidRDefault="00C24315" w:rsidP="00000A09">
      <w:pPr>
        <w:pStyle w:val="ListBullet"/>
      </w:pPr>
      <w:r w:rsidRPr="00000A09">
        <w:t>The cost of treatment for an individual patient per unit of time</w:t>
      </w:r>
    </w:p>
    <w:p w14:paraId="1B9F9322" w14:textId="77777777" w:rsidR="00E358B3" w:rsidRPr="00000A09" w:rsidRDefault="00E358B3" w:rsidP="00000A09">
      <w:pPr>
        <w:pStyle w:val="ListBullet"/>
      </w:pPr>
      <w:r>
        <w:t>Anticipated number of patients to be treated across Trust/NCL</w:t>
      </w:r>
    </w:p>
    <w:p w14:paraId="53DC3539" w14:textId="77777777" w:rsidR="00C24315" w:rsidRPr="00000A09" w:rsidRDefault="00C24315" w:rsidP="00000A09">
      <w:pPr>
        <w:pStyle w:val="ListBullet"/>
      </w:pPr>
      <w:r w:rsidRPr="00000A09">
        <w:t xml:space="preserve">Estimated non-recurrent costs of </w:t>
      </w:r>
      <w:r w:rsidR="00AF0506">
        <w:t>adopting the technology per 100,</w:t>
      </w:r>
      <w:r w:rsidRPr="00000A09">
        <w:t>000 population (and the epidemiological data that is based on)</w:t>
      </w:r>
    </w:p>
    <w:p w14:paraId="41F2BC8D" w14:textId="77777777" w:rsidR="00C24315" w:rsidRPr="00000A09" w:rsidRDefault="00C24315" w:rsidP="00000A09">
      <w:pPr>
        <w:pStyle w:val="ListBullet"/>
      </w:pPr>
      <w:r w:rsidRPr="00000A09">
        <w:t xml:space="preserve">Estimated recurrent costs of </w:t>
      </w:r>
      <w:r w:rsidR="00AF0506">
        <w:t>adopting the technology per 100,</w:t>
      </w:r>
      <w:r w:rsidRPr="00000A09">
        <w:t xml:space="preserve">000 population (and the epidemiological data that is based on)   </w:t>
      </w:r>
    </w:p>
    <w:p w14:paraId="183835D5" w14:textId="77777777" w:rsidR="00211CC0" w:rsidRDefault="00211CC0" w:rsidP="00211CC0">
      <w:pPr>
        <w:pStyle w:val="NCLHeading1"/>
      </w:pPr>
      <w:r>
        <w:t>Suitability for GP prescribing</w:t>
      </w:r>
    </w:p>
    <w:p w14:paraId="3F75E03B" w14:textId="77777777" w:rsidR="00325A5B" w:rsidRDefault="003D5111" w:rsidP="00F7561F">
      <w:pPr>
        <w:pStyle w:val="NCLBodyText"/>
        <w:tabs>
          <w:tab w:val="left" w:pos="3016"/>
        </w:tabs>
      </w:pPr>
      <w:sdt>
        <w:sdtPr>
          <w:alias w:val="Suitability for GP prescribing"/>
          <w:tag w:val="Suitability for GP prescribing"/>
          <w:id w:val="1227885462"/>
          <w:placeholder>
            <w:docPart w:val="805F389084CB403492D98EF182ABD213"/>
          </w:placeholder>
          <w:showingPlcHdr/>
          <w:dropDownList>
            <w:listItem w:value="Choose an item."/>
            <w:listItem w:displayText="Suitable for GP initiation" w:value="Suitable for GP initiation"/>
            <w:listItem w:displayText="Specialist initiation and GP continuation (no shared care / fact sheet)" w:value="Specialist initiation and GP continuation (no shared care / fact sheet)"/>
            <w:listItem w:displayText="Specialist initiation and GP continuation (with shared care / fact sheet)" w:value="Specialist initiation and GP continuation (with shared care / fact sheet)"/>
            <w:listItem w:displayText="Secondary care prescribing only" w:value="Secondary care prescribing only"/>
          </w:dropDownList>
        </w:sdtPr>
        <w:sdtEndPr/>
        <w:sdtContent>
          <w:r w:rsidR="00CC212A" w:rsidRPr="00162F2F">
            <w:rPr>
              <w:rStyle w:val="PlaceholderText"/>
            </w:rPr>
            <w:t>Choose an item.</w:t>
          </w:r>
        </w:sdtContent>
      </w:sdt>
      <w:r w:rsidR="00F7561F">
        <w:tab/>
      </w:r>
    </w:p>
    <w:p w14:paraId="28280596" w14:textId="77777777" w:rsidR="00F7561F" w:rsidRPr="00000A09" w:rsidRDefault="00F7561F" w:rsidP="00000A09">
      <w:pPr>
        <w:pStyle w:val="NCLBodyText"/>
      </w:pPr>
      <w:r w:rsidRPr="00000A09">
        <w:t xml:space="preserve">Shared care is not appropriate if patient numbers are low (&lt;2/100 000 population). </w:t>
      </w:r>
    </w:p>
    <w:p w14:paraId="226B1047" w14:textId="77777777" w:rsidR="00F7561F" w:rsidRPr="00000A09" w:rsidRDefault="00F7561F" w:rsidP="00000A09">
      <w:pPr>
        <w:pStyle w:val="NCLBodyText"/>
      </w:pPr>
      <w:r w:rsidRPr="00000A09">
        <w:t>Shared care should be reserved for drugs that require specialist involvement for patient selection, initiation, stabilisation and monitoring; and where regular monitoring is required on an ongoing basis and/or there is a need for specialist assessment for effectiveness/toxicity.</w:t>
      </w:r>
    </w:p>
    <w:p w14:paraId="005C43E5" w14:textId="77777777" w:rsidR="00783EAB" w:rsidRDefault="00783EAB" w:rsidP="00E84973">
      <w:pPr>
        <w:pStyle w:val="NCLHeading1"/>
      </w:pPr>
      <w:r>
        <w:t xml:space="preserve">Legal status &amp; procurement </w:t>
      </w:r>
    </w:p>
    <w:p w14:paraId="6EA56255" w14:textId="77777777" w:rsidR="00783EAB" w:rsidRDefault="00783EAB" w:rsidP="00783EAB">
      <w:pPr>
        <w:pStyle w:val="NCLBodyText"/>
        <w:tabs>
          <w:tab w:val="left" w:pos="3016"/>
        </w:tabs>
      </w:pPr>
      <w:r>
        <w:t xml:space="preserve">Legal status: </w:t>
      </w:r>
      <w:sdt>
        <w:sdtPr>
          <w:alias w:val="Legal status"/>
          <w:tag w:val="Legal status"/>
          <w:id w:val="1757856336"/>
          <w:placeholder>
            <w:docPart w:val="4CEE7030238B458795C27B84F1ED78CF"/>
          </w:placeholder>
          <w:showingPlcHdr/>
          <w:dropDownList>
            <w:listItem w:value="Choose an item."/>
            <w:listItem w:displayText="POM" w:value="POM"/>
            <w:listItem w:displayText="P" w:value="P"/>
            <w:listItem w:displayText="GSL" w:value="GSL"/>
            <w:listItem w:displayText="CD" w:value="CD"/>
            <w:listItem w:displayText="Unlicensed" w:value="Unlicensed"/>
          </w:dropDownList>
        </w:sdtPr>
        <w:sdtEndPr/>
        <w:sdtContent>
          <w:r w:rsidRPr="00162F2F">
            <w:rPr>
              <w:rStyle w:val="PlaceholderText"/>
            </w:rPr>
            <w:t>Choose an item.</w:t>
          </w:r>
        </w:sdtContent>
      </w:sdt>
      <w:r>
        <w:tab/>
      </w:r>
    </w:p>
    <w:p w14:paraId="59BA5548" w14:textId="77777777" w:rsidR="00783EAB" w:rsidRDefault="00932DE3" w:rsidP="00932DE3">
      <w:pPr>
        <w:pStyle w:val="NCLBodyText"/>
        <w:tabs>
          <w:tab w:val="left" w:pos="3016"/>
          <w:tab w:val="left" w:pos="5217"/>
        </w:tabs>
      </w:pPr>
      <w:r>
        <w:t xml:space="preserve">Storage &amp; handling requirements: </w:t>
      </w:r>
      <w:sdt>
        <w:sdtPr>
          <w:alias w:val="Storage &amp; handling"/>
          <w:tag w:val="Storage &amp; handling"/>
          <w:id w:val="673543500"/>
          <w:placeholder>
            <w:docPart w:val="2468E18E43F448F3A2A9C418AA8DD9D1"/>
          </w:placeholder>
          <w:showingPlcHdr/>
          <w:dropDownList>
            <w:listItem w:value="Choose an item."/>
            <w:listItem w:displayText="Nil" w:value="Nil"/>
            <w:listItem w:displayText="Fridge" w:value="Fridge"/>
            <w:listItem w:displayText="Freezer" w:value="Freezer"/>
            <w:listItem w:displayText="Cytotoxic" w:value="Cytotoxic"/>
            <w:listItem w:displayText="Other (please list)" w:value="Other (please list)"/>
          </w:dropDownList>
        </w:sdtPr>
        <w:sdtEndPr/>
        <w:sdtContent>
          <w:r w:rsidRPr="005E1568">
            <w:rPr>
              <w:rStyle w:val="PlaceholderText"/>
            </w:rPr>
            <w:t>Choose an item.</w:t>
          </w:r>
        </w:sdtContent>
      </w:sdt>
      <w:r>
        <w:tab/>
      </w:r>
    </w:p>
    <w:p w14:paraId="5C66A3DD" w14:textId="77777777" w:rsidR="00932DE3" w:rsidRPr="00783EAB" w:rsidRDefault="00932DE3" w:rsidP="00932DE3">
      <w:pPr>
        <w:pStyle w:val="NCLBodyText"/>
        <w:tabs>
          <w:tab w:val="left" w:pos="3016"/>
          <w:tab w:val="left" w:pos="5217"/>
        </w:tabs>
      </w:pPr>
      <w:r>
        <w:t xml:space="preserve">Consider access in the community for unlicensed medicines; is the drug available via Import or from a Special’s Manufacturer. </w:t>
      </w:r>
    </w:p>
    <w:p w14:paraId="68A94706" w14:textId="77777777" w:rsidR="00A1322D" w:rsidRDefault="00A1322D" w:rsidP="00325A5B">
      <w:pPr>
        <w:pStyle w:val="NCLBodyText"/>
      </w:pPr>
    </w:p>
    <w:p w14:paraId="4116A70B" w14:textId="77777777" w:rsidR="00A1322D" w:rsidRDefault="00A1322D" w:rsidP="00325A5B">
      <w:pPr>
        <w:pStyle w:val="NCLBodyText"/>
      </w:pPr>
    </w:p>
    <w:tbl>
      <w:tblPr>
        <w:tblStyle w:val="Report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45"/>
      </w:tblGrid>
      <w:tr w:rsidR="00CC0BCE" w:rsidRPr="00CC0BCE" w14:paraId="01C417E9" w14:textId="77777777" w:rsidTr="00AF0506">
        <w:trPr>
          <w:cnfStyle w:val="100000000000" w:firstRow="1" w:lastRow="0" w:firstColumn="0" w:lastColumn="0" w:oddVBand="0" w:evenVBand="0" w:oddHBand="0"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14:paraId="1D13201F" w14:textId="77777777" w:rsidR="00CC0BCE" w:rsidRPr="00DC7C2A" w:rsidRDefault="00CC0BCE" w:rsidP="00CC0BCE">
            <w:pPr>
              <w:pStyle w:val="NCLTableText"/>
              <w:spacing w:before="0" w:after="0"/>
              <w:rPr>
                <w:b w:val="0"/>
              </w:rPr>
            </w:pPr>
            <w:r w:rsidRPr="00DC7C2A">
              <w:rPr>
                <w:b w:val="0"/>
              </w:rPr>
              <w:t xml:space="preserve">Author(s): </w:t>
            </w:r>
          </w:p>
        </w:tc>
      </w:tr>
      <w:tr w:rsidR="00DC7C2A" w:rsidRPr="00CC0BCE" w14:paraId="5FC574C9" w14:textId="77777777" w:rsidTr="00AF0506">
        <w:trPr>
          <w:trHeight w:val="185"/>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14:paraId="5AD60688" w14:textId="77777777" w:rsidR="00DC7C2A" w:rsidRPr="00CC0BCE" w:rsidRDefault="00DC7C2A" w:rsidP="00CC0BCE">
            <w:pPr>
              <w:pStyle w:val="NCLTableText"/>
              <w:spacing w:before="0" w:after="0"/>
            </w:pPr>
            <w:r>
              <w:t>Job role</w:t>
            </w:r>
            <w:r w:rsidRPr="00CC0BCE">
              <w:t>:</w:t>
            </w:r>
          </w:p>
        </w:tc>
      </w:tr>
      <w:tr w:rsidR="00DC7C2A" w:rsidRPr="00CC0BCE" w14:paraId="6156DDCC" w14:textId="77777777" w:rsidTr="00AF0506">
        <w:trPr>
          <w:trHeight w:val="185"/>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14:paraId="351E2AA5" w14:textId="77777777" w:rsidR="00DC7C2A" w:rsidRPr="00CC0BCE" w:rsidRDefault="00DC7C2A" w:rsidP="00CC0BCE">
            <w:pPr>
              <w:pStyle w:val="NCLTableText"/>
              <w:spacing w:before="0" w:after="0"/>
            </w:pPr>
            <w:r>
              <w:t>Site</w:t>
            </w:r>
            <w:r w:rsidRPr="00CC0BCE">
              <w:t>:</w:t>
            </w:r>
          </w:p>
        </w:tc>
      </w:tr>
      <w:tr w:rsidR="00CC0BCE" w:rsidRPr="00CC0BCE" w14:paraId="5E7D5134" w14:textId="77777777" w:rsidTr="00AF0506">
        <w:trPr>
          <w:trHeight w:val="185"/>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14:paraId="5C87BD7D" w14:textId="77777777" w:rsidR="00CC0BCE" w:rsidRPr="00CC0BCE" w:rsidRDefault="00CC0BCE" w:rsidP="00CC0BCE">
            <w:pPr>
              <w:pStyle w:val="NCLTableText"/>
              <w:spacing w:before="0" w:after="0"/>
            </w:pPr>
            <w:r w:rsidRPr="00CC0BCE">
              <w:t xml:space="preserve">Conflicts of interest: </w:t>
            </w:r>
          </w:p>
        </w:tc>
      </w:tr>
      <w:tr w:rsidR="00CC0BCE" w:rsidRPr="00CC0BCE" w14:paraId="2A765377" w14:textId="77777777" w:rsidTr="00AF0506">
        <w:trPr>
          <w:trHeight w:val="185"/>
        </w:trPr>
        <w:tc>
          <w:tcPr>
            <w:cnfStyle w:val="001000000000" w:firstRow="0" w:lastRow="0" w:firstColumn="1" w:lastColumn="0" w:oddVBand="0" w:evenVBand="0" w:oddHBand="0" w:evenHBand="0" w:firstRowFirstColumn="0" w:firstRowLastColumn="0" w:lastRowFirstColumn="0" w:lastRowLastColumn="0"/>
            <w:tcW w:w="6345" w:type="dxa"/>
            <w:shd w:val="clear" w:color="auto" w:fill="auto"/>
          </w:tcPr>
          <w:p w14:paraId="08A12E35" w14:textId="77777777" w:rsidR="00CC0BCE" w:rsidRPr="00CC0BCE" w:rsidRDefault="00CC0BCE" w:rsidP="00CC0BCE">
            <w:pPr>
              <w:pStyle w:val="NCLTableText"/>
              <w:spacing w:before="0" w:after="0"/>
            </w:pPr>
            <w:r w:rsidRPr="00CC0BCE">
              <w:t>JFC</w:t>
            </w:r>
            <w:r w:rsidR="00571086">
              <w:t>/DTC</w:t>
            </w:r>
            <w:r w:rsidRPr="00CC0BCE">
              <w:t xml:space="preserve"> review date: </w:t>
            </w:r>
          </w:p>
        </w:tc>
      </w:tr>
    </w:tbl>
    <w:p w14:paraId="186CB627" w14:textId="77777777" w:rsidR="0033552D" w:rsidRDefault="0033552D" w:rsidP="00830959">
      <w:pPr>
        <w:pStyle w:val="NCLAppendix"/>
      </w:pPr>
      <w:r>
        <w:t>References</w:t>
      </w:r>
    </w:p>
    <w:p w14:paraId="1D94B94E" w14:textId="77777777" w:rsidR="00AF0506" w:rsidRDefault="00AF0506" w:rsidP="00AF0506">
      <w:pPr>
        <w:pStyle w:val="NCLBodyText"/>
      </w:pPr>
    </w:p>
    <w:p w14:paraId="6D95B595" w14:textId="77777777" w:rsidR="00AF0506" w:rsidRPr="0033552D" w:rsidRDefault="00AF0506" w:rsidP="00830959">
      <w:pPr>
        <w:pStyle w:val="NCLAppendix"/>
      </w:pPr>
    </w:p>
    <w:sectPr w:rsidR="00AF0506" w:rsidRPr="0033552D" w:rsidSect="00174110">
      <w:headerReference w:type="first" r:id="rId18"/>
      <w:footnotePr>
        <w:numFmt w:val="lowerLetter"/>
      </w:footnotePr>
      <w:pgSz w:w="11906" w:h="16838"/>
      <w:pgMar w:top="1134" w:right="1440" w:bottom="1440" w:left="1134" w:header="709"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ron, Andrew" w:date="2019-10-14T09:03:00Z" w:initials="BA">
    <w:p w14:paraId="23640393" w14:textId="77777777" w:rsidR="00624F18" w:rsidRDefault="00624F18" w:rsidP="00624F18">
      <w:pPr>
        <w:pStyle w:val="CommentText"/>
      </w:pPr>
      <w:r>
        <w:rPr>
          <w:rStyle w:val="CommentReference"/>
        </w:rPr>
        <w:annotationRef/>
      </w:r>
    </w:p>
    <w:p w14:paraId="4EE9EE5A" w14:textId="77777777" w:rsidR="00624F18" w:rsidRPr="00A1322D" w:rsidRDefault="00624F18" w:rsidP="00624F18">
      <w:pPr>
        <w:pStyle w:val="CommentText"/>
      </w:pPr>
      <w:r w:rsidRPr="00A1322D">
        <w:t xml:space="preserve">Efficacy: </w:t>
      </w:r>
    </w:p>
    <w:p w14:paraId="7F69C543" w14:textId="77777777" w:rsidR="00624F18" w:rsidRPr="00A1322D" w:rsidRDefault="00624F18" w:rsidP="00624F18">
      <w:pPr>
        <w:pStyle w:val="CommentText"/>
        <w:numPr>
          <w:ilvl w:val="0"/>
          <w:numId w:val="7"/>
        </w:numPr>
      </w:pPr>
      <w:r w:rsidRPr="00A1322D">
        <w:t>Green = SLR+MA, RCT</w:t>
      </w:r>
    </w:p>
    <w:p w14:paraId="17C1A1FD" w14:textId="77777777" w:rsidR="00624F18" w:rsidRPr="00A1322D" w:rsidRDefault="00624F18" w:rsidP="00624F18">
      <w:pPr>
        <w:pStyle w:val="CommentText"/>
        <w:numPr>
          <w:ilvl w:val="0"/>
          <w:numId w:val="7"/>
        </w:numPr>
      </w:pPr>
      <w:r w:rsidRPr="00A1322D">
        <w:t>Amber = Open label, cohort studies</w:t>
      </w:r>
    </w:p>
    <w:p w14:paraId="7A702A1E" w14:textId="77777777" w:rsidR="00624F18" w:rsidRDefault="00624F18" w:rsidP="00624F18">
      <w:pPr>
        <w:pStyle w:val="CommentText"/>
        <w:numPr>
          <w:ilvl w:val="0"/>
          <w:numId w:val="7"/>
        </w:numPr>
      </w:pPr>
      <w:r w:rsidRPr="00A1322D">
        <w:t>Red = Case series, expert opion, abstract only, no data</w:t>
      </w:r>
    </w:p>
  </w:comment>
  <w:comment w:id="1" w:author="Barron, Andrew" w:date="2019-10-14T09:04:00Z" w:initials="BA">
    <w:p w14:paraId="3C0CBE7B" w14:textId="77777777" w:rsidR="00624F18" w:rsidRDefault="00624F18" w:rsidP="00624F18">
      <w:pPr>
        <w:pStyle w:val="CommentText"/>
      </w:pPr>
      <w:r>
        <w:rPr>
          <w:rStyle w:val="CommentReference"/>
        </w:rPr>
        <w:annotationRef/>
      </w:r>
    </w:p>
    <w:p w14:paraId="4FF438A5" w14:textId="77777777" w:rsidR="00624F18" w:rsidRPr="00A1322D" w:rsidRDefault="00624F18" w:rsidP="00624F18">
      <w:pPr>
        <w:pStyle w:val="CommentText"/>
      </w:pPr>
      <w:r w:rsidRPr="00A1322D">
        <w:t>Safety</w:t>
      </w:r>
    </w:p>
    <w:p w14:paraId="672DE21D" w14:textId="77777777" w:rsidR="00624F18" w:rsidRPr="00A1322D" w:rsidRDefault="00624F18" w:rsidP="00624F18">
      <w:pPr>
        <w:pStyle w:val="CommentText"/>
        <w:numPr>
          <w:ilvl w:val="0"/>
          <w:numId w:val="8"/>
        </w:numPr>
      </w:pPr>
      <w:r w:rsidRPr="00A1322D">
        <w:t>Red = any of the following</w:t>
      </w:r>
    </w:p>
    <w:p w14:paraId="66485A02" w14:textId="77777777" w:rsidR="00624F18" w:rsidRPr="00A1322D" w:rsidRDefault="00624F18" w:rsidP="00624F18">
      <w:pPr>
        <w:pStyle w:val="CommentText"/>
        <w:numPr>
          <w:ilvl w:val="1"/>
          <w:numId w:val="8"/>
        </w:numPr>
      </w:pPr>
      <w:r w:rsidRPr="00A1322D">
        <w:t xml:space="preserve">Unknown risk </w:t>
      </w:r>
    </w:p>
    <w:p w14:paraId="00B1F904" w14:textId="77777777" w:rsidR="00624F18" w:rsidRPr="00A1322D" w:rsidRDefault="00624F18" w:rsidP="00624F18">
      <w:pPr>
        <w:pStyle w:val="CommentText"/>
        <w:numPr>
          <w:ilvl w:val="1"/>
          <w:numId w:val="8"/>
        </w:numPr>
      </w:pPr>
      <w:r w:rsidRPr="00A1322D">
        <w:t xml:space="preserve">Narrow therapeutic index including drugs requiring therapeutic drug  monitoring </w:t>
      </w:r>
    </w:p>
    <w:p w14:paraId="46AAAC59" w14:textId="77777777" w:rsidR="00624F18" w:rsidRPr="00A1322D" w:rsidRDefault="00624F18" w:rsidP="00624F18">
      <w:pPr>
        <w:pStyle w:val="CommentText"/>
        <w:numPr>
          <w:ilvl w:val="1"/>
          <w:numId w:val="8"/>
        </w:numPr>
      </w:pPr>
      <w:r w:rsidRPr="00A1322D">
        <w:t>Drug subject to specific safety concerns e.g. MHRA drug safety update or SPS</w:t>
      </w:r>
    </w:p>
    <w:p w14:paraId="1CA2BE62" w14:textId="77777777" w:rsidR="00624F18" w:rsidRPr="00A1322D" w:rsidRDefault="00624F18" w:rsidP="00624F18">
      <w:pPr>
        <w:pStyle w:val="CommentText"/>
        <w:numPr>
          <w:ilvl w:val="1"/>
          <w:numId w:val="8"/>
        </w:numPr>
      </w:pPr>
      <w:r w:rsidRPr="00A1322D">
        <w:t xml:space="preserve">High risk of serious adverse effects </w:t>
      </w:r>
    </w:p>
    <w:p w14:paraId="2A6E71B2" w14:textId="77777777" w:rsidR="00624F18" w:rsidRPr="00A1322D" w:rsidRDefault="00624F18" w:rsidP="00624F18">
      <w:pPr>
        <w:pStyle w:val="CommentText"/>
        <w:numPr>
          <w:ilvl w:val="0"/>
          <w:numId w:val="8"/>
        </w:numPr>
      </w:pPr>
      <w:r w:rsidRPr="00A1322D">
        <w:t>Amber = Moderate risk of serious adverse effects</w:t>
      </w:r>
      <w:r>
        <w:t xml:space="preserve"> </w:t>
      </w:r>
    </w:p>
    <w:p w14:paraId="6A0C8710" w14:textId="77777777" w:rsidR="00624F18" w:rsidRDefault="00624F18" w:rsidP="00624F18">
      <w:pPr>
        <w:pStyle w:val="CommentText"/>
        <w:numPr>
          <w:ilvl w:val="0"/>
          <w:numId w:val="8"/>
        </w:numPr>
      </w:pPr>
      <w:r w:rsidRPr="00A1322D">
        <w:t>Green = Low risk of serious adverse effects</w:t>
      </w:r>
      <w:r>
        <w:t xml:space="preserve"> </w:t>
      </w:r>
      <w:r w:rsidRPr="00A1322D">
        <w:t>or similar incidence of severe adverse effects than placebo</w:t>
      </w:r>
    </w:p>
  </w:comment>
  <w:comment w:id="2" w:author="Barron, Andrew" w:date="2019-10-14T09:04:00Z" w:initials="BA">
    <w:p w14:paraId="7DA66300" w14:textId="77777777" w:rsidR="00624F18" w:rsidRDefault="00624F18" w:rsidP="00624F18">
      <w:pPr>
        <w:pStyle w:val="CommentText"/>
      </w:pPr>
      <w:r>
        <w:rPr>
          <w:rStyle w:val="CommentReference"/>
        </w:rPr>
        <w:annotationRef/>
      </w:r>
    </w:p>
    <w:p w14:paraId="7330F04E" w14:textId="77777777" w:rsidR="00624F18" w:rsidRPr="00A1322D" w:rsidRDefault="00624F18" w:rsidP="00624F18">
      <w:pPr>
        <w:pStyle w:val="CommentText"/>
      </w:pPr>
      <w:r w:rsidRPr="00A1322D">
        <w:t>Convenience:</w:t>
      </w:r>
    </w:p>
    <w:p w14:paraId="377FE389" w14:textId="77777777" w:rsidR="00624F18" w:rsidRPr="00A1322D" w:rsidRDefault="00624F18" w:rsidP="00624F18">
      <w:pPr>
        <w:pStyle w:val="CommentText"/>
        <w:numPr>
          <w:ilvl w:val="0"/>
          <w:numId w:val="10"/>
        </w:numPr>
      </w:pPr>
      <w:r w:rsidRPr="00A1322D">
        <w:t xml:space="preserve">Green = better than active comparator and/or similar to placebo </w:t>
      </w:r>
    </w:p>
    <w:p w14:paraId="4048DAB5" w14:textId="77777777" w:rsidR="00624F18" w:rsidRPr="00A1322D" w:rsidRDefault="00624F18" w:rsidP="00624F18">
      <w:pPr>
        <w:pStyle w:val="CommentText"/>
        <w:numPr>
          <w:ilvl w:val="0"/>
          <w:numId w:val="10"/>
        </w:numPr>
      </w:pPr>
      <w:r w:rsidRPr="00A1322D">
        <w:t xml:space="preserve">Amber = similar to active comparator </w:t>
      </w:r>
    </w:p>
    <w:p w14:paraId="45FB26B9" w14:textId="77777777" w:rsidR="00624F18" w:rsidRDefault="00624F18" w:rsidP="00624F18">
      <w:pPr>
        <w:pStyle w:val="CommentText"/>
        <w:numPr>
          <w:ilvl w:val="0"/>
          <w:numId w:val="10"/>
        </w:numPr>
      </w:pPr>
      <w:r w:rsidRPr="00A1322D">
        <w:t>Red = worse than active comparator</w:t>
      </w:r>
    </w:p>
  </w:comment>
  <w:comment w:id="3" w:author="Barron, Andrew" w:date="2019-10-14T09:04:00Z" w:initials="BA">
    <w:p w14:paraId="4F09604C" w14:textId="77777777" w:rsidR="00624F18" w:rsidRDefault="00624F18" w:rsidP="00624F18">
      <w:pPr>
        <w:pStyle w:val="CommentText"/>
      </w:pPr>
      <w:r>
        <w:rPr>
          <w:rStyle w:val="CommentReference"/>
        </w:rPr>
        <w:annotationRef/>
      </w:r>
    </w:p>
    <w:p w14:paraId="35C01C53" w14:textId="77777777" w:rsidR="00624F18" w:rsidRPr="00A1322D" w:rsidRDefault="00624F18" w:rsidP="00624F18">
      <w:pPr>
        <w:pStyle w:val="CommentText"/>
      </w:pPr>
      <w:r w:rsidRPr="00A1322D">
        <w:t>Budget impact for NCL</w:t>
      </w:r>
    </w:p>
    <w:p w14:paraId="260B7864" w14:textId="77777777" w:rsidR="00624F18" w:rsidRPr="00A1322D" w:rsidRDefault="00624F18" w:rsidP="00624F18">
      <w:pPr>
        <w:pStyle w:val="CommentText"/>
        <w:numPr>
          <w:ilvl w:val="0"/>
          <w:numId w:val="11"/>
        </w:numPr>
      </w:pPr>
      <w:r w:rsidRPr="00A1322D">
        <w:t>Red = &gt;£15,000</w:t>
      </w:r>
    </w:p>
    <w:p w14:paraId="21165ECF" w14:textId="77777777" w:rsidR="00624F18" w:rsidRPr="00A1322D" w:rsidRDefault="00624F18" w:rsidP="00624F18">
      <w:pPr>
        <w:pStyle w:val="CommentText"/>
        <w:numPr>
          <w:ilvl w:val="0"/>
          <w:numId w:val="11"/>
        </w:numPr>
      </w:pPr>
      <w:r w:rsidRPr="00A1322D">
        <w:t>Amber = £0-£15,000</w:t>
      </w:r>
    </w:p>
    <w:p w14:paraId="723FF3CD" w14:textId="77777777" w:rsidR="00624F18" w:rsidRPr="00A1322D" w:rsidRDefault="00624F18" w:rsidP="00624F18">
      <w:pPr>
        <w:pStyle w:val="CommentText"/>
        <w:numPr>
          <w:ilvl w:val="0"/>
          <w:numId w:val="11"/>
        </w:numPr>
      </w:pPr>
      <w:r w:rsidRPr="00A1322D">
        <w:t>Green = cost-minimising</w:t>
      </w:r>
    </w:p>
    <w:p w14:paraId="1A79000D" w14:textId="77777777" w:rsidR="00624F18" w:rsidRDefault="00624F18" w:rsidP="00624F18">
      <w:pPr>
        <w:pStyle w:val="CommentText"/>
        <w:numPr>
          <w:ilvl w:val="0"/>
          <w:numId w:val="11"/>
        </w:numPr>
      </w:pPr>
      <w:r w:rsidRPr="00A1322D">
        <w:t>Grey = NHSE</w:t>
      </w:r>
    </w:p>
  </w:comment>
  <w:comment w:id="4" w:author="Barron, Andrew" w:date="2019-10-14T09:05:00Z" w:initials="BA">
    <w:p w14:paraId="2F03C0E0" w14:textId="77777777" w:rsidR="00624F18" w:rsidRDefault="00624F18" w:rsidP="00624F18">
      <w:pPr>
        <w:pStyle w:val="CommentText"/>
      </w:pPr>
      <w:r>
        <w:rPr>
          <w:rStyle w:val="CommentReference"/>
        </w:rPr>
        <w:annotationRef/>
      </w:r>
    </w:p>
    <w:p w14:paraId="3E0B1629" w14:textId="77777777" w:rsidR="00624F18" w:rsidRPr="00A1322D" w:rsidRDefault="00624F18" w:rsidP="00624F18">
      <w:pPr>
        <w:pStyle w:val="CommentText"/>
      </w:pPr>
      <w:r w:rsidRPr="00A1322D">
        <w:t>Recommended by national or international guidance</w:t>
      </w:r>
    </w:p>
    <w:p w14:paraId="4A5DF2FE" w14:textId="77777777" w:rsidR="00624F18" w:rsidRPr="00A1322D" w:rsidRDefault="00624F18" w:rsidP="00624F18">
      <w:pPr>
        <w:numPr>
          <w:ilvl w:val="0"/>
          <w:numId w:val="13"/>
        </w:numPr>
        <w:spacing w:after="0"/>
      </w:pPr>
      <w:r w:rsidRPr="00A1322D">
        <w:rPr>
          <w:rFonts w:eastAsiaTheme="minorHAnsi" w:cstheme="minorBidi"/>
        </w:rPr>
        <w:t>Green = BNF/BNFc, ToxBase, UK national guidance</w:t>
      </w:r>
      <w:r>
        <w:t xml:space="preserve"> (</w:t>
      </w:r>
      <w:r w:rsidRPr="00B7465A">
        <w:t>NICE, SIGN, PHE, SMC, NHSE, DoH</w:t>
      </w:r>
      <w:r>
        <w:t>)</w:t>
      </w:r>
    </w:p>
    <w:p w14:paraId="113FDAC9" w14:textId="77777777" w:rsidR="00624F18" w:rsidRPr="00A1322D" w:rsidRDefault="00624F18" w:rsidP="00624F18">
      <w:pPr>
        <w:pStyle w:val="CommentText"/>
        <w:numPr>
          <w:ilvl w:val="0"/>
          <w:numId w:val="12"/>
        </w:numPr>
      </w:pPr>
      <w:r w:rsidRPr="00A1322D">
        <w:t>Amber = Martindale, Micromedex, Other UK/EU guidance, Non-EU guidance, UpToDate</w:t>
      </w:r>
      <w:r>
        <w:t xml:space="preserve"> </w:t>
      </w:r>
    </w:p>
    <w:p w14:paraId="59B902B2" w14:textId="77777777" w:rsidR="00624F18" w:rsidRDefault="00624F18" w:rsidP="00624F18">
      <w:pPr>
        <w:pStyle w:val="CommentText"/>
        <w:numPr>
          <w:ilvl w:val="0"/>
          <w:numId w:val="12"/>
        </w:numPr>
      </w:pPr>
      <w:r w:rsidRPr="00A1322D">
        <w:t>Red = no recommendations identified</w:t>
      </w:r>
    </w:p>
  </w:comment>
  <w:comment w:id="5" w:author="Barron, Andrew" w:date="2018-08-08T08:04:00Z" w:initials="BA">
    <w:p w14:paraId="29A950EA" w14:textId="77777777" w:rsidR="00E506C9" w:rsidRDefault="00E506C9">
      <w:pPr>
        <w:pStyle w:val="CommentText"/>
      </w:pPr>
      <w:r>
        <w:rPr>
          <w:rStyle w:val="CommentReference"/>
        </w:rPr>
        <w:annotationRef/>
      </w:r>
    </w:p>
    <w:p w14:paraId="5F91EA36" w14:textId="77777777" w:rsidR="00E506C9" w:rsidRDefault="00E506C9">
      <w:pPr>
        <w:pStyle w:val="CommentText"/>
      </w:pPr>
      <w:r>
        <w:t>ALL USERS:</w:t>
      </w:r>
    </w:p>
    <w:p w14:paraId="7BD30536" w14:textId="77777777" w:rsidR="00BF68B6" w:rsidRDefault="00E506C9">
      <w:pPr>
        <w:pStyle w:val="CommentText"/>
      </w:pPr>
      <w:r>
        <w:t>Please use the ‘Styles’ above to ensure constant formatting</w:t>
      </w:r>
      <w:r w:rsidR="00BF68B6">
        <w:t>;</w:t>
      </w:r>
      <w:r>
        <w:t xml:space="preserve"> </w:t>
      </w:r>
      <w:r w:rsidR="00BF68B6">
        <w:t>manually changing</w:t>
      </w:r>
      <w:r>
        <w:t xml:space="preserve"> font or paragraph settings</w:t>
      </w:r>
      <w:r w:rsidR="00BF68B6">
        <w:t xml:space="preserve"> should be a very rare </w:t>
      </w:r>
      <w:r w:rsidR="00F7561F">
        <w:t>occurrence</w:t>
      </w:r>
      <w:r>
        <w:t xml:space="preserve">. </w:t>
      </w:r>
    </w:p>
    <w:p w14:paraId="697BE286" w14:textId="77777777" w:rsidR="00E506C9" w:rsidRDefault="00E506C9">
      <w:pPr>
        <w:pStyle w:val="CommentText"/>
      </w:pPr>
      <w:r>
        <w:t xml:space="preserve">There are pre-set styles for </w:t>
      </w:r>
    </w:p>
    <w:p w14:paraId="50AE1CE6" w14:textId="77777777" w:rsidR="00E506C9" w:rsidRDefault="00E506C9" w:rsidP="00E506C9">
      <w:pPr>
        <w:pStyle w:val="CommentText"/>
        <w:numPr>
          <w:ilvl w:val="0"/>
          <w:numId w:val="6"/>
        </w:numPr>
      </w:pPr>
      <w:r>
        <w:t xml:space="preserve">Main body </w:t>
      </w:r>
      <w:r w:rsidR="00AD1391">
        <w:t xml:space="preserve">of text </w:t>
      </w:r>
      <w:r>
        <w:t>(NCL Body Text)</w:t>
      </w:r>
    </w:p>
    <w:p w14:paraId="429784D0" w14:textId="77777777" w:rsidR="00E506C9" w:rsidRDefault="00E506C9" w:rsidP="00E506C9">
      <w:pPr>
        <w:pStyle w:val="CommentText"/>
        <w:numPr>
          <w:ilvl w:val="0"/>
          <w:numId w:val="6"/>
        </w:numPr>
      </w:pPr>
      <w:r>
        <w:t>Main headings (NCL Heading 1)</w:t>
      </w:r>
    </w:p>
    <w:p w14:paraId="49CEF08F" w14:textId="77777777" w:rsidR="00E506C9" w:rsidRDefault="00E506C9" w:rsidP="00E506C9">
      <w:pPr>
        <w:pStyle w:val="CommentText"/>
        <w:numPr>
          <w:ilvl w:val="0"/>
          <w:numId w:val="6"/>
        </w:numPr>
      </w:pPr>
      <w:r>
        <w:t>Sub headings (NCL Heading 2)</w:t>
      </w:r>
    </w:p>
    <w:p w14:paraId="22EF855A" w14:textId="77777777" w:rsidR="00E506C9" w:rsidRDefault="00E506C9" w:rsidP="00E506C9">
      <w:pPr>
        <w:pStyle w:val="CommentText"/>
        <w:numPr>
          <w:ilvl w:val="0"/>
          <w:numId w:val="6"/>
        </w:numPr>
      </w:pPr>
      <w:r>
        <w:t>Subsection (NCL Subsection)</w:t>
      </w:r>
    </w:p>
    <w:p w14:paraId="59DB9AA5" w14:textId="77777777" w:rsidR="00E506C9" w:rsidRDefault="00E506C9" w:rsidP="00E506C9">
      <w:pPr>
        <w:pStyle w:val="CommentText"/>
        <w:numPr>
          <w:ilvl w:val="0"/>
          <w:numId w:val="6"/>
        </w:numPr>
      </w:pPr>
      <w:r>
        <w:t>Bullet points (List Bullet)</w:t>
      </w:r>
    </w:p>
    <w:p w14:paraId="58C89AAF" w14:textId="77777777" w:rsidR="00E506C9" w:rsidRDefault="00E506C9" w:rsidP="00E506C9">
      <w:pPr>
        <w:pStyle w:val="CommentText"/>
        <w:numPr>
          <w:ilvl w:val="0"/>
          <w:numId w:val="6"/>
        </w:numPr>
      </w:pPr>
      <w:r>
        <w:t xml:space="preserve">Numbering (List Number) </w:t>
      </w:r>
    </w:p>
    <w:p w14:paraId="22E31740" w14:textId="77777777" w:rsidR="00E506C9" w:rsidRDefault="00E506C9" w:rsidP="00E506C9">
      <w:pPr>
        <w:pStyle w:val="CommentText"/>
        <w:numPr>
          <w:ilvl w:val="0"/>
          <w:numId w:val="6"/>
        </w:numPr>
      </w:pPr>
      <w:r>
        <w:t>Table heading (NCL Table headings)</w:t>
      </w:r>
    </w:p>
    <w:p w14:paraId="7CFFA666" w14:textId="77777777" w:rsidR="00E506C9" w:rsidRDefault="00E506C9" w:rsidP="00E506C9">
      <w:pPr>
        <w:pStyle w:val="CommentText"/>
        <w:numPr>
          <w:ilvl w:val="0"/>
          <w:numId w:val="6"/>
        </w:numPr>
      </w:pPr>
      <w:r>
        <w:t>Table text (NCL Table Text)</w:t>
      </w:r>
    </w:p>
    <w:p w14:paraId="769F8113" w14:textId="77777777" w:rsidR="00E506C9" w:rsidRDefault="00E506C9" w:rsidP="00E506C9">
      <w:pPr>
        <w:pStyle w:val="CommentText"/>
        <w:numPr>
          <w:ilvl w:val="0"/>
          <w:numId w:val="6"/>
        </w:numPr>
      </w:pPr>
      <w:r>
        <w:t>Table footnotes (NCL Table Footnotes)</w:t>
      </w:r>
    </w:p>
    <w:p w14:paraId="6027B701" w14:textId="77777777" w:rsidR="00E506C9" w:rsidRDefault="00E506C9" w:rsidP="00E506C9">
      <w:pPr>
        <w:pStyle w:val="CommentText"/>
      </w:pPr>
    </w:p>
    <w:p w14:paraId="6EA47A00" w14:textId="77777777" w:rsidR="00E506C9" w:rsidRDefault="00E506C9" w:rsidP="00E506C9">
      <w:pPr>
        <w:pStyle w:val="CommentText"/>
      </w:pPr>
      <w:r>
        <w:t>NEVER copy and paste ‘with formatting’ into this document. Always ‘Right click’ + ‘Paste Options’ + ‘Keep Text Only’ (the ‘A’ symbol).</w:t>
      </w:r>
    </w:p>
    <w:p w14:paraId="36E94DA2" w14:textId="77777777" w:rsidR="00E506C9" w:rsidRDefault="00E506C9" w:rsidP="00E506C9">
      <w:pPr>
        <w:pStyle w:val="CommentText"/>
      </w:pPr>
    </w:p>
    <w:p w14:paraId="2F540E9A" w14:textId="77777777" w:rsidR="00E506C9" w:rsidRDefault="00E506C9" w:rsidP="00E506C9">
      <w:pPr>
        <w:pStyle w:val="CommentText"/>
      </w:pPr>
      <w:r>
        <w:t xml:space="preserve">If there are any problems, please contact </w:t>
      </w:r>
      <w:hyperlink r:id="rId1" w:history="1">
        <w:r w:rsidR="00744766" w:rsidRPr="00D166F3">
          <w:rPr>
            <w:rStyle w:val="Hyperlink"/>
          </w:rPr>
          <w:t>admin.ncl-mon@nhs.net</w:t>
        </w:r>
      </w:hyperlink>
      <w:r w:rsidR="00744766">
        <w:t xml:space="preserve"> </w:t>
      </w:r>
      <w:r>
        <w:t xml:space="preserve">  </w:t>
      </w:r>
    </w:p>
  </w:comment>
  <w:comment w:id="6" w:author="Barron, Andrew" w:date="2020-07-27T12:51:00Z" w:initials="BA">
    <w:p w14:paraId="46C1001D" w14:textId="77777777" w:rsidR="00744766" w:rsidRDefault="00744766">
      <w:pPr>
        <w:pStyle w:val="CommentText"/>
      </w:pPr>
      <w:r>
        <w:rPr>
          <w:rStyle w:val="CommentReference"/>
        </w:rPr>
        <w:annotationRef/>
      </w:r>
      <w:r>
        <w:t xml:space="preserve">Before you start, check the SPS </w:t>
      </w:r>
      <w:hyperlink r:id="rId2" w:history="1">
        <w:r w:rsidRPr="00D166F3">
          <w:rPr>
            <w:rStyle w:val="Hyperlink"/>
          </w:rPr>
          <w:t>https://www.sps.nhs.uk/</w:t>
        </w:r>
      </w:hyperlink>
      <w:r>
        <w:t xml:space="preserve"> which includes most ‘New product evaluations’ within each drug monograph. Also check NICE, SMC and AWMSG directly.</w:t>
      </w:r>
    </w:p>
    <w:p w14:paraId="752E2E07" w14:textId="77777777" w:rsidR="006D37DB" w:rsidRDefault="006D37DB">
      <w:pPr>
        <w:pStyle w:val="CommentText"/>
      </w:pPr>
    </w:p>
    <w:p w14:paraId="07A8A60D" w14:textId="77777777" w:rsidR="006D37DB" w:rsidRDefault="006D37DB">
      <w:pPr>
        <w:pStyle w:val="CommentText"/>
      </w:pPr>
      <w:r>
        <w:t xml:space="preserve">As a last report, search evidence.nhs.uk </w:t>
      </w:r>
    </w:p>
  </w:comment>
  <w:comment w:id="7" w:author="KASSAM, Mehreen (UNIVERSITY COLLEGE LONDON HOSPITALS NHS FOUNDATION TRUST)" w:date="2020-07-30T14:49:00Z" w:initials="KM(CLHNFT">
    <w:p w14:paraId="6BF6FC97" w14:textId="77777777" w:rsidR="00624F18" w:rsidRDefault="00624F18">
      <w:pPr>
        <w:pStyle w:val="CommentText"/>
      </w:pPr>
      <w:r>
        <w:rPr>
          <w:rStyle w:val="CommentReference"/>
        </w:rPr>
        <w:annotationRef/>
      </w:r>
      <w:r>
        <w:t>Consider whether the application is also relevant to adolescents or paediatrics</w:t>
      </w:r>
    </w:p>
  </w:comment>
  <w:comment w:id="8" w:author="Andrew Barron" w:date="2020-07-24T10:11:00Z" w:initials="AB">
    <w:p w14:paraId="7D450BB6" w14:textId="77777777" w:rsidR="0093286B" w:rsidRDefault="0093286B">
      <w:pPr>
        <w:pStyle w:val="CommentText"/>
      </w:pPr>
      <w:r>
        <w:rPr>
          <w:rStyle w:val="CommentReference"/>
        </w:rPr>
        <w:annotationRef/>
      </w:r>
      <w:r>
        <w:t>This more broadly about risk, including:</w:t>
      </w:r>
    </w:p>
    <w:p w14:paraId="5CDF43D2" w14:textId="77777777" w:rsidR="0093286B" w:rsidRDefault="0093286B" w:rsidP="0093286B">
      <w:pPr>
        <w:pStyle w:val="CommentText"/>
        <w:numPr>
          <w:ilvl w:val="0"/>
          <w:numId w:val="14"/>
        </w:numPr>
      </w:pPr>
      <w:r>
        <w:t xml:space="preserve"> Is there something new about the administration that could go wrong (patient or clinician) </w:t>
      </w:r>
    </w:p>
    <w:p w14:paraId="7C39AF1E" w14:textId="77777777" w:rsidR="0093286B" w:rsidRDefault="0093286B" w:rsidP="0093286B">
      <w:pPr>
        <w:pStyle w:val="CommentText"/>
        <w:numPr>
          <w:ilvl w:val="0"/>
          <w:numId w:val="14"/>
        </w:numPr>
      </w:pPr>
      <w:r>
        <w:t xml:space="preserve"> Risk with overdose</w:t>
      </w:r>
    </w:p>
    <w:p w14:paraId="4C001E50" w14:textId="77777777" w:rsidR="0093286B" w:rsidRDefault="0093286B" w:rsidP="0093286B">
      <w:pPr>
        <w:pStyle w:val="CommentText"/>
        <w:numPr>
          <w:ilvl w:val="0"/>
          <w:numId w:val="14"/>
        </w:numPr>
      </w:pPr>
      <w:r>
        <w:t xml:space="preserve"> IV (use scale below) or intrathecal </w:t>
      </w:r>
    </w:p>
  </w:comment>
  <w:comment w:id="9" w:author="Barron, Andrew" w:date="2016-12-28T11:08:00Z" w:initials="BA">
    <w:p w14:paraId="3B97CC30" w14:textId="77777777" w:rsidR="00C121E2" w:rsidRDefault="00C121E2">
      <w:pPr>
        <w:pStyle w:val="CommentText"/>
      </w:pPr>
      <w:r>
        <w:rPr>
          <w:rStyle w:val="CommentReference"/>
        </w:rPr>
        <w:annotationRef/>
      </w:r>
      <w:r>
        <w:t>Include the NPSA “</w:t>
      </w:r>
      <w:r w:rsidRPr="00C121E2">
        <w:t>Promoting Safer Use of Injectable Medicines</w:t>
      </w:r>
      <w:r>
        <w:t xml:space="preserve">” table </w:t>
      </w:r>
      <w:r w:rsidR="00B51986">
        <w:t>if</w:t>
      </w:r>
      <w:r>
        <w:t xml:space="preserve"> appropriate.</w:t>
      </w:r>
    </w:p>
    <w:p w14:paraId="49812135" w14:textId="77777777" w:rsidR="00C121E2" w:rsidRDefault="00C121E2">
      <w:pPr>
        <w:pStyle w:val="CommentText"/>
      </w:pPr>
    </w:p>
    <w:p w14:paraId="79E3CAF0" w14:textId="77777777" w:rsidR="00C121E2" w:rsidRDefault="003D5111">
      <w:pPr>
        <w:pStyle w:val="CommentText"/>
      </w:pPr>
      <w:hyperlink r:id="rId3" w:history="1">
        <w:r w:rsidR="00C121E2" w:rsidRPr="00747994">
          <w:rPr>
            <w:rStyle w:val="Hyperlink"/>
          </w:rPr>
          <w:t>https://www.sps.nhs.uk/wp-content/uploads/2016/12/Specimen-high-risk-list-Version-3_Final-28thNov16.pdf</w:t>
        </w:r>
      </w:hyperlink>
      <w:r w:rsidR="00C121E2">
        <w:t xml:space="preserve"> </w:t>
      </w:r>
    </w:p>
  </w:comment>
  <w:comment w:id="10" w:author="Barron, Andrew" w:date="2016-12-28T11:05:00Z" w:initials="BA">
    <w:p w14:paraId="32ED4D7A" w14:textId="77777777" w:rsidR="00C121E2" w:rsidRDefault="00C121E2">
      <w:pPr>
        <w:pStyle w:val="CommentText"/>
      </w:pPr>
      <w:r>
        <w:rPr>
          <w:rStyle w:val="CommentReference"/>
        </w:rPr>
        <w:annotationRef/>
      </w:r>
      <w:r w:rsidRPr="00C121E2">
        <w:t>There is significant risk of patient harm if the injectable medicine is not used as intended1</w:t>
      </w:r>
    </w:p>
  </w:comment>
  <w:comment w:id="11" w:author="Barron, Andrew" w:date="2016-12-28T11:05:00Z" w:initials="BA">
    <w:p w14:paraId="54C21790" w14:textId="77777777" w:rsidR="00C121E2" w:rsidRDefault="00C121E2">
      <w:pPr>
        <w:pStyle w:val="CommentText"/>
      </w:pPr>
      <w:r>
        <w:rPr>
          <w:rStyle w:val="CommentReference"/>
        </w:rPr>
        <w:annotationRef/>
      </w:r>
      <w:r w:rsidRPr="00C121E2">
        <w:t>The product must be further diluted (after reconstitution) before it can be injected</w:t>
      </w:r>
    </w:p>
  </w:comment>
  <w:comment w:id="12" w:author="Barron, Andrew" w:date="2016-12-28T11:06:00Z" w:initials="BA">
    <w:p w14:paraId="350ECBC6" w14:textId="77777777" w:rsidR="00C121E2" w:rsidRDefault="00C121E2">
      <w:pPr>
        <w:pStyle w:val="CommentText"/>
      </w:pPr>
      <w:r>
        <w:rPr>
          <w:rStyle w:val="CommentReference"/>
        </w:rPr>
        <w:annotationRef/>
      </w:r>
      <w:r w:rsidRPr="00C121E2">
        <w:t>A complicated calculation must be performed in order to prepare or administer the product. This includes calculations with more than one step, or conversions between dose units, e.g. percentage to milligrammes per millilitre</w:t>
      </w:r>
    </w:p>
  </w:comment>
  <w:comment w:id="13" w:author="Barron, Andrew" w:date="2016-12-28T11:06:00Z" w:initials="BA">
    <w:p w14:paraId="13AC4A51" w14:textId="77777777" w:rsidR="00C121E2" w:rsidRDefault="00C121E2">
      <w:pPr>
        <w:pStyle w:val="CommentText"/>
      </w:pPr>
      <w:r>
        <w:rPr>
          <w:rStyle w:val="CommentReference"/>
        </w:rPr>
        <w:annotationRef/>
      </w:r>
      <w:r w:rsidRPr="00C121E2">
        <w:t>More than five non-touch manipulations are required to prepare the product, or when syringe-to-syringe transfer or a filter is used</w:t>
      </w:r>
    </w:p>
  </w:comment>
  <w:comment w:id="14" w:author="Barron, Andrew" w:date="2016-12-28T11:06:00Z" w:initials="BA">
    <w:p w14:paraId="53ABC1AB" w14:textId="77777777" w:rsidR="00C121E2" w:rsidRDefault="00C121E2">
      <w:pPr>
        <w:pStyle w:val="CommentText"/>
      </w:pPr>
      <w:r>
        <w:rPr>
          <w:rStyle w:val="CommentReference"/>
        </w:rPr>
        <w:annotationRef/>
      </w:r>
      <w:r w:rsidRPr="00C121E2">
        <w:t>Where a dry power preparation must be reconstituted</w:t>
      </w:r>
    </w:p>
  </w:comment>
  <w:comment w:id="15" w:author="Barron, Andrew" w:date="2016-12-28T11:06:00Z" w:initials="BA">
    <w:p w14:paraId="7F319875" w14:textId="77777777" w:rsidR="00C121E2" w:rsidRDefault="00C121E2">
      <w:pPr>
        <w:pStyle w:val="CommentText"/>
      </w:pPr>
      <w:r>
        <w:rPr>
          <w:rStyle w:val="CommentReference"/>
        </w:rPr>
        <w:annotationRef/>
      </w:r>
      <w:r w:rsidRPr="00C121E2">
        <w:t>Part or multiple vials/ampoules are required to fulfil the prescription</w:t>
      </w:r>
    </w:p>
  </w:comment>
  <w:comment w:id="16" w:author="Barron, Andrew" w:date="2016-12-28T11:06:00Z" w:initials="BA">
    <w:p w14:paraId="2CB2AA74" w14:textId="77777777" w:rsidR="00C121E2" w:rsidRDefault="00C121E2">
      <w:pPr>
        <w:pStyle w:val="CommentText"/>
      </w:pPr>
      <w:r>
        <w:rPr>
          <w:rStyle w:val="CommentReference"/>
        </w:rPr>
        <w:annotationRef/>
      </w:r>
      <w:r w:rsidRPr="00C121E2">
        <w:t>An infusion device is required to give the injectable</w:t>
      </w:r>
    </w:p>
  </w:comment>
  <w:comment w:id="18" w:author="Barron, Andrew" w:date="2016-12-28T11:05:00Z" w:initials="BA">
    <w:p w14:paraId="5D41F7FC" w14:textId="77777777" w:rsidR="00C121E2" w:rsidRDefault="00C121E2">
      <w:pPr>
        <w:pStyle w:val="CommentText"/>
      </w:pPr>
      <w:r>
        <w:rPr>
          <w:rStyle w:val="CommentReference"/>
        </w:rPr>
        <w:annotationRef/>
      </w:r>
      <w:r w:rsidRPr="00C121E2">
        <w:t>The NPSA advises that practice that scores 1</w:t>
      </w:r>
      <w:r w:rsidRPr="00C121E2">
        <w:rPr>
          <w:rFonts w:ascii="MS Gothic" w:eastAsia="MS Gothic" w:hAnsi="MS Gothic" w:cs="MS Gothic" w:hint="eastAsia"/>
        </w:rPr>
        <w:t>‑</w:t>
      </w:r>
      <w:r w:rsidRPr="00C121E2">
        <w:t>2 is low risk, 3</w:t>
      </w:r>
      <w:r w:rsidRPr="00C121E2">
        <w:rPr>
          <w:rFonts w:ascii="MS Gothic" w:eastAsia="MS Gothic" w:hAnsi="MS Gothic" w:cs="MS Gothic" w:hint="eastAsia"/>
        </w:rPr>
        <w:t>‑</w:t>
      </w:r>
      <w:r w:rsidRPr="00C121E2">
        <w:t>5 is moderate risk and 6 or more is high risk.</w:t>
      </w:r>
    </w:p>
  </w:comment>
  <w:comment w:id="17" w:author="Barron, Andrew" w:date="2016-12-28T11:06:00Z" w:initials="BA">
    <w:p w14:paraId="46D36234" w14:textId="77777777" w:rsidR="00C121E2" w:rsidRDefault="00C121E2">
      <w:pPr>
        <w:pStyle w:val="CommentText"/>
      </w:pPr>
      <w:r>
        <w:rPr>
          <w:rStyle w:val="CommentReference"/>
        </w:rPr>
        <w:annotationRef/>
      </w:r>
      <w:r w:rsidRPr="00C121E2">
        <w:t>A low sorption, air inlet or light-protected administration set needs to be used to administer the injectable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702A1E" w15:done="0"/>
  <w15:commentEx w15:paraId="6A0C8710" w15:done="0"/>
  <w15:commentEx w15:paraId="45FB26B9" w15:done="0"/>
  <w15:commentEx w15:paraId="1A79000D" w15:done="0"/>
  <w15:commentEx w15:paraId="59B902B2" w15:done="0"/>
  <w15:commentEx w15:paraId="2F540E9A" w15:done="0"/>
  <w15:commentEx w15:paraId="07A8A60D" w15:done="0"/>
  <w15:commentEx w15:paraId="6BF6FC97" w15:done="0"/>
  <w15:commentEx w15:paraId="4C001E50" w15:done="0"/>
  <w15:commentEx w15:paraId="79E3CAF0" w15:done="0"/>
  <w15:commentEx w15:paraId="32ED4D7A" w15:done="0"/>
  <w15:commentEx w15:paraId="54C21790" w15:done="0"/>
  <w15:commentEx w15:paraId="350ECBC6" w15:done="0"/>
  <w15:commentEx w15:paraId="13AC4A51" w15:done="0"/>
  <w15:commentEx w15:paraId="53ABC1AB" w15:done="0"/>
  <w15:commentEx w15:paraId="7F319875" w15:done="0"/>
  <w15:commentEx w15:paraId="2CB2AA74" w15:done="0"/>
  <w15:commentEx w15:paraId="5D41F7FC" w15:done="0"/>
  <w15:commentEx w15:paraId="46D362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9DA958" w16cex:dateUtc="2019-10-14T08:03:00Z"/>
  <w16cex:commentExtensible w16cex:durableId="229DA959" w16cex:dateUtc="2019-10-14T08:04:00Z"/>
  <w16cex:commentExtensible w16cex:durableId="229DA95A" w16cex:dateUtc="2019-10-14T08:04:00Z"/>
  <w16cex:commentExtensible w16cex:durableId="229DA95B" w16cex:dateUtc="2019-10-14T08:04:00Z"/>
  <w16cex:commentExtensible w16cex:durableId="229DA95C" w16cex:dateUtc="2019-10-14T08:05:00Z"/>
  <w16cex:commentExtensible w16cex:durableId="229DA94C" w16cex:dateUtc="2018-08-08T07:04:00Z"/>
  <w16cex:commentExtensible w16cex:durableId="22CD5AAE" w16cex:dateUtc="2020-07-27T11:51:00Z"/>
  <w16cex:commentExtensible w16cex:durableId="22CD5C8A" w16cex:dateUtc="2020-07-30T13:49:00Z"/>
  <w16cex:commentExtensible w16cex:durableId="22CD5AAF" w16cex:dateUtc="2020-07-24T09:11:00Z"/>
  <w16cex:commentExtensible w16cex:durableId="229DA94E" w16cex:dateUtc="2016-12-28T11:08:00Z"/>
  <w16cex:commentExtensible w16cex:durableId="229DA94F" w16cex:dateUtc="2016-12-28T11:05:00Z"/>
  <w16cex:commentExtensible w16cex:durableId="229DA950" w16cex:dateUtc="2016-12-28T11:05:00Z"/>
  <w16cex:commentExtensible w16cex:durableId="229DA951" w16cex:dateUtc="2016-12-28T11:06:00Z"/>
  <w16cex:commentExtensible w16cex:durableId="229DA952" w16cex:dateUtc="2016-12-28T11:06:00Z"/>
  <w16cex:commentExtensible w16cex:durableId="229DA953" w16cex:dateUtc="2016-12-28T11:06:00Z"/>
  <w16cex:commentExtensible w16cex:durableId="229DA954" w16cex:dateUtc="2016-12-28T11:06:00Z"/>
  <w16cex:commentExtensible w16cex:durableId="229DA955" w16cex:dateUtc="2016-12-28T11:06:00Z"/>
  <w16cex:commentExtensible w16cex:durableId="229DA956" w16cex:dateUtc="2016-12-28T11:05:00Z"/>
  <w16cex:commentExtensible w16cex:durableId="229DA957" w16cex:dateUtc="2016-12-28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702A1E" w16cid:durableId="229DA958"/>
  <w16cid:commentId w16cid:paraId="6A0C8710" w16cid:durableId="229DA959"/>
  <w16cid:commentId w16cid:paraId="45FB26B9" w16cid:durableId="229DA95A"/>
  <w16cid:commentId w16cid:paraId="1A79000D" w16cid:durableId="229DA95B"/>
  <w16cid:commentId w16cid:paraId="59B902B2" w16cid:durableId="229DA95C"/>
  <w16cid:commentId w16cid:paraId="2F540E9A" w16cid:durableId="229DA94C"/>
  <w16cid:commentId w16cid:paraId="07A8A60D" w16cid:durableId="22CD5AAE"/>
  <w16cid:commentId w16cid:paraId="6BF6FC97" w16cid:durableId="22CD5C8A"/>
  <w16cid:commentId w16cid:paraId="4C001E50" w16cid:durableId="22CD5AAF"/>
  <w16cid:commentId w16cid:paraId="79E3CAF0" w16cid:durableId="229DA94E"/>
  <w16cid:commentId w16cid:paraId="32ED4D7A" w16cid:durableId="229DA94F"/>
  <w16cid:commentId w16cid:paraId="54C21790" w16cid:durableId="229DA950"/>
  <w16cid:commentId w16cid:paraId="350ECBC6" w16cid:durableId="229DA951"/>
  <w16cid:commentId w16cid:paraId="13AC4A51" w16cid:durableId="229DA952"/>
  <w16cid:commentId w16cid:paraId="53ABC1AB" w16cid:durableId="229DA953"/>
  <w16cid:commentId w16cid:paraId="7F319875" w16cid:durableId="229DA954"/>
  <w16cid:commentId w16cid:paraId="2CB2AA74" w16cid:durableId="229DA955"/>
  <w16cid:commentId w16cid:paraId="5D41F7FC" w16cid:durableId="229DA956"/>
  <w16cid:commentId w16cid:paraId="46D36234" w16cid:durableId="229DA9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48527" w14:textId="77777777" w:rsidR="003D5111" w:rsidRDefault="003D5111" w:rsidP="00224B44">
      <w:r>
        <w:separator/>
      </w:r>
    </w:p>
  </w:endnote>
  <w:endnote w:type="continuationSeparator" w:id="0">
    <w:p w14:paraId="38EE76A3" w14:textId="77777777" w:rsidR="003D5111" w:rsidRDefault="003D5111" w:rsidP="0022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948" w14:textId="77777777" w:rsidR="003D5111" w:rsidRDefault="003D5111" w:rsidP="00224B44">
      <w:r>
        <w:separator/>
      </w:r>
    </w:p>
  </w:footnote>
  <w:footnote w:type="continuationSeparator" w:id="0">
    <w:p w14:paraId="659D81DC" w14:textId="77777777" w:rsidR="003D5111" w:rsidRDefault="003D5111" w:rsidP="0022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5687" w14:textId="77777777" w:rsidR="00174110" w:rsidRDefault="00174110" w:rsidP="00AF0506">
    <w:pPr>
      <w:pStyle w:val="Header"/>
    </w:pPr>
  </w:p>
  <w:p w14:paraId="74E95B7F" w14:textId="77777777" w:rsidR="00AF0506" w:rsidRDefault="00AF0506" w:rsidP="00AF0506">
    <w:pPr>
      <w:pStyle w:val="NCLBodyText"/>
      <w:spacing w:before="0"/>
      <w:jc w:val="right"/>
      <w:rPr>
        <w:b/>
      </w:rPr>
    </w:pPr>
    <w:r>
      <w:rPr>
        <w:noProof/>
        <w:lang w:eastAsia="en-GB"/>
      </w:rPr>
      <w:drawing>
        <wp:inline distT="0" distB="0" distL="0" distR="0" wp14:anchorId="6E188F76" wp14:editId="3F4484A0">
          <wp:extent cx="889200" cy="3600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37680AE7" w14:textId="77777777" w:rsidR="00335F91" w:rsidRDefault="00335F91" w:rsidP="00AF0506">
    <w:pPr>
      <w:pStyle w:val="NCLBodyText"/>
      <w:spacing w:before="0"/>
      <w:jc w:val="right"/>
      <w:rPr>
        <w:b/>
      </w:rPr>
    </w:pPr>
  </w:p>
  <w:p w14:paraId="2D770BD2" w14:textId="77777777" w:rsidR="00A13780" w:rsidRDefault="00A13780" w:rsidP="00335F91">
    <w:pPr>
      <w:pStyle w:val="NCLBodyText"/>
      <w:spacing w:before="0"/>
      <w:jc w:val="right"/>
      <w:rPr>
        <w:rFonts w:ascii="Arial" w:hAnsi="Arial" w:cs="Arial"/>
        <w:b/>
        <w:color w:val="0072C6"/>
        <w:sz w:val="24"/>
      </w:rPr>
    </w:pPr>
  </w:p>
  <w:p w14:paraId="4B0D5134" w14:textId="77777777" w:rsidR="00174110" w:rsidRPr="00335F91" w:rsidRDefault="00335F91" w:rsidP="00335F91">
    <w:pPr>
      <w:pStyle w:val="NCLBodyText"/>
      <w:spacing w:before="0"/>
      <w:jc w:val="right"/>
      <w:rPr>
        <w:rFonts w:ascii="Arial" w:hAnsi="Arial" w:cs="Arial"/>
        <w:b/>
        <w:color w:val="0072C6"/>
        <w:sz w:val="24"/>
      </w:rPr>
    </w:pPr>
    <w:r>
      <w:rPr>
        <w:rFonts w:ascii="Arial" w:hAnsi="Arial" w:cs="Arial"/>
        <w:b/>
        <w:color w:val="0072C6"/>
        <w:sz w:val="24"/>
      </w:rPr>
      <w:t>N</w:t>
    </w:r>
    <w:r w:rsidR="00AF0506" w:rsidRPr="00335F91">
      <w:rPr>
        <w:rFonts w:ascii="Arial" w:hAnsi="Arial" w:cs="Arial"/>
        <w:b/>
        <w:color w:val="0072C6"/>
        <w:sz w:val="24"/>
      </w:rPr>
      <w:t>orth Central London</w:t>
    </w:r>
  </w:p>
  <w:p w14:paraId="58F11088" w14:textId="77777777" w:rsidR="00AF0506" w:rsidRPr="00335F91" w:rsidRDefault="001B0B5C" w:rsidP="00335F91">
    <w:pPr>
      <w:pStyle w:val="NCLBodyText"/>
      <w:spacing w:before="0"/>
      <w:jc w:val="right"/>
      <w:rPr>
        <w:rFonts w:ascii="Arial" w:hAnsi="Arial" w:cs="Arial"/>
        <w:b/>
        <w:color w:val="0072C6"/>
        <w:sz w:val="24"/>
      </w:rPr>
    </w:pPr>
    <w:r>
      <w:rPr>
        <w:rFonts w:ascii="Arial" w:hAnsi="Arial" w:cs="Arial"/>
        <w:b/>
        <w:color w:val="0072C6"/>
        <w:sz w:val="24"/>
      </w:rPr>
      <w:t>Joint Formulary Committee</w:t>
    </w:r>
  </w:p>
  <w:p w14:paraId="331406AD" w14:textId="77777777" w:rsidR="00174110" w:rsidRDefault="00174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ABE"/>
    <w:multiLevelType w:val="hybridMultilevel"/>
    <w:tmpl w:val="FF8AF022"/>
    <w:lvl w:ilvl="0" w:tplc="E6529AD8">
      <w:start w:val="1"/>
      <w:numFmt w:val="bullet"/>
      <w:lvlText w:val="•"/>
      <w:lvlJc w:val="left"/>
      <w:pPr>
        <w:tabs>
          <w:tab w:val="num" w:pos="720"/>
        </w:tabs>
        <w:ind w:left="720" w:hanging="360"/>
      </w:pPr>
      <w:rPr>
        <w:rFonts w:ascii="Arial" w:hAnsi="Arial" w:hint="default"/>
      </w:rPr>
    </w:lvl>
    <w:lvl w:ilvl="1" w:tplc="ECF2A19E" w:tentative="1">
      <w:start w:val="1"/>
      <w:numFmt w:val="bullet"/>
      <w:lvlText w:val="•"/>
      <w:lvlJc w:val="left"/>
      <w:pPr>
        <w:tabs>
          <w:tab w:val="num" w:pos="1440"/>
        </w:tabs>
        <w:ind w:left="1440" w:hanging="360"/>
      </w:pPr>
      <w:rPr>
        <w:rFonts w:ascii="Arial" w:hAnsi="Arial" w:hint="default"/>
      </w:rPr>
    </w:lvl>
    <w:lvl w:ilvl="2" w:tplc="9A02B304" w:tentative="1">
      <w:start w:val="1"/>
      <w:numFmt w:val="bullet"/>
      <w:lvlText w:val="•"/>
      <w:lvlJc w:val="left"/>
      <w:pPr>
        <w:tabs>
          <w:tab w:val="num" w:pos="2160"/>
        </w:tabs>
        <w:ind w:left="2160" w:hanging="360"/>
      </w:pPr>
      <w:rPr>
        <w:rFonts w:ascii="Arial" w:hAnsi="Arial" w:hint="default"/>
      </w:rPr>
    </w:lvl>
    <w:lvl w:ilvl="3" w:tplc="1C8C8298" w:tentative="1">
      <w:start w:val="1"/>
      <w:numFmt w:val="bullet"/>
      <w:lvlText w:val="•"/>
      <w:lvlJc w:val="left"/>
      <w:pPr>
        <w:tabs>
          <w:tab w:val="num" w:pos="2880"/>
        </w:tabs>
        <w:ind w:left="2880" w:hanging="360"/>
      </w:pPr>
      <w:rPr>
        <w:rFonts w:ascii="Arial" w:hAnsi="Arial" w:hint="default"/>
      </w:rPr>
    </w:lvl>
    <w:lvl w:ilvl="4" w:tplc="89BA1554" w:tentative="1">
      <w:start w:val="1"/>
      <w:numFmt w:val="bullet"/>
      <w:lvlText w:val="•"/>
      <w:lvlJc w:val="left"/>
      <w:pPr>
        <w:tabs>
          <w:tab w:val="num" w:pos="3600"/>
        </w:tabs>
        <w:ind w:left="3600" w:hanging="360"/>
      </w:pPr>
      <w:rPr>
        <w:rFonts w:ascii="Arial" w:hAnsi="Arial" w:hint="default"/>
      </w:rPr>
    </w:lvl>
    <w:lvl w:ilvl="5" w:tplc="A6BE6AD2" w:tentative="1">
      <w:start w:val="1"/>
      <w:numFmt w:val="bullet"/>
      <w:lvlText w:val="•"/>
      <w:lvlJc w:val="left"/>
      <w:pPr>
        <w:tabs>
          <w:tab w:val="num" w:pos="4320"/>
        </w:tabs>
        <w:ind w:left="4320" w:hanging="360"/>
      </w:pPr>
      <w:rPr>
        <w:rFonts w:ascii="Arial" w:hAnsi="Arial" w:hint="default"/>
      </w:rPr>
    </w:lvl>
    <w:lvl w:ilvl="6" w:tplc="639611EA" w:tentative="1">
      <w:start w:val="1"/>
      <w:numFmt w:val="bullet"/>
      <w:lvlText w:val="•"/>
      <w:lvlJc w:val="left"/>
      <w:pPr>
        <w:tabs>
          <w:tab w:val="num" w:pos="5040"/>
        </w:tabs>
        <w:ind w:left="5040" w:hanging="360"/>
      </w:pPr>
      <w:rPr>
        <w:rFonts w:ascii="Arial" w:hAnsi="Arial" w:hint="default"/>
      </w:rPr>
    </w:lvl>
    <w:lvl w:ilvl="7" w:tplc="9C4A46C0" w:tentative="1">
      <w:start w:val="1"/>
      <w:numFmt w:val="bullet"/>
      <w:lvlText w:val="•"/>
      <w:lvlJc w:val="left"/>
      <w:pPr>
        <w:tabs>
          <w:tab w:val="num" w:pos="5760"/>
        </w:tabs>
        <w:ind w:left="5760" w:hanging="360"/>
      </w:pPr>
      <w:rPr>
        <w:rFonts w:ascii="Arial" w:hAnsi="Arial" w:hint="default"/>
      </w:rPr>
    </w:lvl>
    <w:lvl w:ilvl="8" w:tplc="958A61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B64F46"/>
    <w:multiLevelType w:val="hybridMultilevel"/>
    <w:tmpl w:val="0F72D1FA"/>
    <w:lvl w:ilvl="0" w:tplc="0D04A10E">
      <w:start w:val="1"/>
      <w:numFmt w:val="bullet"/>
      <w:lvlText w:val="•"/>
      <w:lvlJc w:val="left"/>
      <w:pPr>
        <w:tabs>
          <w:tab w:val="num" w:pos="720"/>
        </w:tabs>
        <w:ind w:left="720" w:hanging="360"/>
      </w:pPr>
      <w:rPr>
        <w:rFonts w:ascii="Arial" w:hAnsi="Arial" w:hint="default"/>
      </w:rPr>
    </w:lvl>
    <w:lvl w:ilvl="1" w:tplc="1E8E8D02" w:tentative="1">
      <w:start w:val="1"/>
      <w:numFmt w:val="bullet"/>
      <w:lvlText w:val="•"/>
      <w:lvlJc w:val="left"/>
      <w:pPr>
        <w:tabs>
          <w:tab w:val="num" w:pos="1440"/>
        </w:tabs>
        <w:ind w:left="1440" w:hanging="360"/>
      </w:pPr>
      <w:rPr>
        <w:rFonts w:ascii="Arial" w:hAnsi="Arial" w:hint="default"/>
      </w:rPr>
    </w:lvl>
    <w:lvl w:ilvl="2" w:tplc="ECE6B40C" w:tentative="1">
      <w:start w:val="1"/>
      <w:numFmt w:val="bullet"/>
      <w:lvlText w:val="•"/>
      <w:lvlJc w:val="left"/>
      <w:pPr>
        <w:tabs>
          <w:tab w:val="num" w:pos="2160"/>
        </w:tabs>
        <w:ind w:left="2160" w:hanging="360"/>
      </w:pPr>
      <w:rPr>
        <w:rFonts w:ascii="Arial" w:hAnsi="Arial" w:hint="default"/>
      </w:rPr>
    </w:lvl>
    <w:lvl w:ilvl="3" w:tplc="A6BAC2CC" w:tentative="1">
      <w:start w:val="1"/>
      <w:numFmt w:val="bullet"/>
      <w:lvlText w:val="•"/>
      <w:lvlJc w:val="left"/>
      <w:pPr>
        <w:tabs>
          <w:tab w:val="num" w:pos="2880"/>
        </w:tabs>
        <w:ind w:left="2880" w:hanging="360"/>
      </w:pPr>
      <w:rPr>
        <w:rFonts w:ascii="Arial" w:hAnsi="Arial" w:hint="default"/>
      </w:rPr>
    </w:lvl>
    <w:lvl w:ilvl="4" w:tplc="89F890F2" w:tentative="1">
      <w:start w:val="1"/>
      <w:numFmt w:val="bullet"/>
      <w:lvlText w:val="•"/>
      <w:lvlJc w:val="left"/>
      <w:pPr>
        <w:tabs>
          <w:tab w:val="num" w:pos="3600"/>
        </w:tabs>
        <w:ind w:left="3600" w:hanging="360"/>
      </w:pPr>
      <w:rPr>
        <w:rFonts w:ascii="Arial" w:hAnsi="Arial" w:hint="default"/>
      </w:rPr>
    </w:lvl>
    <w:lvl w:ilvl="5" w:tplc="23EC741A" w:tentative="1">
      <w:start w:val="1"/>
      <w:numFmt w:val="bullet"/>
      <w:lvlText w:val="•"/>
      <w:lvlJc w:val="left"/>
      <w:pPr>
        <w:tabs>
          <w:tab w:val="num" w:pos="4320"/>
        </w:tabs>
        <w:ind w:left="4320" w:hanging="360"/>
      </w:pPr>
      <w:rPr>
        <w:rFonts w:ascii="Arial" w:hAnsi="Arial" w:hint="default"/>
      </w:rPr>
    </w:lvl>
    <w:lvl w:ilvl="6" w:tplc="86EC88CA" w:tentative="1">
      <w:start w:val="1"/>
      <w:numFmt w:val="bullet"/>
      <w:lvlText w:val="•"/>
      <w:lvlJc w:val="left"/>
      <w:pPr>
        <w:tabs>
          <w:tab w:val="num" w:pos="5040"/>
        </w:tabs>
        <w:ind w:left="5040" w:hanging="360"/>
      </w:pPr>
      <w:rPr>
        <w:rFonts w:ascii="Arial" w:hAnsi="Arial" w:hint="default"/>
      </w:rPr>
    </w:lvl>
    <w:lvl w:ilvl="7" w:tplc="35D6BA62" w:tentative="1">
      <w:start w:val="1"/>
      <w:numFmt w:val="bullet"/>
      <w:lvlText w:val="•"/>
      <w:lvlJc w:val="left"/>
      <w:pPr>
        <w:tabs>
          <w:tab w:val="num" w:pos="5760"/>
        </w:tabs>
        <w:ind w:left="5760" w:hanging="360"/>
      </w:pPr>
      <w:rPr>
        <w:rFonts w:ascii="Arial" w:hAnsi="Arial" w:hint="default"/>
      </w:rPr>
    </w:lvl>
    <w:lvl w:ilvl="8" w:tplc="DA08E6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7D35BA"/>
    <w:multiLevelType w:val="multilevel"/>
    <w:tmpl w:val="9C202792"/>
    <w:styleLink w:val="ReportHeadings"/>
    <w:lvl w:ilvl="0">
      <w:start w:val="1"/>
      <w:numFmt w:val="decimal"/>
      <w:pStyle w:val="NCLHeading1"/>
      <w:lvlText w:val="%1."/>
      <w:lvlJc w:val="left"/>
      <w:pPr>
        <w:ind w:left="851" w:hanging="851"/>
      </w:pPr>
      <w:rPr>
        <w:rFonts w:hint="default"/>
      </w:rPr>
    </w:lvl>
    <w:lvl w:ilvl="1">
      <w:start w:val="1"/>
      <w:numFmt w:val="decimal"/>
      <w:pStyle w:val="NCLHeading2"/>
      <w:lvlText w:val="%1.%2."/>
      <w:lvlJc w:val="left"/>
      <w:pPr>
        <w:ind w:left="851" w:hanging="851"/>
      </w:pPr>
      <w:rPr>
        <w:rFonts w:hint="default"/>
      </w:rPr>
    </w:lvl>
    <w:lvl w:ilvl="2">
      <w:start w:val="1"/>
      <w:numFmt w:val="decimal"/>
      <w:pStyle w:val="ReportHeading3"/>
      <w:lvlText w:val="%1.%2.%3."/>
      <w:lvlJc w:val="left"/>
      <w:pPr>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pStyle w:val="NCLTableheading"/>
      <w:suff w:val="nothing"/>
      <w:lvlText w:val=""/>
      <w:lvlJc w:val="left"/>
      <w:pPr>
        <w:ind w:left="0" w:firstLine="0"/>
      </w:pPr>
      <w:rPr>
        <w:rFonts w:hint="default"/>
      </w:rPr>
    </w:lvl>
    <w:lvl w:ilvl="5">
      <w:start w:val="1"/>
      <w:numFmt w:val="none"/>
      <w:pStyle w:val="ReportHeading6"/>
      <w:suff w:val="nothing"/>
      <w:lvlText w:val=""/>
      <w:lvlJc w:val="left"/>
      <w:pPr>
        <w:ind w:left="0" w:firstLine="0"/>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3" w15:restartNumberingAfterBreak="0">
    <w:nsid w:val="25724712"/>
    <w:multiLevelType w:val="hybridMultilevel"/>
    <w:tmpl w:val="A03A3D7A"/>
    <w:lvl w:ilvl="0" w:tplc="CB62EA8A">
      <w:start w:val="1"/>
      <w:numFmt w:val="bullet"/>
      <w:lvlText w:val="•"/>
      <w:lvlJc w:val="left"/>
      <w:pPr>
        <w:tabs>
          <w:tab w:val="num" w:pos="720"/>
        </w:tabs>
        <w:ind w:left="720" w:hanging="360"/>
      </w:pPr>
      <w:rPr>
        <w:rFonts w:ascii="Arial" w:hAnsi="Arial" w:hint="default"/>
      </w:rPr>
    </w:lvl>
    <w:lvl w:ilvl="1" w:tplc="526EB61E" w:tentative="1">
      <w:start w:val="1"/>
      <w:numFmt w:val="bullet"/>
      <w:lvlText w:val="•"/>
      <w:lvlJc w:val="left"/>
      <w:pPr>
        <w:tabs>
          <w:tab w:val="num" w:pos="1440"/>
        </w:tabs>
        <w:ind w:left="1440" w:hanging="360"/>
      </w:pPr>
      <w:rPr>
        <w:rFonts w:ascii="Arial" w:hAnsi="Arial" w:hint="default"/>
      </w:rPr>
    </w:lvl>
    <w:lvl w:ilvl="2" w:tplc="15F479CE" w:tentative="1">
      <w:start w:val="1"/>
      <w:numFmt w:val="bullet"/>
      <w:lvlText w:val="•"/>
      <w:lvlJc w:val="left"/>
      <w:pPr>
        <w:tabs>
          <w:tab w:val="num" w:pos="2160"/>
        </w:tabs>
        <w:ind w:left="2160" w:hanging="360"/>
      </w:pPr>
      <w:rPr>
        <w:rFonts w:ascii="Arial" w:hAnsi="Arial" w:hint="default"/>
      </w:rPr>
    </w:lvl>
    <w:lvl w:ilvl="3" w:tplc="5A9C9914" w:tentative="1">
      <w:start w:val="1"/>
      <w:numFmt w:val="bullet"/>
      <w:lvlText w:val="•"/>
      <w:lvlJc w:val="left"/>
      <w:pPr>
        <w:tabs>
          <w:tab w:val="num" w:pos="2880"/>
        </w:tabs>
        <w:ind w:left="2880" w:hanging="360"/>
      </w:pPr>
      <w:rPr>
        <w:rFonts w:ascii="Arial" w:hAnsi="Arial" w:hint="default"/>
      </w:rPr>
    </w:lvl>
    <w:lvl w:ilvl="4" w:tplc="418E61B4" w:tentative="1">
      <w:start w:val="1"/>
      <w:numFmt w:val="bullet"/>
      <w:lvlText w:val="•"/>
      <w:lvlJc w:val="left"/>
      <w:pPr>
        <w:tabs>
          <w:tab w:val="num" w:pos="3600"/>
        </w:tabs>
        <w:ind w:left="3600" w:hanging="360"/>
      </w:pPr>
      <w:rPr>
        <w:rFonts w:ascii="Arial" w:hAnsi="Arial" w:hint="default"/>
      </w:rPr>
    </w:lvl>
    <w:lvl w:ilvl="5" w:tplc="D47E79EA" w:tentative="1">
      <w:start w:val="1"/>
      <w:numFmt w:val="bullet"/>
      <w:lvlText w:val="•"/>
      <w:lvlJc w:val="left"/>
      <w:pPr>
        <w:tabs>
          <w:tab w:val="num" w:pos="4320"/>
        </w:tabs>
        <w:ind w:left="4320" w:hanging="360"/>
      </w:pPr>
      <w:rPr>
        <w:rFonts w:ascii="Arial" w:hAnsi="Arial" w:hint="default"/>
      </w:rPr>
    </w:lvl>
    <w:lvl w:ilvl="6" w:tplc="82E4F820" w:tentative="1">
      <w:start w:val="1"/>
      <w:numFmt w:val="bullet"/>
      <w:lvlText w:val="•"/>
      <w:lvlJc w:val="left"/>
      <w:pPr>
        <w:tabs>
          <w:tab w:val="num" w:pos="5040"/>
        </w:tabs>
        <w:ind w:left="5040" w:hanging="360"/>
      </w:pPr>
      <w:rPr>
        <w:rFonts w:ascii="Arial" w:hAnsi="Arial" w:hint="default"/>
      </w:rPr>
    </w:lvl>
    <w:lvl w:ilvl="7" w:tplc="964A242C" w:tentative="1">
      <w:start w:val="1"/>
      <w:numFmt w:val="bullet"/>
      <w:lvlText w:val="•"/>
      <w:lvlJc w:val="left"/>
      <w:pPr>
        <w:tabs>
          <w:tab w:val="num" w:pos="5760"/>
        </w:tabs>
        <w:ind w:left="5760" w:hanging="360"/>
      </w:pPr>
      <w:rPr>
        <w:rFonts w:ascii="Arial" w:hAnsi="Arial" w:hint="default"/>
      </w:rPr>
    </w:lvl>
    <w:lvl w:ilvl="8" w:tplc="18B8C7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C21D3F"/>
    <w:multiLevelType w:val="hybridMultilevel"/>
    <w:tmpl w:val="656A2212"/>
    <w:lvl w:ilvl="0" w:tplc="B7F6E5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F6B33"/>
    <w:multiLevelType w:val="hybridMultilevel"/>
    <w:tmpl w:val="8880F924"/>
    <w:lvl w:ilvl="0" w:tplc="956E4386">
      <w:start w:val="1"/>
      <w:numFmt w:val="bullet"/>
      <w:lvlText w:val="•"/>
      <w:lvlJc w:val="left"/>
      <w:pPr>
        <w:tabs>
          <w:tab w:val="num" w:pos="720"/>
        </w:tabs>
        <w:ind w:left="720" w:hanging="360"/>
      </w:pPr>
      <w:rPr>
        <w:rFonts w:ascii="Arial" w:hAnsi="Arial" w:hint="default"/>
      </w:rPr>
    </w:lvl>
    <w:lvl w:ilvl="1" w:tplc="E56C2738" w:tentative="1">
      <w:start w:val="1"/>
      <w:numFmt w:val="bullet"/>
      <w:lvlText w:val="•"/>
      <w:lvlJc w:val="left"/>
      <w:pPr>
        <w:tabs>
          <w:tab w:val="num" w:pos="1440"/>
        </w:tabs>
        <w:ind w:left="1440" w:hanging="360"/>
      </w:pPr>
      <w:rPr>
        <w:rFonts w:ascii="Arial" w:hAnsi="Arial" w:hint="default"/>
      </w:rPr>
    </w:lvl>
    <w:lvl w:ilvl="2" w:tplc="03AC571A" w:tentative="1">
      <w:start w:val="1"/>
      <w:numFmt w:val="bullet"/>
      <w:lvlText w:val="•"/>
      <w:lvlJc w:val="left"/>
      <w:pPr>
        <w:tabs>
          <w:tab w:val="num" w:pos="2160"/>
        </w:tabs>
        <w:ind w:left="2160" w:hanging="360"/>
      </w:pPr>
      <w:rPr>
        <w:rFonts w:ascii="Arial" w:hAnsi="Arial" w:hint="default"/>
      </w:rPr>
    </w:lvl>
    <w:lvl w:ilvl="3" w:tplc="199CE212" w:tentative="1">
      <w:start w:val="1"/>
      <w:numFmt w:val="bullet"/>
      <w:lvlText w:val="•"/>
      <w:lvlJc w:val="left"/>
      <w:pPr>
        <w:tabs>
          <w:tab w:val="num" w:pos="2880"/>
        </w:tabs>
        <w:ind w:left="2880" w:hanging="360"/>
      </w:pPr>
      <w:rPr>
        <w:rFonts w:ascii="Arial" w:hAnsi="Arial" w:hint="default"/>
      </w:rPr>
    </w:lvl>
    <w:lvl w:ilvl="4" w:tplc="6B0415EC" w:tentative="1">
      <w:start w:val="1"/>
      <w:numFmt w:val="bullet"/>
      <w:lvlText w:val="•"/>
      <w:lvlJc w:val="left"/>
      <w:pPr>
        <w:tabs>
          <w:tab w:val="num" w:pos="3600"/>
        </w:tabs>
        <w:ind w:left="3600" w:hanging="360"/>
      </w:pPr>
      <w:rPr>
        <w:rFonts w:ascii="Arial" w:hAnsi="Arial" w:hint="default"/>
      </w:rPr>
    </w:lvl>
    <w:lvl w:ilvl="5" w:tplc="50D8E4E8" w:tentative="1">
      <w:start w:val="1"/>
      <w:numFmt w:val="bullet"/>
      <w:lvlText w:val="•"/>
      <w:lvlJc w:val="left"/>
      <w:pPr>
        <w:tabs>
          <w:tab w:val="num" w:pos="4320"/>
        </w:tabs>
        <w:ind w:left="4320" w:hanging="360"/>
      </w:pPr>
      <w:rPr>
        <w:rFonts w:ascii="Arial" w:hAnsi="Arial" w:hint="default"/>
      </w:rPr>
    </w:lvl>
    <w:lvl w:ilvl="6" w:tplc="48ECE4DC" w:tentative="1">
      <w:start w:val="1"/>
      <w:numFmt w:val="bullet"/>
      <w:lvlText w:val="•"/>
      <w:lvlJc w:val="left"/>
      <w:pPr>
        <w:tabs>
          <w:tab w:val="num" w:pos="5040"/>
        </w:tabs>
        <w:ind w:left="5040" w:hanging="360"/>
      </w:pPr>
      <w:rPr>
        <w:rFonts w:ascii="Arial" w:hAnsi="Arial" w:hint="default"/>
      </w:rPr>
    </w:lvl>
    <w:lvl w:ilvl="7" w:tplc="67EEA166" w:tentative="1">
      <w:start w:val="1"/>
      <w:numFmt w:val="bullet"/>
      <w:lvlText w:val="•"/>
      <w:lvlJc w:val="left"/>
      <w:pPr>
        <w:tabs>
          <w:tab w:val="num" w:pos="5760"/>
        </w:tabs>
        <w:ind w:left="5760" w:hanging="360"/>
      </w:pPr>
      <w:rPr>
        <w:rFonts w:ascii="Arial" w:hAnsi="Arial" w:hint="default"/>
      </w:rPr>
    </w:lvl>
    <w:lvl w:ilvl="8" w:tplc="6964C2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9F40B3"/>
    <w:multiLevelType w:val="multilevel"/>
    <w:tmpl w:val="C62AAEC6"/>
    <w:styleLink w:val="ListNumbers"/>
    <w:lvl w:ilvl="0">
      <w:start w:val="1"/>
      <w:numFmt w:val="decimal"/>
      <w:pStyle w:val="ListNumber"/>
      <w:lvlText w:val="%1)"/>
      <w:lvlJc w:val="left"/>
      <w:pPr>
        <w:ind w:left="567" w:hanging="283"/>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8"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rPr>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708372B"/>
    <w:multiLevelType w:val="multilevel"/>
    <w:tmpl w:val="092054EE"/>
    <w:styleLink w:val="ListBullets"/>
    <w:lvl w:ilvl="0">
      <w:start w:val="1"/>
      <w:numFmt w:val="bullet"/>
      <w:pStyle w:val="ListBullet"/>
      <w:lvlText w:val=""/>
      <w:lvlJc w:val="left"/>
      <w:pPr>
        <w:ind w:left="567" w:hanging="283"/>
      </w:pPr>
      <w:rPr>
        <w:rFonts w:ascii="Symbol" w:hAnsi="Symbol" w:hint="default"/>
      </w:rPr>
    </w:lvl>
    <w:lvl w:ilvl="1">
      <w:start w:val="1"/>
      <w:numFmt w:val="bullet"/>
      <w:pStyle w:val="ListBullet2"/>
      <w:lvlText w:val="o"/>
      <w:lvlJc w:val="left"/>
      <w:pPr>
        <w:ind w:left="851" w:hanging="283"/>
      </w:pPr>
      <w:rPr>
        <w:rFonts w:ascii="Courier New" w:hAnsi="Courier New" w:hint="default"/>
      </w:rPr>
    </w:lvl>
    <w:lvl w:ilvl="2">
      <w:start w:val="1"/>
      <w:numFmt w:val="bullet"/>
      <w:pStyle w:val="ListBullet3"/>
      <w:lvlText w:val=""/>
      <w:lvlJc w:val="left"/>
      <w:pPr>
        <w:ind w:left="1135" w:hanging="283"/>
      </w:pPr>
      <w:rPr>
        <w:rFonts w:ascii="Wingdings" w:hAnsi="Wingdings" w:hint="default"/>
      </w:rPr>
    </w:lvl>
    <w:lvl w:ilvl="3">
      <w:start w:val="1"/>
      <w:numFmt w:val="bullet"/>
      <w:pStyle w:val="ListBullet4"/>
      <w:lvlText w:val=""/>
      <w:lvlJc w:val="left"/>
      <w:pPr>
        <w:ind w:left="1419" w:hanging="283"/>
      </w:pPr>
      <w:rPr>
        <w:rFonts w:ascii="Symbol" w:hAnsi="Symbol" w:hint="default"/>
      </w:rPr>
    </w:lvl>
    <w:lvl w:ilvl="4">
      <w:start w:val="1"/>
      <w:numFmt w:val="bullet"/>
      <w:pStyle w:val="ListBullet5"/>
      <w:lvlText w:val="o"/>
      <w:lvlJc w:val="left"/>
      <w:pPr>
        <w:ind w:left="1703" w:hanging="283"/>
      </w:pPr>
      <w:rPr>
        <w:rFonts w:ascii="Courier New" w:hAnsi="Courier New" w:hint="default"/>
      </w:rPr>
    </w:lvl>
    <w:lvl w:ilvl="5">
      <w:start w:val="1"/>
      <w:numFmt w:val="none"/>
      <w:lvlText w:val=""/>
      <w:lvlJc w:val="left"/>
      <w:pPr>
        <w:ind w:left="1987" w:hanging="286"/>
      </w:pPr>
      <w:rPr>
        <w:rFonts w:hint="default"/>
      </w:rPr>
    </w:lvl>
    <w:lvl w:ilvl="6">
      <w:start w:val="1"/>
      <w:numFmt w:val="none"/>
      <w:lvlText w:val="%7"/>
      <w:lvlJc w:val="left"/>
      <w:pPr>
        <w:ind w:left="2271" w:hanging="283"/>
      </w:pPr>
      <w:rPr>
        <w:rFonts w:hint="default"/>
      </w:rPr>
    </w:lvl>
    <w:lvl w:ilvl="7">
      <w:start w:val="1"/>
      <w:numFmt w:val="none"/>
      <w:lvlText w:val="%8"/>
      <w:lvlJc w:val="left"/>
      <w:pPr>
        <w:ind w:left="2555" w:hanging="283"/>
      </w:pPr>
      <w:rPr>
        <w:rFonts w:hint="default"/>
      </w:rPr>
    </w:lvl>
    <w:lvl w:ilvl="8">
      <w:start w:val="1"/>
      <w:numFmt w:val="none"/>
      <w:lvlText w:val="%9"/>
      <w:lvlJc w:val="left"/>
      <w:pPr>
        <w:ind w:left="2839" w:hanging="283"/>
      </w:pPr>
      <w:rPr>
        <w:rFonts w:hint="default"/>
      </w:rPr>
    </w:lvl>
  </w:abstractNum>
  <w:abstractNum w:abstractNumId="10" w15:restartNumberingAfterBreak="0">
    <w:nsid w:val="4B4B43E2"/>
    <w:multiLevelType w:val="hybridMultilevel"/>
    <w:tmpl w:val="CD2C9AEE"/>
    <w:lvl w:ilvl="0" w:tplc="1C425EE0">
      <w:start w:val="1"/>
      <w:numFmt w:val="bullet"/>
      <w:lvlText w:val="•"/>
      <w:lvlJc w:val="left"/>
      <w:pPr>
        <w:tabs>
          <w:tab w:val="num" w:pos="720"/>
        </w:tabs>
        <w:ind w:left="720" w:hanging="360"/>
      </w:pPr>
      <w:rPr>
        <w:rFonts w:ascii="Arial" w:hAnsi="Arial" w:hint="default"/>
      </w:rPr>
    </w:lvl>
    <w:lvl w:ilvl="1" w:tplc="431AB5DC">
      <w:start w:val="1673"/>
      <w:numFmt w:val="bullet"/>
      <w:lvlText w:val="•"/>
      <w:lvlJc w:val="left"/>
      <w:pPr>
        <w:tabs>
          <w:tab w:val="num" w:pos="1440"/>
        </w:tabs>
        <w:ind w:left="1440" w:hanging="360"/>
      </w:pPr>
      <w:rPr>
        <w:rFonts w:ascii="Arial" w:hAnsi="Arial" w:hint="default"/>
      </w:rPr>
    </w:lvl>
    <w:lvl w:ilvl="2" w:tplc="53E6F4B6" w:tentative="1">
      <w:start w:val="1"/>
      <w:numFmt w:val="bullet"/>
      <w:lvlText w:val="•"/>
      <w:lvlJc w:val="left"/>
      <w:pPr>
        <w:tabs>
          <w:tab w:val="num" w:pos="2160"/>
        </w:tabs>
        <w:ind w:left="2160" w:hanging="360"/>
      </w:pPr>
      <w:rPr>
        <w:rFonts w:ascii="Arial" w:hAnsi="Arial" w:hint="default"/>
      </w:rPr>
    </w:lvl>
    <w:lvl w:ilvl="3" w:tplc="A3CC43CE" w:tentative="1">
      <w:start w:val="1"/>
      <w:numFmt w:val="bullet"/>
      <w:lvlText w:val="•"/>
      <w:lvlJc w:val="left"/>
      <w:pPr>
        <w:tabs>
          <w:tab w:val="num" w:pos="2880"/>
        </w:tabs>
        <w:ind w:left="2880" w:hanging="360"/>
      </w:pPr>
      <w:rPr>
        <w:rFonts w:ascii="Arial" w:hAnsi="Arial" w:hint="default"/>
      </w:rPr>
    </w:lvl>
    <w:lvl w:ilvl="4" w:tplc="90E2C760" w:tentative="1">
      <w:start w:val="1"/>
      <w:numFmt w:val="bullet"/>
      <w:lvlText w:val="•"/>
      <w:lvlJc w:val="left"/>
      <w:pPr>
        <w:tabs>
          <w:tab w:val="num" w:pos="3600"/>
        </w:tabs>
        <w:ind w:left="3600" w:hanging="360"/>
      </w:pPr>
      <w:rPr>
        <w:rFonts w:ascii="Arial" w:hAnsi="Arial" w:hint="default"/>
      </w:rPr>
    </w:lvl>
    <w:lvl w:ilvl="5" w:tplc="58F88DA0" w:tentative="1">
      <w:start w:val="1"/>
      <w:numFmt w:val="bullet"/>
      <w:lvlText w:val="•"/>
      <w:lvlJc w:val="left"/>
      <w:pPr>
        <w:tabs>
          <w:tab w:val="num" w:pos="4320"/>
        </w:tabs>
        <w:ind w:left="4320" w:hanging="360"/>
      </w:pPr>
      <w:rPr>
        <w:rFonts w:ascii="Arial" w:hAnsi="Arial" w:hint="default"/>
      </w:rPr>
    </w:lvl>
    <w:lvl w:ilvl="6" w:tplc="A33842B2" w:tentative="1">
      <w:start w:val="1"/>
      <w:numFmt w:val="bullet"/>
      <w:lvlText w:val="•"/>
      <w:lvlJc w:val="left"/>
      <w:pPr>
        <w:tabs>
          <w:tab w:val="num" w:pos="5040"/>
        </w:tabs>
        <w:ind w:left="5040" w:hanging="360"/>
      </w:pPr>
      <w:rPr>
        <w:rFonts w:ascii="Arial" w:hAnsi="Arial" w:hint="default"/>
      </w:rPr>
    </w:lvl>
    <w:lvl w:ilvl="7" w:tplc="200AA7EC" w:tentative="1">
      <w:start w:val="1"/>
      <w:numFmt w:val="bullet"/>
      <w:lvlText w:val="•"/>
      <w:lvlJc w:val="left"/>
      <w:pPr>
        <w:tabs>
          <w:tab w:val="num" w:pos="5760"/>
        </w:tabs>
        <w:ind w:left="5760" w:hanging="360"/>
      </w:pPr>
      <w:rPr>
        <w:rFonts w:ascii="Arial" w:hAnsi="Arial" w:hint="default"/>
      </w:rPr>
    </w:lvl>
    <w:lvl w:ilvl="8" w:tplc="7F86DC0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D9444A"/>
    <w:multiLevelType w:val="hybridMultilevel"/>
    <w:tmpl w:val="20FCEB32"/>
    <w:lvl w:ilvl="0" w:tplc="9E1295B2">
      <w:start w:val="1"/>
      <w:numFmt w:val="bullet"/>
      <w:lvlText w:val="•"/>
      <w:lvlJc w:val="left"/>
      <w:pPr>
        <w:tabs>
          <w:tab w:val="num" w:pos="720"/>
        </w:tabs>
        <w:ind w:left="720" w:hanging="360"/>
      </w:pPr>
      <w:rPr>
        <w:rFonts w:ascii="Arial" w:hAnsi="Arial" w:hint="default"/>
      </w:rPr>
    </w:lvl>
    <w:lvl w:ilvl="1" w:tplc="3DC28ECA" w:tentative="1">
      <w:start w:val="1"/>
      <w:numFmt w:val="bullet"/>
      <w:lvlText w:val="•"/>
      <w:lvlJc w:val="left"/>
      <w:pPr>
        <w:tabs>
          <w:tab w:val="num" w:pos="1440"/>
        </w:tabs>
        <w:ind w:left="1440" w:hanging="360"/>
      </w:pPr>
      <w:rPr>
        <w:rFonts w:ascii="Arial" w:hAnsi="Arial" w:hint="default"/>
      </w:rPr>
    </w:lvl>
    <w:lvl w:ilvl="2" w:tplc="85E411A6" w:tentative="1">
      <w:start w:val="1"/>
      <w:numFmt w:val="bullet"/>
      <w:lvlText w:val="•"/>
      <w:lvlJc w:val="left"/>
      <w:pPr>
        <w:tabs>
          <w:tab w:val="num" w:pos="2160"/>
        </w:tabs>
        <w:ind w:left="2160" w:hanging="360"/>
      </w:pPr>
      <w:rPr>
        <w:rFonts w:ascii="Arial" w:hAnsi="Arial" w:hint="default"/>
      </w:rPr>
    </w:lvl>
    <w:lvl w:ilvl="3" w:tplc="6A18B838" w:tentative="1">
      <w:start w:val="1"/>
      <w:numFmt w:val="bullet"/>
      <w:lvlText w:val="•"/>
      <w:lvlJc w:val="left"/>
      <w:pPr>
        <w:tabs>
          <w:tab w:val="num" w:pos="2880"/>
        </w:tabs>
        <w:ind w:left="2880" w:hanging="360"/>
      </w:pPr>
      <w:rPr>
        <w:rFonts w:ascii="Arial" w:hAnsi="Arial" w:hint="default"/>
      </w:rPr>
    </w:lvl>
    <w:lvl w:ilvl="4" w:tplc="D4DED330" w:tentative="1">
      <w:start w:val="1"/>
      <w:numFmt w:val="bullet"/>
      <w:lvlText w:val="•"/>
      <w:lvlJc w:val="left"/>
      <w:pPr>
        <w:tabs>
          <w:tab w:val="num" w:pos="3600"/>
        </w:tabs>
        <w:ind w:left="3600" w:hanging="360"/>
      </w:pPr>
      <w:rPr>
        <w:rFonts w:ascii="Arial" w:hAnsi="Arial" w:hint="default"/>
      </w:rPr>
    </w:lvl>
    <w:lvl w:ilvl="5" w:tplc="818ECB4E" w:tentative="1">
      <w:start w:val="1"/>
      <w:numFmt w:val="bullet"/>
      <w:lvlText w:val="•"/>
      <w:lvlJc w:val="left"/>
      <w:pPr>
        <w:tabs>
          <w:tab w:val="num" w:pos="4320"/>
        </w:tabs>
        <w:ind w:left="4320" w:hanging="360"/>
      </w:pPr>
      <w:rPr>
        <w:rFonts w:ascii="Arial" w:hAnsi="Arial" w:hint="default"/>
      </w:rPr>
    </w:lvl>
    <w:lvl w:ilvl="6" w:tplc="204A09E4" w:tentative="1">
      <w:start w:val="1"/>
      <w:numFmt w:val="bullet"/>
      <w:lvlText w:val="•"/>
      <w:lvlJc w:val="left"/>
      <w:pPr>
        <w:tabs>
          <w:tab w:val="num" w:pos="5040"/>
        </w:tabs>
        <w:ind w:left="5040" w:hanging="360"/>
      </w:pPr>
      <w:rPr>
        <w:rFonts w:ascii="Arial" w:hAnsi="Arial" w:hint="default"/>
      </w:rPr>
    </w:lvl>
    <w:lvl w:ilvl="7" w:tplc="AAA0317A" w:tentative="1">
      <w:start w:val="1"/>
      <w:numFmt w:val="bullet"/>
      <w:lvlText w:val="•"/>
      <w:lvlJc w:val="left"/>
      <w:pPr>
        <w:tabs>
          <w:tab w:val="num" w:pos="5760"/>
        </w:tabs>
        <w:ind w:left="5760" w:hanging="360"/>
      </w:pPr>
      <w:rPr>
        <w:rFonts w:ascii="Arial" w:hAnsi="Arial" w:hint="default"/>
      </w:rPr>
    </w:lvl>
    <w:lvl w:ilvl="8" w:tplc="9780B22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135366"/>
    <w:multiLevelType w:val="hybridMultilevel"/>
    <w:tmpl w:val="FDE01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552115"/>
    <w:multiLevelType w:val="hybridMultilevel"/>
    <w:tmpl w:val="CD1A02D0"/>
    <w:lvl w:ilvl="0" w:tplc="3BC2ECBC">
      <w:start w:val="1"/>
      <w:numFmt w:val="bullet"/>
      <w:lvlText w:val="•"/>
      <w:lvlJc w:val="left"/>
      <w:pPr>
        <w:tabs>
          <w:tab w:val="num" w:pos="720"/>
        </w:tabs>
        <w:ind w:left="720" w:hanging="360"/>
      </w:pPr>
      <w:rPr>
        <w:rFonts w:ascii="Arial" w:hAnsi="Arial" w:hint="default"/>
      </w:rPr>
    </w:lvl>
    <w:lvl w:ilvl="1" w:tplc="76DEB84A" w:tentative="1">
      <w:start w:val="1"/>
      <w:numFmt w:val="bullet"/>
      <w:lvlText w:val="•"/>
      <w:lvlJc w:val="left"/>
      <w:pPr>
        <w:tabs>
          <w:tab w:val="num" w:pos="1440"/>
        </w:tabs>
        <w:ind w:left="1440" w:hanging="360"/>
      </w:pPr>
      <w:rPr>
        <w:rFonts w:ascii="Arial" w:hAnsi="Arial" w:hint="default"/>
      </w:rPr>
    </w:lvl>
    <w:lvl w:ilvl="2" w:tplc="968ACAB0" w:tentative="1">
      <w:start w:val="1"/>
      <w:numFmt w:val="bullet"/>
      <w:lvlText w:val="•"/>
      <w:lvlJc w:val="left"/>
      <w:pPr>
        <w:tabs>
          <w:tab w:val="num" w:pos="2160"/>
        </w:tabs>
        <w:ind w:left="2160" w:hanging="360"/>
      </w:pPr>
      <w:rPr>
        <w:rFonts w:ascii="Arial" w:hAnsi="Arial" w:hint="default"/>
      </w:rPr>
    </w:lvl>
    <w:lvl w:ilvl="3" w:tplc="484CE810" w:tentative="1">
      <w:start w:val="1"/>
      <w:numFmt w:val="bullet"/>
      <w:lvlText w:val="•"/>
      <w:lvlJc w:val="left"/>
      <w:pPr>
        <w:tabs>
          <w:tab w:val="num" w:pos="2880"/>
        </w:tabs>
        <w:ind w:left="2880" w:hanging="360"/>
      </w:pPr>
      <w:rPr>
        <w:rFonts w:ascii="Arial" w:hAnsi="Arial" w:hint="default"/>
      </w:rPr>
    </w:lvl>
    <w:lvl w:ilvl="4" w:tplc="55146F0E" w:tentative="1">
      <w:start w:val="1"/>
      <w:numFmt w:val="bullet"/>
      <w:lvlText w:val="•"/>
      <w:lvlJc w:val="left"/>
      <w:pPr>
        <w:tabs>
          <w:tab w:val="num" w:pos="3600"/>
        </w:tabs>
        <w:ind w:left="3600" w:hanging="360"/>
      </w:pPr>
      <w:rPr>
        <w:rFonts w:ascii="Arial" w:hAnsi="Arial" w:hint="default"/>
      </w:rPr>
    </w:lvl>
    <w:lvl w:ilvl="5" w:tplc="FE48CFC0" w:tentative="1">
      <w:start w:val="1"/>
      <w:numFmt w:val="bullet"/>
      <w:lvlText w:val="•"/>
      <w:lvlJc w:val="left"/>
      <w:pPr>
        <w:tabs>
          <w:tab w:val="num" w:pos="4320"/>
        </w:tabs>
        <w:ind w:left="4320" w:hanging="360"/>
      </w:pPr>
      <w:rPr>
        <w:rFonts w:ascii="Arial" w:hAnsi="Arial" w:hint="default"/>
      </w:rPr>
    </w:lvl>
    <w:lvl w:ilvl="6" w:tplc="70FCE99C" w:tentative="1">
      <w:start w:val="1"/>
      <w:numFmt w:val="bullet"/>
      <w:lvlText w:val="•"/>
      <w:lvlJc w:val="left"/>
      <w:pPr>
        <w:tabs>
          <w:tab w:val="num" w:pos="5040"/>
        </w:tabs>
        <w:ind w:left="5040" w:hanging="360"/>
      </w:pPr>
      <w:rPr>
        <w:rFonts w:ascii="Arial" w:hAnsi="Arial" w:hint="default"/>
      </w:rPr>
    </w:lvl>
    <w:lvl w:ilvl="7" w:tplc="B852DB40" w:tentative="1">
      <w:start w:val="1"/>
      <w:numFmt w:val="bullet"/>
      <w:lvlText w:val="•"/>
      <w:lvlJc w:val="left"/>
      <w:pPr>
        <w:tabs>
          <w:tab w:val="num" w:pos="5760"/>
        </w:tabs>
        <w:ind w:left="5760" w:hanging="360"/>
      </w:pPr>
      <w:rPr>
        <w:rFonts w:ascii="Arial" w:hAnsi="Arial" w:hint="default"/>
      </w:rPr>
    </w:lvl>
    <w:lvl w:ilvl="8" w:tplc="D6620240"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9"/>
  </w:num>
  <w:num w:numId="3">
    <w:abstractNumId w:val="7"/>
  </w:num>
  <w:num w:numId="4">
    <w:abstractNumId w:val="2"/>
  </w:num>
  <w:num w:numId="5">
    <w:abstractNumId w:val="5"/>
  </w:num>
  <w:num w:numId="6">
    <w:abstractNumId w:val="4"/>
  </w:num>
  <w:num w:numId="7">
    <w:abstractNumId w:val="13"/>
  </w:num>
  <w:num w:numId="8">
    <w:abstractNumId w:val="10"/>
  </w:num>
  <w:num w:numId="9">
    <w:abstractNumId w:val="6"/>
  </w:num>
  <w:num w:numId="10">
    <w:abstractNumId w:val="0"/>
  </w:num>
  <w:num w:numId="11">
    <w:abstractNumId w:val="1"/>
  </w:num>
  <w:num w:numId="12">
    <w:abstractNumId w:val="3"/>
  </w:num>
  <w:num w:numId="13">
    <w:abstractNumId w:val="11"/>
  </w:num>
  <w:num w:numId="14">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SSAM, Mehreen (UNIVERSITY COLLEGE LONDON HOSPITALS NHS FOUNDATION TRUST)">
    <w15:presenceInfo w15:providerId="AD" w15:userId="S::mehreen.kassam1@nhs.net::176c8db5-b4c4-4c1d-bc68-77e839bbd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11"/>
    <w:rsid w:val="00000A09"/>
    <w:rsid w:val="00001CAC"/>
    <w:rsid w:val="0000572E"/>
    <w:rsid w:val="00010BB2"/>
    <w:rsid w:val="00011A14"/>
    <w:rsid w:val="00013FC5"/>
    <w:rsid w:val="00014793"/>
    <w:rsid w:val="00026098"/>
    <w:rsid w:val="00030747"/>
    <w:rsid w:val="0003093A"/>
    <w:rsid w:val="0003213F"/>
    <w:rsid w:val="00032C7B"/>
    <w:rsid w:val="00035876"/>
    <w:rsid w:val="0004075A"/>
    <w:rsid w:val="00040B14"/>
    <w:rsid w:val="00041CE1"/>
    <w:rsid w:val="00051962"/>
    <w:rsid w:val="0005242F"/>
    <w:rsid w:val="00057AE7"/>
    <w:rsid w:val="000604F1"/>
    <w:rsid w:val="00064B11"/>
    <w:rsid w:val="00064BC6"/>
    <w:rsid w:val="00064E4D"/>
    <w:rsid w:val="00067D65"/>
    <w:rsid w:val="00072624"/>
    <w:rsid w:val="00073487"/>
    <w:rsid w:val="0007648A"/>
    <w:rsid w:val="000776EC"/>
    <w:rsid w:val="000819FD"/>
    <w:rsid w:val="0008231C"/>
    <w:rsid w:val="00082711"/>
    <w:rsid w:val="00085AE7"/>
    <w:rsid w:val="00086B95"/>
    <w:rsid w:val="00086E92"/>
    <w:rsid w:val="000A6B54"/>
    <w:rsid w:val="000A7242"/>
    <w:rsid w:val="000B0DB0"/>
    <w:rsid w:val="000B322C"/>
    <w:rsid w:val="000B5E05"/>
    <w:rsid w:val="000C69A6"/>
    <w:rsid w:val="000C7631"/>
    <w:rsid w:val="000D1324"/>
    <w:rsid w:val="000D4C54"/>
    <w:rsid w:val="000E03C0"/>
    <w:rsid w:val="000F2983"/>
    <w:rsid w:val="000F7705"/>
    <w:rsid w:val="00101928"/>
    <w:rsid w:val="0010557A"/>
    <w:rsid w:val="00106B63"/>
    <w:rsid w:val="0011412C"/>
    <w:rsid w:val="00115D46"/>
    <w:rsid w:val="00121931"/>
    <w:rsid w:val="001223AA"/>
    <w:rsid w:val="00122516"/>
    <w:rsid w:val="00123AFD"/>
    <w:rsid w:val="00125BB6"/>
    <w:rsid w:val="00126AB8"/>
    <w:rsid w:val="00127046"/>
    <w:rsid w:val="0013244C"/>
    <w:rsid w:val="00134B1C"/>
    <w:rsid w:val="00136811"/>
    <w:rsid w:val="00137260"/>
    <w:rsid w:val="001502EA"/>
    <w:rsid w:val="00155D2D"/>
    <w:rsid w:val="00162C6F"/>
    <w:rsid w:val="001650F5"/>
    <w:rsid w:val="00173126"/>
    <w:rsid w:val="00174110"/>
    <w:rsid w:val="00195AD8"/>
    <w:rsid w:val="00195C73"/>
    <w:rsid w:val="00196841"/>
    <w:rsid w:val="001A0E9D"/>
    <w:rsid w:val="001A160D"/>
    <w:rsid w:val="001B0B5C"/>
    <w:rsid w:val="001B2A6E"/>
    <w:rsid w:val="001C0713"/>
    <w:rsid w:val="001C138A"/>
    <w:rsid w:val="001C287C"/>
    <w:rsid w:val="001C3184"/>
    <w:rsid w:val="001D077C"/>
    <w:rsid w:val="001D2777"/>
    <w:rsid w:val="001E072D"/>
    <w:rsid w:val="001E6402"/>
    <w:rsid w:val="001E698E"/>
    <w:rsid w:val="00200942"/>
    <w:rsid w:val="0021029F"/>
    <w:rsid w:val="0021191D"/>
    <w:rsid w:val="00211CC0"/>
    <w:rsid w:val="00211FE6"/>
    <w:rsid w:val="00215CC9"/>
    <w:rsid w:val="002167D3"/>
    <w:rsid w:val="00224710"/>
    <w:rsid w:val="00224B44"/>
    <w:rsid w:val="00227927"/>
    <w:rsid w:val="00230CD4"/>
    <w:rsid w:val="0023231A"/>
    <w:rsid w:val="00233643"/>
    <w:rsid w:val="00235B49"/>
    <w:rsid w:val="00240FE6"/>
    <w:rsid w:val="002437D0"/>
    <w:rsid w:val="00246112"/>
    <w:rsid w:val="0025139A"/>
    <w:rsid w:val="00253966"/>
    <w:rsid w:val="00255815"/>
    <w:rsid w:val="00264235"/>
    <w:rsid w:val="0028120B"/>
    <w:rsid w:val="002935C3"/>
    <w:rsid w:val="002939B6"/>
    <w:rsid w:val="00295077"/>
    <w:rsid w:val="002952BB"/>
    <w:rsid w:val="002A19DD"/>
    <w:rsid w:val="002A43D0"/>
    <w:rsid w:val="002A4C5B"/>
    <w:rsid w:val="002B4CCA"/>
    <w:rsid w:val="002C27D0"/>
    <w:rsid w:val="002C5769"/>
    <w:rsid w:val="002C7951"/>
    <w:rsid w:val="002D154C"/>
    <w:rsid w:val="002D2698"/>
    <w:rsid w:val="002D55AC"/>
    <w:rsid w:val="002E01FE"/>
    <w:rsid w:val="002E1E1A"/>
    <w:rsid w:val="002E2340"/>
    <w:rsid w:val="002E2BB0"/>
    <w:rsid w:val="002E7046"/>
    <w:rsid w:val="002F04DD"/>
    <w:rsid w:val="002F48F2"/>
    <w:rsid w:val="00304EC2"/>
    <w:rsid w:val="00306369"/>
    <w:rsid w:val="00310689"/>
    <w:rsid w:val="003129B3"/>
    <w:rsid w:val="00313F95"/>
    <w:rsid w:val="00320A40"/>
    <w:rsid w:val="0032389F"/>
    <w:rsid w:val="003250D0"/>
    <w:rsid w:val="00325A5B"/>
    <w:rsid w:val="0033548B"/>
    <w:rsid w:val="0033552D"/>
    <w:rsid w:val="00335F91"/>
    <w:rsid w:val="00336430"/>
    <w:rsid w:val="00336C03"/>
    <w:rsid w:val="003566C9"/>
    <w:rsid w:val="00357226"/>
    <w:rsid w:val="00363727"/>
    <w:rsid w:val="003650C3"/>
    <w:rsid w:val="00365827"/>
    <w:rsid w:val="00370777"/>
    <w:rsid w:val="003719EA"/>
    <w:rsid w:val="00371ED4"/>
    <w:rsid w:val="0037439A"/>
    <w:rsid w:val="00380365"/>
    <w:rsid w:val="0038143E"/>
    <w:rsid w:val="0038661E"/>
    <w:rsid w:val="00387099"/>
    <w:rsid w:val="003940DE"/>
    <w:rsid w:val="003948CA"/>
    <w:rsid w:val="0039732F"/>
    <w:rsid w:val="003A1343"/>
    <w:rsid w:val="003C4C0D"/>
    <w:rsid w:val="003C73C5"/>
    <w:rsid w:val="003D5111"/>
    <w:rsid w:val="003D6C18"/>
    <w:rsid w:val="003E0769"/>
    <w:rsid w:val="003F02A7"/>
    <w:rsid w:val="003F1A54"/>
    <w:rsid w:val="003F54DD"/>
    <w:rsid w:val="00400EFF"/>
    <w:rsid w:val="0040183B"/>
    <w:rsid w:val="0041091F"/>
    <w:rsid w:val="00412B82"/>
    <w:rsid w:val="00413636"/>
    <w:rsid w:val="00416805"/>
    <w:rsid w:val="0042324C"/>
    <w:rsid w:val="0042399E"/>
    <w:rsid w:val="0042546D"/>
    <w:rsid w:val="00431162"/>
    <w:rsid w:val="004315E5"/>
    <w:rsid w:val="004361B7"/>
    <w:rsid w:val="00437C1A"/>
    <w:rsid w:val="0044091E"/>
    <w:rsid w:val="004429E4"/>
    <w:rsid w:val="0044347E"/>
    <w:rsid w:val="004461BF"/>
    <w:rsid w:val="0045043D"/>
    <w:rsid w:val="00450A6B"/>
    <w:rsid w:val="004550D4"/>
    <w:rsid w:val="00455C5A"/>
    <w:rsid w:val="00456AAA"/>
    <w:rsid w:val="00462472"/>
    <w:rsid w:val="00465AA6"/>
    <w:rsid w:val="004673C8"/>
    <w:rsid w:val="00474781"/>
    <w:rsid w:val="00481244"/>
    <w:rsid w:val="004814E3"/>
    <w:rsid w:val="00483BAC"/>
    <w:rsid w:val="00491DF5"/>
    <w:rsid w:val="004A0016"/>
    <w:rsid w:val="004A626F"/>
    <w:rsid w:val="004A6A7B"/>
    <w:rsid w:val="004A6B60"/>
    <w:rsid w:val="004B5258"/>
    <w:rsid w:val="004B7222"/>
    <w:rsid w:val="004B7FF7"/>
    <w:rsid w:val="004C0006"/>
    <w:rsid w:val="004C0221"/>
    <w:rsid w:val="004C49E0"/>
    <w:rsid w:val="004C7F72"/>
    <w:rsid w:val="004D4663"/>
    <w:rsid w:val="004F3111"/>
    <w:rsid w:val="004F36B4"/>
    <w:rsid w:val="004F444E"/>
    <w:rsid w:val="004F5FD1"/>
    <w:rsid w:val="00500358"/>
    <w:rsid w:val="005036F0"/>
    <w:rsid w:val="0051225B"/>
    <w:rsid w:val="00523C52"/>
    <w:rsid w:val="00532005"/>
    <w:rsid w:val="00533D38"/>
    <w:rsid w:val="005344DB"/>
    <w:rsid w:val="00540816"/>
    <w:rsid w:val="00540E75"/>
    <w:rsid w:val="005418C2"/>
    <w:rsid w:val="00542641"/>
    <w:rsid w:val="00542857"/>
    <w:rsid w:val="00542A5A"/>
    <w:rsid w:val="005434BE"/>
    <w:rsid w:val="00544450"/>
    <w:rsid w:val="0054702D"/>
    <w:rsid w:val="00556B19"/>
    <w:rsid w:val="00567938"/>
    <w:rsid w:val="00570CA3"/>
    <w:rsid w:val="00571086"/>
    <w:rsid w:val="00571C34"/>
    <w:rsid w:val="00591105"/>
    <w:rsid w:val="0059478A"/>
    <w:rsid w:val="005A0ED7"/>
    <w:rsid w:val="005A468C"/>
    <w:rsid w:val="005B2F03"/>
    <w:rsid w:val="005B3879"/>
    <w:rsid w:val="005C123C"/>
    <w:rsid w:val="005C188C"/>
    <w:rsid w:val="005D172E"/>
    <w:rsid w:val="005D26A4"/>
    <w:rsid w:val="005D340B"/>
    <w:rsid w:val="005E0DA7"/>
    <w:rsid w:val="005E25C4"/>
    <w:rsid w:val="005F0373"/>
    <w:rsid w:val="005F2312"/>
    <w:rsid w:val="005F2FD7"/>
    <w:rsid w:val="005F55F5"/>
    <w:rsid w:val="00602244"/>
    <w:rsid w:val="00602EB4"/>
    <w:rsid w:val="00602EF4"/>
    <w:rsid w:val="00612071"/>
    <w:rsid w:val="00620DAA"/>
    <w:rsid w:val="00624F18"/>
    <w:rsid w:val="00625CF2"/>
    <w:rsid w:val="006264E2"/>
    <w:rsid w:val="006404AF"/>
    <w:rsid w:val="006500AA"/>
    <w:rsid w:val="00654147"/>
    <w:rsid w:val="00655533"/>
    <w:rsid w:val="00664225"/>
    <w:rsid w:val="00666EA1"/>
    <w:rsid w:val="006806BF"/>
    <w:rsid w:val="00680819"/>
    <w:rsid w:val="006811B0"/>
    <w:rsid w:val="0068298D"/>
    <w:rsid w:val="00686276"/>
    <w:rsid w:val="00686FB6"/>
    <w:rsid w:val="00695A11"/>
    <w:rsid w:val="00695F99"/>
    <w:rsid w:val="006A0661"/>
    <w:rsid w:val="006A1C9B"/>
    <w:rsid w:val="006A24A5"/>
    <w:rsid w:val="006A3291"/>
    <w:rsid w:val="006A44DA"/>
    <w:rsid w:val="006B15DA"/>
    <w:rsid w:val="006B587E"/>
    <w:rsid w:val="006C3284"/>
    <w:rsid w:val="006C68B7"/>
    <w:rsid w:val="006D37DB"/>
    <w:rsid w:val="006E1C89"/>
    <w:rsid w:val="006E4754"/>
    <w:rsid w:val="006F0B9E"/>
    <w:rsid w:val="006F39CE"/>
    <w:rsid w:val="006F550A"/>
    <w:rsid w:val="006F7049"/>
    <w:rsid w:val="007145D1"/>
    <w:rsid w:val="00715DA0"/>
    <w:rsid w:val="00722463"/>
    <w:rsid w:val="00733AED"/>
    <w:rsid w:val="00737FA9"/>
    <w:rsid w:val="007424B2"/>
    <w:rsid w:val="0074323C"/>
    <w:rsid w:val="00744766"/>
    <w:rsid w:val="00745719"/>
    <w:rsid w:val="007542FA"/>
    <w:rsid w:val="00754F0F"/>
    <w:rsid w:val="00755DFE"/>
    <w:rsid w:val="00757E04"/>
    <w:rsid w:val="00762873"/>
    <w:rsid w:val="007629D8"/>
    <w:rsid w:val="00764368"/>
    <w:rsid w:val="00770FEE"/>
    <w:rsid w:val="00772051"/>
    <w:rsid w:val="00772D7F"/>
    <w:rsid w:val="00781DC9"/>
    <w:rsid w:val="00783EAB"/>
    <w:rsid w:val="00784AFA"/>
    <w:rsid w:val="00786037"/>
    <w:rsid w:val="00793C90"/>
    <w:rsid w:val="007974A8"/>
    <w:rsid w:val="007A194F"/>
    <w:rsid w:val="007A23E8"/>
    <w:rsid w:val="007A2BF6"/>
    <w:rsid w:val="007A2E6C"/>
    <w:rsid w:val="007A435C"/>
    <w:rsid w:val="007A6BDC"/>
    <w:rsid w:val="007B0F9C"/>
    <w:rsid w:val="007B4D49"/>
    <w:rsid w:val="007C4D7D"/>
    <w:rsid w:val="007C5064"/>
    <w:rsid w:val="007D2BF5"/>
    <w:rsid w:val="007D4581"/>
    <w:rsid w:val="007D4FA5"/>
    <w:rsid w:val="007E4B93"/>
    <w:rsid w:val="007F637A"/>
    <w:rsid w:val="007F63FC"/>
    <w:rsid w:val="00804052"/>
    <w:rsid w:val="00814AAF"/>
    <w:rsid w:val="008153BD"/>
    <w:rsid w:val="00816691"/>
    <w:rsid w:val="00817B6C"/>
    <w:rsid w:val="00822551"/>
    <w:rsid w:val="00823480"/>
    <w:rsid w:val="008306B9"/>
    <w:rsid w:val="00830959"/>
    <w:rsid w:val="0083250E"/>
    <w:rsid w:val="0083278E"/>
    <w:rsid w:val="008365E2"/>
    <w:rsid w:val="00837BE9"/>
    <w:rsid w:val="0084531A"/>
    <w:rsid w:val="00852833"/>
    <w:rsid w:val="008667BC"/>
    <w:rsid w:val="00870F79"/>
    <w:rsid w:val="00872CF6"/>
    <w:rsid w:val="00877DA0"/>
    <w:rsid w:val="0088083B"/>
    <w:rsid w:val="00883B0F"/>
    <w:rsid w:val="008850AA"/>
    <w:rsid w:val="00893577"/>
    <w:rsid w:val="008A1EF0"/>
    <w:rsid w:val="008A3B23"/>
    <w:rsid w:val="008B06C2"/>
    <w:rsid w:val="008B40CB"/>
    <w:rsid w:val="008B5D0A"/>
    <w:rsid w:val="008C1F8A"/>
    <w:rsid w:val="008C51D9"/>
    <w:rsid w:val="008C7299"/>
    <w:rsid w:val="008D2A45"/>
    <w:rsid w:val="008D71D9"/>
    <w:rsid w:val="008D7C26"/>
    <w:rsid w:val="008F1339"/>
    <w:rsid w:val="008F6140"/>
    <w:rsid w:val="0090148E"/>
    <w:rsid w:val="00902608"/>
    <w:rsid w:val="00903CBF"/>
    <w:rsid w:val="00904231"/>
    <w:rsid w:val="009119DA"/>
    <w:rsid w:val="00915D8E"/>
    <w:rsid w:val="00922068"/>
    <w:rsid w:val="00922E0C"/>
    <w:rsid w:val="0092660C"/>
    <w:rsid w:val="00930DB9"/>
    <w:rsid w:val="0093286B"/>
    <w:rsid w:val="00932DE3"/>
    <w:rsid w:val="00937177"/>
    <w:rsid w:val="0094797D"/>
    <w:rsid w:val="009546AB"/>
    <w:rsid w:val="009639CC"/>
    <w:rsid w:val="00965652"/>
    <w:rsid w:val="00966229"/>
    <w:rsid w:val="00967082"/>
    <w:rsid w:val="0098756C"/>
    <w:rsid w:val="00990869"/>
    <w:rsid w:val="0099510D"/>
    <w:rsid w:val="009A10B9"/>
    <w:rsid w:val="009A682E"/>
    <w:rsid w:val="009B5A2E"/>
    <w:rsid w:val="009B7A82"/>
    <w:rsid w:val="009C5D40"/>
    <w:rsid w:val="009C66CE"/>
    <w:rsid w:val="009C6F09"/>
    <w:rsid w:val="009D1C76"/>
    <w:rsid w:val="009F595B"/>
    <w:rsid w:val="00A0078A"/>
    <w:rsid w:val="00A01A64"/>
    <w:rsid w:val="00A030A6"/>
    <w:rsid w:val="00A06838"/>
    <w:rsid w:val="00A1322D"/>
    <w:rsid w:val="00A13780"/>
    <w:rsid w:val="00A20540"/>
    <w:rsid w:val="00A237DB"/>
    <w:rsid w:val="00A25444"/>
    <w:rsid w:val="00A339EE"/>
    <w:rsid w:val="00A34A0D"/>
    <w:rsid w:val="00A36816"/>
    <w:rsid w:val="00A40B26"/>
    <w:rsid w:val="00A45152"/>
    <w:rsid w:val="00A458F5"/>
    <w:rsid w:val="00A5103D"/>
    <w:rsid w:val="00A56FDF"/>
    <w:rsid w:val="00A630AA"/>
    <w:rsid w:val="00A63718"/>
    <w:rsid w:val="00A66A49"/>
    <w:rsid w:val="00A77008"/>
    <w:rsid w:val="00A77F58"/>
    <w:rsid w:val="00A85025"/>
    <w:rsid w:val="00A86F8F"/>
    <w:rsid w:val="00A940B2"/>
    <w:rsid w:val="00AA1DF4"/>
    <w:rsid w:val="00AA6188"/>
    <w:rsid w:val="00AC02B8"/>
    <w:rsid w:val="00AC034C"/>
    <w:rsid w:val="00AD1391"/>
    <w:rsid w:val="00AE758F"/>
    <w:rsid w:val="00AF0506"/>
    <w:rsid w:val="00AF0522"/>
    <w:rsid w:val="00B00D5B"/>
    <w:rsid w:val="00B0161A"/>
    <w:rsid w:val="00B0784C"/>
    <w:rsid w:val="00B1226B"/>
    <w:rsid w:val="00B20D28"/>
    <w:rsid w:val="00B221B5"/>
    <w:rsid w:val="00B23093"/>
    <w:rsid w:val="00B24D82"/>
    <w:rsid w:val="00B306E3"/>
    <w:rsid w:val="00B30C90"/>
    <w:rsid w:val="00B32D70"/>
    <w:rsid w:val="00B50413"/>
    <w:rsid w:val="00B51986"/>
    <w:rsid w:val="00B57FC6"/>
    <w:rsid w:val="00B62837"/>
    <w:rsid w:val="00B630E2"/>
    <w:rsid w:val="00B644C8"/>
    <w:rsid w:val="00B66E54"/>
    <w:rsid w:val="00B75378"/>
    <w:rsid w:val="00B80692"/>
    <w:rsid w:val="00B824FD"/>
    <w:rsid w:val="00BA0D57"/>
    <w:rsid w:val="00BB011C"/>
    <w:rsid w:val="00BB36D0"/>
    <w:rsid w:val="00BB408B"/>
    <w:rsid w:val="00BC564F"/>
    <w:rsid w:val="00BD187B"/>
    <w:rsid w:val="00BD4E0A"/>
    <w:rsid w:val="00BD75F9"/>
    <w:rsid w:val="00BD7728"/>
    <w:rsid w:val="00BE03D5"/>
    <w:rsid w:val="00BE0D92"/>
    <w:rsid w:val="00BF01FE"/>
    <w:rsid w:val="00BF3718"/>
    <w:rsid w:val="00BF62A6"/>
    <w:rsid w:val="00BF68B6"/>
    <w:rsid w:val="00BF7BA9"/>
    <w:rsid w:val="00C0148E"/>
    <w:rsid w:val="00C121E2"/>
    <w:rsid w:val="00C1571A"/>
    <w:rsid w:val="00C24315"/>
    <w:rsid w:val="00C24B81"/>
    <w:rsid w:val="00C25095"/>
    <w:rsid w:val="00C251AC"/>
    <w:rsid w:val="00C2648F"/>
    <w:rsid w:val="00C27844"/>
    <w:rsid w:val="00C36139"/>
    <w:rsid w:val="00C43B5D"/>
    <w:rsid w:val="00C45A15"/>
    <w:rsid w:val="00C559EB"/>
    <w:rsid w:val="00C56C94"/>
    <w:rsid w:val="00C578A4"/>
    <w:rsid w:val="00C61BEF"/>
    <w:rsid w:val="00C863AD"/>
    <w:rsid w:val="00C929BB"/>
    <w:rsid w:val="00C94007"/>
    <w:rsid w:val="00C9435E"/>
    <w:rsid w:val="00CA50A7"/>
    <w:rsid w:val="00CA7C32"/>
    <w:rsid w:val="00CB41B8"/>
    <w:rsid w:val="00CB5905"/>
    <w:rsid w:val="00CB5E92"/>
    <w:rsid w:val="00CB62CE"/>
    <w:rsid w:val="00CC0497"/>
    <w:rsid w:val="00CC0BCE"/>
    <w:rsid w:val="00CC212A"/>
    <w:rsid w:val="00CC5FD9"/>
    <w:rsid w:val="00CD0B9D"/>
    <w:rsid w:val="00CD4E83"/>
    <w:rsid w:val="00CD65D5"/>
    <w:rsid w:val="00CE3EA1"/>
    <w:rsid w:val="00CE3FAD"/>
    <w:rsid w:val="00CE7508"/>
    <w:rsid w:val="00CF198F"/>
    <w:rsid w:val="00CF26EF"/>
    <w:rsid w:val="00CF2D32"/>
    <w:rsid w:val="00D010D2"/>
    <w:rsid w:val="00D0322A"/>
    <w:rsid w:val="00D07C7A"/>
    <w:rsid w:val="00D1085A"/>
    <w:rsid w:val="00D133FD"/>
    <w:rsid w:val="00D15EC8"/>
    <w:rsid w:val="00D210C3"/>
    <w:rsid w:val="00D22B16"/>
    <w:rsid w:val="00D24C2A"/>
    <w:rsid w:val="00D41B45"/>
    <w:rsid w:val="00D44BD0"/>
    <w:rsid w:val="00D507C5"/>
    <w:rsid w:val="00D53FF1"/>
    <w:rsid w:val="00D57B89"/>
    <w:rsid w:val="00D62A47"/>
    <w:rsid w:val="00D75E8A"/>
    <w:rsid w:val="00D80745"/>
    <w:rsid w:val="00D830E9"/>
    <w:rsid w:val="00D83E3D"/>
    <w:rsid w:val="00D8445B"/>
    <w:rsid w:val="00D93CC9"/>
    <w:rsid w:val="00D93D3C"/>
    <w:rsid w:val="00DA0280"/>
    <w:rsid w:val="00DA6B72"/>
    <w:rsid w:val="00DA7390"/>
    <w:rsid w:val="00DB0129"/>
    <w:rsid w:val="00DB2A55"/>
    <w:rsid w:val="00DB2CAD"/>
    <w:rsid w:val="00DB36AD"/>
    <w:rsid w:val="00DB5652"/>
    <w:rsid w:val="00DB6102"/>
    <w:rsid w:val="00DC40EE"/>
    <w:rsid w:val="00DC5B02"/>
    <w:rsid w:val="00DC6B0E"/>
    <w:rsid w:val="00DC7C2A"/>
    <w:rsid w:val="00DF0D6A"/>
    <w:rsid w:val="00DF1A23"/>
    <w:rsid w:val="00DF3C86"/>
    <w:rsid w:val="00E1482F"/>
    <w:rsid w:val="00E15632"/>
    <w:rsid w:val="00E22B0E"/>
    <w:rsid w:val="00E22D03"/>
    <w:rsid w:val="00E24050"/>
    <w:rsid w:val="00E253FF"/>
    <w:rsid w:val="00E358B3"/>
    <w:rsid w:val="00E41744"/>
    <w:rsid w:val="00E506C9"/>
    <w:rsid w:val="00E5091B"/>
    <w:rsid w:val="00E52B20"/>
    <w:rsid w:val="00E53615"/>
    <w:rsid w:val="00E56382"/>
    <w:rsid w:val="00E600F7"/>
    <w:rsid w:val="00E602CB"/>
    <w:rsid w:val="00E647FA"/>
    <w:rsid w:val="00E67A18"/>
    <w:rsid w:val="00E70A99"/>
    <w:rsid w:val="00E71DF0"/>
    <w:rsid w:val="00E7362B"/>
    <w:rsid w:val="00E7453A"/>
    <w:rsid w:val="00E75372"/>
    <w:rsid w:val="00E8180E"/>
    <w:rsid w:val="00E823AF"/>
    <w:rsid w:val="00E833DA"/>
    <w:rsid w:val="00E84973"/>
    <w:rsid w:val="00E92C31"/>
    <w:rsid w:val="00EA00A4"/>
    <w:rsid w:val="00EA0921"/>
    <w:rsid w:val="00EA2572"/>
    <w:rsid w:val="00EA3680"/>
    <w:rsid w:val="00EA7F3F"/>
    <w:rsid w:val="00EB43AE"/>
    <w:rsid w:val="00EC00A4"/>
    <w:rsid w:val="00EC712F"/>
    <w:rsid w:val="00ED4819"/>
    <w:rsid w:val="00ED492D"/>
    <w:rsid w:val="00ED7A54"/>
    <w:rsid w:val="00EE1482"/>
    <w:rsid w:val="00EE6750"/>
    <w:rsid w:val="00EE79AB"/>
    <w:rsid w:val="00EF2C66"/>
    <w:rsid w:val="00EF399B"/>
    <w:rsid w:val="00EF594D"/>
    <w:rsid w:val="00EF7832"/>
    <w:rsid w:val="00EF7C8F"/>
    <w:rsid w:val="00F05C65"/>
    <w:rsid w:val="00F06FB9"/>
    <w:rsid w:val="00F1003C"/>
    <w:rsid w:val="00F10905"/>
    <w:rsid w:val="00F12092"/>
    <w:rsid w:val="00F151DD"/>
    <w:rsid w:val="00F167E2"/>
    <w:rsid w:val="00F176E3"/>
    <w:rsid w:val="00F21946"/>
    <w:rsid w:val="00F2676C"/>
    <w:rsid w:val="00F270CF"/>
    <w:rsid w:val="00F3154A"/>
    <w:rsid w:val="00F32652"/>
    <w:rsid w:val="00F3487F"/>
    <w:rsid w:val="00F45003"/>
    <w:rsid w:val="00F463CB"/>
    <w:rsid w:val="00F5262B"/>
    <w:rsid w:val="00F6445F"/>
    <w:rsid w:val="00F7358C"/>
    <w:rsid w:val="00F73D41"/>
    <w:rsid w:val="00F7561F"/>
    <w:rsid w:val="00F766B0"/>
    <w:rsid w:val="00F900F1"/>
    <w:rsid w:val="00F93C9D"/>
    <w:rsid w:val="00F97BB5"/>
    <w:rsid w:val="00FA69D9"/>
    <w:rsid w:val="00FB74FC"/>
    <w:rsid w:val="00FC05EF"/>
    <w:rsid w:val="00FC07E2"/>
    <w:rsid w:val="00FC6C05"/>
    <w:rsid w:val="00FC6E27"/>
    <w:rsid w:val="00FD538B"/>
    <w:rsid w:val="00FE30AC"/>
    <w:rsid w:val="00FE44A1"/>
    <w:rsid w:val="00FE5B78"/>
    <w:rsid w:val="00FE69EE"/>
    <w:rsid w:val="00FF1170"/>
    <w:rsid w:val="00FF12A0"/>
    <w:rsid w:val="00FF26CB"/>
    <w:rsid w:val="00FF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A47B8"/>
  <w15:docId w15:val="{00D5EA9D-BDC3-4732-8A9E-9CC506C4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9" w:unhideWhenUsed="1"/>
    <w:lsdException w:name="footer" w:semiHidden="1" w:uiPriority="0"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rsid w:val="00EF399B"/>
    <w:pPr>
      <w:spacing w:after="12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semiHidden/>
    <w:rsid w:val="007145D1"/>
    <w:pPr>
      <w:keepNext/>
      <w:keepLines/>
      <w:numPr>
        <w:numId w:val="1"/>
      </w:numPr>
      <w:spacing w:before="480" w:after="24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rsid w:val="007145D1"/>
    <w:pPr>
      <w:keepNext/>
      <w:keepLines/>
      <w:numPr>
        <w:ilvl w:val="1"/>
        <w:numId w:val="1"/>
      </w:numPr>
      <w:spacing w:before="180" w:after="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semiHidden/>
    <w:rsid w:val="007145D1"/>
    <w:pPr>
      <w:keepNext/>
      <w:keepLines/>
      <w:numPr>
        <w:ilvl w:val="2"/>
        <w:numId w:val="1"/>
      </w:numPr>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rsid w:val="007145D1"/>
    <w:pPr>
      <w:keepNext/>
      <w:keepLines/>
      <w:numPr>
        <w:ilvl w:val="3"/>
        <w:numId w:val="1"/>
      </w:numPr>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rsid w:val="007145D1"/>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7145D1"/>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7145D1"/>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7145D1"/>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145D1"/>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145D1"/>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45D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semiHidden/>
    <w:rsid w:val="00714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145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45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45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45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5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5D1"/>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semiHidden/>
    <w:unhideWhenUsed/>
    <w:rsid w:val="007145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semiHidden/>
    <w:rsid w:val="007145D1"/>
    <w:rPr>
      <w:rFonts w:eastAsiaTheme="minorEastAsia"/>
      <w:lang w:val="en-US" w:eastAsia="ja-JP"/>
    </w:rPr>
  </w:style>
  <w:style w:type="paragraph" w:styleId="BalloonText">
    <w:name w:val="Balloon Text"/>
    <w:basedOn w:val="Normal"/>
    <w:link w:val="BalloonTextChar"/>
    <w:uiPriority w:val="99"/>
    <w:semiHidden/>
    <w:unhideWhenUsed/>
    <w:rsid w:val="007145D1"/>
    <w:pPr>
      <w:spacing w:before="180" w:after="0" w:line="27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spacing w:after="0"/>
    </w:pPr>
    <w:rPr>
      <w:rFonts w:eastAsiaTheme="minorHAnsi" w:cstheme="minorBidi"/>
      <w:color w:val="595959" w:themeColor="text1" w:themeTint="A6"/>
      <w:sz w:val="22"/>
      <w:szCs w:val="22"/>
    </w:rPr>
  </w:style>
  <w:style w:type="character" w:customStyle="1" w:styleId="HeaderChar">
    <w:name w:val="Header Char"/>
    <w:basedOn w:val="DefaultParagraphFont"/>
    <w:link w:val="Header"/>
    <w:uiPriority w:val="9"/>
    <w:rsid w:val="007145D1"/>
    <w:rPr>
      <w:rFonts w:ascii="Calibri" w:hAnsi="Calibri"/>
      <w:color w:val="595959" w:themeColor="text1" w:themeTint="A6"/>
    </w:rPr>
  </w:style>
  <w:style w:type="paragraph" w:styleId="Footer">
    <w:name w:val="footer"/>
    <w:basedOn w:val="Normal"/>
    <w:link w:val="FooterChar"/>
    <w:unhideWhenUsed/>
    <w:rsid w:val="007145D1"/>
    <w:pPr>
      <w:pBdr>
        <w:top w:val="single" w:sz="12" w:space="1" w:color="A6A6A6"/>
      </w:pBdr>
      <w:tabs>
        <w:tab w:val="center" w:pos="4513"/>
        <w:tab w:val="right" w:pos="9026"/>
      </w:tabs>
      <w:spacing w:after="0"/>
      <w:jc w:val="center"/>
    </w:pPr>
    <w:rPr>
      <w:rFonts w:eastAsiaTheme="minorHAnsi" w:cstheme="minorHAnsi"/>
      <w:color w:val="595959"/>
    </w:rPr>
  </w:style>
  <w:style w:type="character" w:customStyle="1" w:styleId="FooterChar">
    <w:name w:val="Footer Char"/>
    <w:basedOn w:val="DefaultParagraphFont"/>
    <w:link w:val="Footer"/>
    <w:uiPriority w:val="9"/>
    <w:rsid w:val="007145D1"/>
    <w:rPr>
      <w:rFonts w:ascii="Calibri" w:hAnsi="Calibri" w:cstheme="minorHAnsi"/>
      <w:color w:val="595959"/>
      <w:sz w:val="20"/>
      <w:szCs w:val="20"/>
    </w:rPr>
  </w:style>
  <w:style w:type="paragraph" w:customStyle="1" w:styleId="ReportClientDetails">
    <w:name w:val="Report Client Details"/>
    <w:basedOn w:val="NCLTableText"/>
    <w:uiPriority w:val="3"/>
    <w:rsid w:val="007145D1"/>
    <w:rPr>
      <w:color w:val="595959" w:themeColor="text1" w:themeTint="A6"/>
    </w:rPr>
  </w:style>
  <w:style w:type="table" w:styleId="TableGrid">
    <w:name w:val="Table Grid"/>
    <w:basedOn w:val="TableNormal"/>
    <w:uiPriority w:val="59"/>
    <w:rsid w:val="0071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uiPriority w:val="73"/>
    <w:rsid w:val="007145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semiHidden/>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Theme="minorHAnsi" w:cstheme="minorBidi"/>
      <w:sz w:val="22"/>
      <w:szCs w:val="22"/>
    </w:rPr>
  </w:style>
  <w:style w:type="character" w:styleId="Hyperlink">
    <w:name w:val="Hyperlink"/>
    <w:basedOn w:val="DefaultParagraphFont"/>
    <w:uiPriority w:val="99"/>
    <w:unhideWhenUsed/>
    <w:rsid w:val="007145D1"/>
    <w:rPr>
      <w:color w:val="0000FF" w:themeColor="hyperlink"/>
      <w:u w:val="single"/>
    </w:rPr>
  </w:style>
  <w:style w:type="table" w:styleId="MediumList2-Accent1">
    <w:name w:val="Medium List 2 Accent 1"/>
    <w:basedOn w:val="TableNormal"/>
    <w:uiPriority w:val="66"/>
    <w:rsid w:val="00714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Text">
    <w:name w:val="annotation text"/>
    <w:basedOn w:val="Normal"/>
    <w:link w:val="CommentTextChar"/>
    <w:unhideWhenUsed/>
    <w:rsid w:val="007145D1"/>
    <w:pPr>
      <w:spacing w:before="180" w:after="0" w:line="276" w:lineRule="auto"/>
    </w:pPr>
    <w:rPr>
      <w:rFonts w:eastAsiaTheme="minorHAnsi" w:cstheme="minorBidi"/>
    </w:rPr>
  </w:style>
  <w:style w:type="character" w:customStyle="1" w:styleId="CommentTextChar">
    <w:name w:val="Comment Text Char"/>
    <w:basedOn w:val="DefaultParagraphFont"/>
    <w:link w:val="CommentText"/>
    <w:rsid w:val="007145D1"/>
    <w:rPr>
      <w:rFonts w:ascii="Calibri" w:hAnsi="Calibri"/>
      <w:sz w:val="20"/>
      <w:szCs w:val="20"/>
    </w:rPr>
  </w:style>
  <w:style w:type="table" w:styleId="LightShading-Accent1">
    <w:name w:val="Light Shading Accent 1"/>
    <w:basedOn w:val="TableNormal"/>
    <w:uiPriority w:val="60"/>
    <w:rsid w:val="007145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CLBodyText"/>
    <w:uiPriority w:val="39"/>
    <w:rsid w:val="007145D1"/>
    <w:pPr>
      <w:spacing w:before="60" w:after="60"/>
      <w:ind w:left="221"/>
    </w:pPr>
    <w:rPr>
      <w:rFonts w:eastAsiaTheme="minorHAnsi" w:cstheme="minorBidi"/>
      <w:sz w:val="22"/>
      <w:szCs w:val="22"/>
    </w:rPr>
  </w:style>
  <w:style w:type="character" w:styleId="CommentReference">
    <w:name w:val="annotation reference"/>
    <w:basedOn w:val="DefaultParagraphFont"/>
    <w:semiHidden/>
    <w:unhideWhenUsed/>
    <w:rsid w:val="007145D1"/>
    <w:rPr>
      <w:sz w:val="16"/>
      <w:szCs w:val="16"/>
    </w:rPr>
  </w:style>
  <w:style w:type="paragraph" w:styleId="Caption">
    <w:name w:val="caption"/>
    <w:basedOn w:val="Normal"/>
    <w:next w:val="NCLBodyText"/>
    <w:uiPriority w:val="8"/>
    <w:unhideWhenUsed/>
    <w:rsid w:val="007145D1"/>
    <w:pPr>
      <w:keepNext/>
      <w:spacing w:before="180" w:after="0" w:line="276" w:lineRule="auto"/>
    </w:pPr>
    <w:rPr>
      <w:rFonts w:eastAsiaTheme="minorHAnsi" w:cstheme="minorBidi"/>
      <w:b/>
      <w:bCs/>
      <w:color w:val="000000" w:themeColor="text1"/>
      <w:szCs w:val="18"/>
    </w:rPr>
  </w:style>
  <w:style w:type="paragraph" w:styleId="TOC4">
    <w:name w:val="toc 4"/>
    <w:basedOn w:val="Normal"/>
    <w:next w:val="NCLBodyText"/>
    <w:uiPriority w:val="39"/>
    <w:semiHidden/>
    <w:rsid w:val="007145D1"/>
    <w:pPr>
      <w:spacing w:before="180" w:after="100" w:line="276" w:lineRule="auto"/>
      <w:ind w:left="660"/>
    </w:pPr>
    <w:rPr>
      <w:rFonts w:eastAsiaTheme="minorEastAsia" w:cstheme="minorBidi"/>
      <w:sz w:val="22"/>
      <w:szCs w:val="22"/>
      <w:lang w:eastAsia="en-GB"/>
    </w:rPr>
  </w:style>
  <w:style w:type="paragraph" w:styleId="TOC5">
    <w:name w:val="toc 5"/>
    <w:basedOn w:val="Normal"/>
    <w:next w:val="NCLBodyText"/>
    <w:uiPriority w:val="39"/>
    <w:semiHidden/>
    <w:rsid w:val="007145D1"/>
    <w:pPr>
      <w:spacing w:before="180" w:after="100" w:line="276" w:lineRule="auto"/>
      <w:ind w:left="880"/>
    </w:pPr>
    <w:rPr>
      <w:rFonts w:eastAsiaTheme="minorEastAsia" w:cstheme="minorBidi"/>
      <w:sz w:val="22"/>
      <w:szCs w:val="22"/>
      <w:lang w:eastAsia="en-GB"/>
    </w:rPr>
  </w:style>
  <w:style w:type="paragraph" w:styleId="TOC6">
    <w:name w:val="toc 6"/>
    <w:basedOn w:val="Normal"/>
    <w:next w:val="Normal"/>
    <w:autoRedefine/>
    <w:uiPriority w:val="39"/>
    <w:semiHidden/>
    <w:rsid w:val="007145D1"/>
    <w:pPr>
      <w:spacing w:before="180" w:after="100" w:line="276" w:lineRule="auto"/>
      <w:ind w:left="1100"/>
    </w:pPr>
    <w:rPr>
      <w:rFonts w:eastAsiaTheme="minorEastAsia" w:cstheme="minorBidi"/>
      <w:sz w:val="22"/>
      <w:szCs w:val="22"/>
      <w:lang w:eastAsia="en-GB"/>
    </w:rPr>
  </w:style>
  <w:style w:type="paragraph" w:styleId="TOC7">
    <w:name w:val="toc 7"/>
    <w:basedOn w:val="Normal"/>
    <w:next w:val="Normal"/>
    <w:autoRedefine/>
    <w:uiPriority w:val="39"/>
    <w:semiHidden/>
    <w:rsid w:val="007145D1"/>
    <w:pPr>
      <w:spacing w:before="180" w:after="100" w:line="276" w:lineRule="auto"/>
      <w:ind w:left="1320"/>
    </w:pPr>
    <w:rPr>
      <w:rFonts w:eastAsiaTheme="minorEastAsia" w:cstheme="minorBidi"/>
      <w:sz w:val="22"/>
      <w:szCs w:val="22"/>
      <w:lang w:eastAsia="en-GB"/>
    </w:rPr>
  </w:style>
  <w:style w:type="paragraph" w:styleId="TOC8">
    <w:name w:val="toc 8"/>
    <w:basedOn w:val="Normal"/>
    <w:next w:val="Normal"/>
    <w:autoRedefine/>
    <w:uiPriority w:val="39"/>
    <w:semiHidden/>
    <w:rsid w:val="007145D1"/>
    <w:pPr>
      <w:spacing w:before="180" w:after="100" w:line="276" w:lineRule="auto"/>
      <w:ind w:left="1540"/>
    </w:pPr>
    <w:rPr>
      <w:rFonts w:eastAsiaTheme="minorEastAsia" w:cstheme="minorBidi"/>
      <w:sz w:val="22"/>
      <w:szCs w:val="22"/>
      <w:lang w:eastAsia="en-GB"/>
    </w:rPr>
  </w:style>
  <w:style w:type="paragraph" w:styleId="TOC9">
    <w:name w:val="toc 9"/>
    <w:basedOn w:val="Normal"/>
    <w:next w:val="Normal"/>
    <w:autoRedefine/>
    <w:uiPriority w:val="39"/>
    <w:semiHidden/>
    <w:rsid w:val="007145D1"/>
    <w:pPr>
      <w:spacing w:before="180" w:after="100" w:line="276" w:lineRule="auto"/>
      <w:ind w:left="1760"/>
    </w:pPr>
    <w:rPr>
      <w:rFonts w:eastAsiaTheme="minorEastAsia" w:cstheme="minorBidi"/>
      <w:sz w:val="22"/>
      <w:szCs w:val="22"/>
      <w:lang w:eastAsia="en-GB"/>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basedOn w:val="CommentText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Theme="minorHAnsi" w:cstheme="minorBidi"/>
      <w:sz w:val="22"/>
      <w:szCs w:val="22"/>
    </w:rPr>
  </w:style>
  <w:style w:type="paragraph" w:styleId="ListBullet">
    <w:name w:val="List Bullet"/>
    <w:basedOn w:val="NCLBodyText"/>
    <w:uiPriority w:val="1"/>
    <w:unhideWhenUsed/>
    <w:qFormat/>
    <w:rsid w:val="007145D1"/>
    <w:pPr>
      <w:numPr>
        <w:numId w:val="2"/>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B0161A"/>
    <w:pPr>
      <w:numPr>
        <w:numId w:val="3"/>
      </w:numPr>
      <w:spacing w:after="0"/>
      <w:ind w:left="568" w:hanging="284"/>
      <w:contextualSpacing/>
    </w:pPr>
    <w:rPr>
      <w:rFonts w:eastAsiaTheme="minorHAnsi" w:cstheme="minorBidi"/>
      <w:sz w:val="22"/>
      <w:szCs w:val="22"/>
    </w:rPr>
  </w:style>
  <w:style w:type="paragraph" w:styleId="ListNumber2">
    <w:name w:val="List Number 2"/>
    <w:basedOn w:val="Normal"/>
    <w:uiPriority w:val="1"/>
    <w:unhideWhenUsed/>
    <w:rsid w:val="007145D1"/>
    <w:pPr>
      <w:numPr>
        <w:ilvl w:val="1"/>
        <w:numId w:val="3"/>
      </w:numPr>
      <w:spacing w:after="0" w:line="276" w:lineRule="auto"/>
      <w:contextualSpacing/>
    </w:pPr>
    <w:rPr>
      <w:rFonts w:eastAsiaTheme="minorHAnsi" w:cstheme="minorBidi"/>
      <w:sz w:val="22"/>
      <w:szCs w:val="22"/>
    </w:rPr>
  </w:style>
  <w:style w:type="paragraph" w:styleId="ListNumber3">
    <w:name w:val="List Number 3"/>
    <w:basedOn w:val="Normal"/>
    <w:uiPriority w:val="1"/>
    <w:unhideWhenUsed/>
    <w:rsid w:val="007145D1"/>
    <w:pPr>
      <w:numPr>
        <w:ilvl w:val="2"/>
        <w:numId w:val="3"/>
      </w:numPr>
      <w:spacing w:after="0" w:line="276" w:lineRule="auto"/>
      <w:contextualSpacing/>
    </w:pPr>
    <w:rPr>
      <w:rFonts w:eastAsiaTheme="minorHAnsi" w:cstheme="minorBidi"/>
      <w:sz w:val="22"/>
      <w:szCs w:val="22"/>
    </w:rPr>
  </w:style>
  <w:style w:type="paragraph" w:customStyle="1" w:styleId="NCLBodyText">
    <w:name w:val="NCL Body Text"/>
    <w:basedOn w:val="Normal"/>
    <w:link w:val="NCLBodyTextChar"/>
    <w:qFormat/>
    <w:rsid w:val="002E7046"/>
    <w:pPr>
      <w:spacing w:before="60" w:after="0"/>
      <w:jc w:val="both"/>
    </w:pPr>
    <w:rPr>
      <w:rFonts w:eastAsiaTheme="minorHAnsi" w:cs="Calibri"/>
      <w:sz w:val="22"/>
      <w:szCs w:val="22"/>
    </w:rPr>
  </w:style>
  <w:style w:type="character" w:customStyle="1" w:styleId="NCLBodyTextChar">
    <w:name w:val="NCL Body Text Char"/>
    <w:basedOn w:val="DefaultParagraphFont"/>
    <w:link w:val="NCLBodyText"/>
    <w:rsid w:val="002E7046"/>
    <w:rPr>
      <w:rFonts w:ascii="Calibri" w:hAnsi="Calibri" w:cs="Calibri"/>
    </w:rPr>
  </w:style>
  <w:style w:type="paragraph" w:customStyle="1" w:styleId="NCLHeading1">
    <w:name w:val="NCL Heading 1"/>
    <w:basedOn w:val="Heading1"/>
    <w:next w:val="NCLBodyText"/>
    <w:link w:val="NCLHeading1Char"/>
    <w:qFormat/>
    <w:rsid w:val="0033552D"/>
    <w:pPr>
      <w:numPr>
        <w:numId w:val="4"/>
      </w:numPr>
      <w:spacing w:before="240" w:after="120" w:line="240" w:lineRule="auto"/>
      <w:ind w:left="567" w:hanging="567"/>
    </w:pPr>
    <w:rPr>
      <w:color w:val="auto"/>
      <w:sz w:val="22"/>
    </w:rPr>
  </w:style>
  <w:style w:type="character" w:customStyle="1" w:styleId="NCLHeading1Char">
    <w:name w:val="NCL Heading 1 Char"/>
    <w:basedOn w:val="Heading1Char"/>
    <w:link w:val="NCLHeading1"/>
    <w:rsid w:val="0033552D"/>
    <w:rPr>
      <w:rFonts w:ascii="Calibri" w:eastAsiaTheme="majorEastAsia" w:hAnsi="Calibri" w:cstheme="majorBidi"/>
      <w:b/>
      <w:bCs/>
      <w:color w:val="365F91" w:themeColor="accent1" w:themeShade="BF"/>
      <w:sz w:val="28"/>
      <w:szCs w:val="28"/>
    </w:rPr>
  </w:style>
  <w:style w:type="paragraph" w:customStyle="1" w:styleId="NCLHeading2">
    <w:name w:val="NCL Heading 2"/>
    <w:basedOn w:val="Heading2"/>
    <w:next w:val="NCLBodyText"/>
    <w:link w:val="NCLHeading2Char"/>
    <w:qFormat/>
    <w:rsid w:val="002E7046"/>
    <w:pPr>
      <w:numPr>
        <w:numId w:val="4"/>
      </w:numPr>
      <w:spacing w:before="120" w:after="60"/>
      <w:jc w:val="both"/>
    </w:pPr>
    <w:rPr>
      <w:color w:val="000000" w:themeColor="text1"/>
      <w:sz w:val="22"/>
    </w:rPr>
  </w:style>
  <w:style w:type="character" w:customStyle="1" w:styleId="NCLHeading2Char">
    <w:name w:val="NCL Heading 2 Char"/>
    <w:basedOn w:val="Heading2Char"/>
    <w:link w:val="NCLHeading2"/>
    <w:rsid w:val="002E7046"/>
    <w:rPr>
      <w:rFonts w:ascii="Calibri" w:eastAsiaTheme="majorEastAsia" w:hAnsi="Calibri" w:cstheme="majorBidi"/>
      <w:b/>
      <w:bCs/>
      <w:color w:val="000000" w:themeColor="text1"/>
      <w:sz w:val="24"/>
      <w:szCs w:val="26"/>
    </w:rPr>
  </w:style>
  <w:style w:type="paragraph" w:customStyle="1" w:styleId="ReportHeading3">
    <w:name w:val="Report Heading 3"/>
    <w:basedOn w:val="Heading3"/>
    <w:next w:val="NCLBodyText"/>
    <w:link w:val="ReportHeading3Char"/>
    <w:rsid w:val="007145D1"/>
    <w:pPr>
      <w:numPr>
        <w:numId w:val="4"/>
      </w:numPr>
      <w:spacing w:before="240" w:after="180"/>
    </w:pPr>
    <w:rPr>
      <w:rFonts w:ascii="Calibri" w:hAnsi="Calibri"/>
      <w:color w:val="000000" w:themeColor="text1"/>
      <w:sz w:val="24"/>
    </w:rPr>
  </w:style>
  <w:style w:type="character" w:customStyle="1" w:styleId="ReportHeading3Char">
    <w:name w:val="Report Heading 3 Char"/>
    <w:basedOn w:val="Heading3Char"/>
    <w:link w:val="ReportHeading3"/>
    <w:rsid w:val="007145D1"/>
    <w:rPr>
      <w:rFonts w:ascii="Calibri" w:eastAsiaTheme="majorEastAsia" w:hAnsi="Calibri" w:cstheme="majorBidi"/>
      <w:b/>
      <w:bCs/>
      <w:color w:val="000000" w:themeColor="text1"/>
      <w:sz w:val="24"/>
    </w:rPr>
  </w:style>
  <w:style w:type="paragraph" w:customStyle="1" w:styleId="NCLSubsection">
    <w:name w:val="NCL Subsection"/>
    <w:basedOn w:val="Heading4"/>
    <w:next w:val="NCLBodyText"/>
    <w:link w:val="NCLSubsectionChar"/>
    <w:qFormat/>
    <w:rsid w:val="002E7046"/>
    <w:pPr>
      <w:numPr>
        <w:ilvl w:val="0"/>
        <w:numId w:val="0"/>
      </w:numPr>
      <w:spacing w:before="120" w:after="60"/>
    </w:pPr>
    <w:rPr>
      <w:rFonts w:ascii="Calibri" w:hAnsi="Calibri"/>
      <w:b w:val="0"/>
      <w:color w:val="000000" w:themeColor="text1"/>
      <w:u w:val="single"/>
    </w:rPr>
  </w:style>
  <w:style w:type="character" w:customStyle="1" w:styleId="NCLSubsectionChar">
    <w:name w:val="NCL Subsection Char"/>
    <w:basedOn w:val="Heading4Char"/>
    <w:link w:val="NCLSubsection"/>
    <w:rsid w:val="002E7046"/>
    <w:rPr>
      <w:rFonts w:ascii="Calibri" w:eastAsiaTheme="majorEastAsia" w:hAnsi="Calibri" w:cstheme="majorBidi"/>
      <w:b w:val="0"/>
      <w:bCs/>
      <w:i/>
      <w:iCs/>
      <w:color w:val="000000" w:themeColor="text1"/>
      <w:u w:val="single"/>
    </w:rPr>
  </w:style>
  <w:style w:type="paragraph" w:customStyle="1" w:styleId="NCLTableheading">
    <w:name w:val="NCL Table heading"/>
    <w:basedOn w:val="Heading5"/>
    <w:next w:val="NCLBodyText"/>
    <w:link w:val="NCLTableheadingChar"/>
    <w:qFormat/>
    <w:rsid w:val="007145D1"/>
    <w:pPr>
      <w:numPr>
        <w:numId w:val="4"/>
      </w:numPr>
      <w:spacing w:before="240" w:after="180"/>
    </w:pPr>
    <w:rPr>
      <w:rFonts w:ascii="Calibri" w:hAnsi="Calibri"/>
      <w:b/>
      <w:color w:val="000000"/>
    </w:rPr>
  </w:style>
  <w:style w:type="character" w:customStyle="1" w:styleId="NCLTableheadingChar">
    <w:name w:val="NCL Table heading Char"/>
    <w:basedOn w:val="Heading5Char"/>
    <w:link w:val="NCLTableheading"/>
    <w:rsid w:val="007145D1"/>
    <w:rPr>
      <w:rFonts w:ascii="Calibri" w:eastAsiaTheme="majorEastAsia" w:hAnsi="Calibri" w:cstheme="majorBidi"/>
      <w:b/>
      <w:color w:val="000000"/>
    </w:rPr>
  </w:style>
  <w:style w:type="numbering" w:customStyle="1" w:styleId="ReportHeadings">
    <w:name w:val="Report Headings"/>
    <w:uiPriority w:val="99"/>
    <w:rsid w:val="007145D1"/>
    <w:pPr>
      <w:numPr>
        <w:numId w:val="4"/>
      </w:numPr>
    </w:pPr>
  </w:style>
  <w:style w:type="paragraph" w:customStyle="1" w:styleId="ReportNonTOCHeading">
    <w:name w:val="Report NonTOC Heading"/>
    <w:basedOn w:val="NCLBodyText"/>
    <w:next w:val="NCLBodyText"/>
    <w:link w:val="ReportNonTOCHeadingChar"/>
    <w:rsid w:val="007145D1"/>
    <w:pPr>
      <w:keepNext/>
    </w:pPr>
    <w:rPr>
      <w:b/>
      <w:color w:val="17365D" w:themeColor="text2" w:themeShade="BF"/>
      <w:sz w:val="28"/>
    </w:rPr>
  </w:style>
  <w:style w:type="character" w:customStyle="1" w:styleId="ReportNonTOCHeadingChar">
    <w:name w:val="Report NonTOC Heading Char"/>
    <w:basedOn w:val="DefaultParagraphFont"/>
    <w:link w:val="ReportNonTOCHeading"/>
    <w:rsid w:val="007145D1"/>
    <w:rPr>
      <w:rFonts w:ascii="Calibri" w:hAnsi="Calibri" w:cs="Calibri"/>
      <w:b/>
      <w:color w:val="17365D" w:themeColor="text2" w:themeShade="BF"/>
      <w:sz w:val="28"/>
    </w:rPr>
  </w:style>
  <w:style w:type="paragraph" w:styleId="FootnoteText">
    <w:name w:val="footnote text"/>
    <w:basedOn w:val="Normal"/>
    <w:link w:val="FootnoteTextChar"/>
    <w:uiPriority w:val="99"/>
    <w:rsid w:val="00EF399B"/>
    <w:pPr>
      <w:spacing w:after="0"/>
    </w:pPr>
    <w:rPr>
      <w:rFonts w:eastAsiaTheme="minorHAnsi" w:cstheme="minorBidi"/>
    </w:rPr>
  </w:style>
  <w:style w:type="character" w:customStyle="1" w:styleId="FootnoteTextChar">
    <w:name w:val="Footnote Text Char"/>
    <w:basedOn w:val="DefaultParagraphFont"/>
    <w:link w:val="FootnoteText"/>
    <w:uiPriority w:val="99"/>
    <w:rsid w:val="00EF399B"/>
    <w:rPr>
      <w:rFonts w:ascii="Calibri" w:hAnsi="Calibri"/>
      <w:sz w:val="20"/>
      <w:szCs w:val="20"/>
    </w:rPr>
  </w:style>
  <w:style w:type="character" w:styleId="FootnoteReference">
    <w:name w:val="footnote reference"/>
    <w:basedOn w:val="DefaultParagraphFont"/>
    <w:uiPriority w:val="99"/>
    <w:rsid w:val="007145D1"/>
    <w:rPr>
      <w:vertAlign w:val="superscript"/>
    </w:rPr>
  </w:style>
  <w:style w:type="paragraph" w:styleId="BodyText">
    <w:name w:val="Body Text"/>
    <w:basedOn w:val="Normal"/>
    <w:link w:val="BodyTextChar"/>
    <w:uiPriority w:val="99"/>
    <w:semiHidden/>
    <w:unhideWhenUsed/>
    <w:rsid w:val="007145D1"/>
    <w:pPr>
      <w:spacing w:before="180" w:after="0" w:line="276" w:lineRule="auto"/>
    </w:pPr>
    <w:rPr>
      <w:rFonts w:eastAsiaTheme="minorHAnsi" w:cstheme="minorBidi"/>
      <w:sz w:val="22"/>
      <w:szCs w:val="22"/>
    </w:rPr>
  </w:style>
  <w:style w:type="character" w:customStyle="1" w:styleId="BodyTextChar">
    <w:name w:val="Body Text Char"/>
    <w:basedOn w:val="DefaultParagraphFont"/>
    <w:link w:val="BodyText"/>
    <w:uiPriority w:val="99"/>
    <w:semiHidden/>
    <w:rsid w:val="007145D1"/>
    <w:rPr>
      <w:rFonts w:ascii="Calibri" w:hAnsi="Calibri"/>
    </w:rPr>
  </w:style>
  <w:style w:type="table" w:customStyle="1" w:styleId="ReportSummaryBox">
    <w:name w:val="Report_Summary_Box"/>
    <w:basedOn w:val="TableNormal"/>
    <w:uiPriority w:val="99"/>
    <w:rsid w:val="007145D1"/>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hemeFill="background1" w:themeFillShade="BF"/>
    </w:tcPr>
  </w:style>
  <w:style w:type="paragraph" w:customStyle="1" w:styleId="NCLTableFootnote">
    <w:name w:val="NCL Table Footnote"/>
    <w:basedOn w:val="NCLBodyText"/>
    <w:next w:val="NCLBodyText"/>
    <w:link w:val="NCLTableFootnoteChar"/>
    <w:uiPriority w:val="3"/>
    <w:qFormat/>
    <w:rsid w:val="00EF399B"/>
    <w:pPr>
      <w:spacing w:before="0" w:after="240"/>
      <w:contextualSpacing/>
    </w:pPr>
    <w:rPr>
      <w:sz w:val="18"/>
    </w:rPr>
  </w:style>
  <w:style w:type="character" w:customStyle="1" w:styleId="NCLTableFootnoteChar">
    <w:name w:val="NCL Table Footnote Char"/>
    <w:basedOn w:val="NCLBodyTextChar"/>
    <w:link w:val="NCLTableFootnote"/>
    <w:uiPriority w:val="3"/>
    <w:rsid w:val="00EF399B"/>
    <w:rPr>
      <w:rFonts w:ascii="Calibri" w:hAnsi="Calibri" w:cs="Calibri"/>
      <w:sz w:val="18"/>
    </w:rPr>
  </w:style>
  <w:style w:type="paragraph" w:customStyle="1" w:styleId="ReportHeading6">
    <w:name w:val="Report Heading 6"/>
    <w:basedOn w:val="Heading6"/>
    <w:next w:val="NCLBodyText"/>
    <w:rsid w:val="007145D1"/>
    <w:pPr>
      <w:numPr>
        <w:numId w:val="4"/>
      </w:numPr>
      <w:spacing w:before="240" w:after="180"/>
    </w:pPr>
    <w:rPr>
      <w:rFonts w:ascii="Calibri" w:hAnsi="Calibri"/>
      <w:color w:val="1F497D" w:themeColor="text2"/>
    </w:rPr>
  </w:style>
  <w:style w:type="paragraph" w:styleId="Revision">
    <w:name w:val="Revision"/>
    <w:hidden/>
    <w:uiPriority w:val="99"/>
    <w:semiHidden/>
    <w:rsid w:val="00EE6750"/>
    <w:pPr>
      <w:spacing w:after="0" w:line="240" w:lineRule="auto"/>
    </w:pPr>
    <w:rPr>
      <w:rFonts w:ascii="Calibri" w:hAnsi="Calibri"/>
    </w:rPr>
  </w:style>
  <w:style w:type="paragraph" w:customStyle="1" w:styleId="ReportTag">
    <w:name w:val="Report Tag"/>
    <w:basedOn w:val="NCLBodyText"/>
    <w:uiPriority w:val="3"/>
    <w:rsid w:val="007145D1"/>
    <w:pPr>
      <w:spacing w:before="0"/>
      <w:jc w:val="right"/>
    </w:pPr>
    <w:rPr>
      <w:color w:val="595959" w:themeColor="text1" w:themeTint="A6"/>
      <w:sz w:val="72"/>
      <w:szCs w:val="72"/>
    </w:rPr>
  </w:style>
  <w:style w:type="paragraph" w:customStyle="1" w:styleId="ReportTitle">
    <w:name w:val="Report Title"/>
    <w:basedOn w:val="NCLBodyText"/>
    <w:uiPriority w:val="3"/>
    <w:rsid w:val="00A0078A"/>
    <w:pPr>
      <w:spacing w:before="0"/>
    </w:pPr>
    <w:rPr>
      <w:color w:val="17365D" w:themeColor="text2" w:themeShade="BF"/>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themeColor="text2" w:themeShade="BF"/>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basedOn w:val="DefaultParagraphFont"/>
    <w:uiPriority w:val="99"/>
    <w:semiHidden/>
    <w:unhideWhenUsed/>
    <w:rsid w:val="007145D1"/>
    <w:rPr>
      <w:color w:val="800080" w:themeColor="followedHyperlink"/>
      <w:u w:val="single"/>
    </w:rPr>
  </w:style>
  <w:style w:type="numbering" w:customStyle="1" w:styleId="ListBullets">
    <w:name w:val="List Bullets"/>
    <w:uiPriority w:val="99"/>
    <w:rsid w:val="007145D1"/>
    <w:pPr>
      <w:numPr>
        <w:numId w:val="2"/>
      </w:numPr>
    </w:pPr>
  </w:style>
  <w:style w:type="numbering" w:customStyle="1" w:styleId="ListNumbers">
    <w:name w:val="List Numbers"/>
    <w:uiPriority w:val="99"/>
    <w:rsid w:val="007145D1"/>
    <w:pPr>
      <w:numPr>
        <w:numId w:val="3"/>
      </w:numPr>
    </w:pPr>
  </w:style>
  <w:style w:type="table" w:customStyle="1" w:styleId="ReportTable">
    <w:name w:val="Report_Table"/>
    <w:basedOn w:val="TableNormal"/>
    <w:uiPriority w:val="99"/>
    <w:rsid w:val="00544450"/>
    <w:pPr>
      <w:spacing w:before="60" w:after="60" w:line="240" w:lineRule="auto"/>
      <w:jc w:val="center"/>
    </w:pPr>
    <w:rPr>
      <w:rFonts w:ascii="Calibri" w:hAnsi="Calibri"/>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sz w:val="20"/>
      </w:rPr>
      <w:tblPr/>
      <w:trPr>
        <w:cantSplit/>
      </w:trPr>
      <w:tcPr>
        <w:shd w:val="clear" w:color="auto" w:fill="BFBFBF" w:themeFill="background1" w:themeFillShade="BF"/>
      </w:tcPr>
    </w:tblStylePr>
    <w:tblStylePr w:type="firstCol">
      <w:pPr>
        <w:jc w:val="left"/>
      </w:pPr>
      <w:rPr>
        <w:rFonts w:asciiTheme="minorHAnsi" w:hAnsiTheme="minorHAnsi"/>
        <w:sz w:val="20"/>
      </w:rPr>
    </w:tblStylePr>
  </w:style>
  <w:style w:type="character" w:styleId="PlaceholderText">
    <w:name w:val="Placeholder Text"/>
    <w:basedOn w:val="DefaultParagraphFont"/>
    <w:uiPriority w:val="99"/>
    <w:semiHidden/>
    <w:rsid w:val="00325A5B"/>
    <w:rPr>
      <w:color w:val="808080"/>
    </w:rPr>
  </w:style>
  <w:style w:type="paragraph" w:customStyle="1" w:styleId="NCLAppendix">
    <w:name w:val="NCL Appendix"/>
    <w:basedOn w:val="NCLHeading1"/>
    <w:link w:val="NCLAppendixChar"/>
    <w:qFormat/>
    <w:rsid w:val="00830959"/>
    <w:pPr>
      <w:numPr>
        <w:numId w:val="0"/>
      </w:numPr>
      <w:ind w:left="567" w:hanging="567"/>
    </w:pPr>
  </w:style>
  <w:style w:type="character" w:customStyle="1" w:styleId="NCLAppendixChar">
    <w:name w:val="NCL Appendix Char"/>
    <w:basedOn w:val="NCLHeading1Char"/>
    <w:link w:val="NCLAppendix"/>
    <w:rsid w:val="00830959"/>
    <w:rPr>
      <w:rFonts w:ascii="Calibri" w:eastAsiaTheme="majorEastAsia" w:hAnsi="Calibri" w:cstheme="majorBidi"/>
      <w:b/>
      <w:bCs/>
      <w:color w:val="365F91" w:themeColor="accent1" w:themeShade="BF"/>
      <w:sz w:val="28"/>
      <w:szCs w:val="28"/>
    </w:rPr>
  </w:style>
  <w:style w:type="paragraph" w:styleId="NormalWeb">
    <w:name w:val="Normal (Web)"/>
    <w:basedOn w:val="Normal"/>
    <w:uiPriority w:val="99"/>
    <w:semiHidden/>
    <w:unhideWhenUsed/>
    <w:rsid w:val="00A1322D"/>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A1322D"/>
    <w:pPr>
      <w:spacing w:after="0"/>
      <w:ind w:left="720"/>
      <w:contextualSpacing/>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5136">
      <w:bodyDiv w:val="1"/>
      <w:marLeft w:val="0"/>
      <w:marRight w:val="0"/>
      <w:marTop w:val="0"/>
      <w:marBottom w:val="0"/>
      <w:divBdr>
        <w:top w:val="none" w:sz="0" w:space="0" w:color="auto"/>
        <w:left w:val="none" w:sz="0" w:space="0" w:color="auto"/>
        <w:bottom w:val="none" w:sz="0" w:space="0" w:color="auto"/>
        <w:right w:val="none" w:sz="0" w:space="0" w:color="auto"/>
      </w:divBdr>
      <w:divsChild>
        <w:div w:id="1995377431">
          <w:marLeft w:val="274"/>
          <w:marRight w:val="0"/>
          <w:marTop w:val="0"/>
          <w:marBottom w:val="0"/>
          <w:divBdr>
            <w:top w:val="none" w:sz="0" w:space="0" w:color="auto"/>
            <w:left w:val="none" w:sz="0" w:space="0" w:color="auto"/>
            <w:bottom w:val="none" w:sz="0" w:space="0" w:color="auto"/>
            <w:right w:val="none" w:sz="0" w:space="0" w:color="auto"/>
          </w:divBdr>
        </w:div>
        <w:div w:id="773672365">
          <w:marLeft w:val="274"/>
          <w:marRight w:val="0"/>
          <w:marTop w:val="0"/>
          <w:marBottom w:val="0"/>
          <w:divBdr>
            <w:top w:val="none" w:sz="0" w:space="0" w:color="auto"/>
            <w:left w:val="none" w:sz="0" w:space="0" w:color="auto"/>
            <w:bottom w:val="none" w:sz="0" w:space="0" w:color="auto"/>
            <w:right w:val="none" w:sz="0" w:space="0" w:color="auto"/>
          </w:divBdr>
        </w:div>
        <w:div w:id="1768305791">
          <w:marLeft w:val="274"/>
          <w:marRight w:val="0"/>
          <w:marTop w:val="0"/>
          <w:marBottom w:val="0"/>
          <w:divBdr>
            <w:top w:val="none" w:sz="0" w:space="0" w:color="auto"/>
            <w:left w:val="none" w:sz="0" w:space="0" w:color="auto"/>
            <w:bottom w:val="none" w:sz="0" w:space="0" w:color="auto"/>
            <w:right w:val="none" w:sz="0" w:space="0" w:color="auto"/>
          </w:divBdr>
        </w:div>
      </w:divsChild>
    </w:div>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500586252">
      <w:bodyDiv w:val="1"/>
      <w:marLeft w:val="0"/>
      <w:marRight w:val="0"/>
      <w:marTop w:val="0"/>
      <w:marBottom w:val="0"/>
      <w:divBdr>
        <w:top w:val="none" w:sz="0" w:space="0" w:color="auto"/>
        <w:left w:val="none" w:sz="0" w:space="0" w:color="auto"/>
        <w:bottom w:val="none" w:sz="0" w:space="0" w:color="auto"/>
        <w:right w:val="none" w:sz="0" w:space="0" w:color="auto"/>
      </w:divBdr>
      <w:divsChild>
        <w:div w:id="1579056014">
          <w:marLeft w:val="274"/>
          <w:marRight w:val="0"/>
          <w:marTop w:val="0"/>
          <w:marBottom w:val="0"/>
          <w:divBdr>
            <w:top w:val="none" w:sz="0" w:space="0" w:color="auto"/>
            <w:left w:val="none" w:sz="0" w:space="0" w:color="auto"/>
            <w:bottom w:val="none" w:sz="0" w:space="0" w:color="auto"/>
            <w:right w:val="none" w:sz="0" w:space="0" w:color="auto"/>
          </w:divBdr>
        </w:div>
        <w:div w:id="1575973466">
          <w:marLeft w:val="274"/>
          <w:marRight w:val="0"/>
          <w:marTop w:val="0"/>
          <w:marBottom w:val="0"/>
          <w:divBdr>
            <w:top w:val="none" w:sz="0" w:space="0" w:color="auto"/>
            <w:left w:val="none" w:sz="0" w:space="0" w:color="auto"/>
            <w:bottom w:val="none" w:sz="0" w:space="0" w:color="auto"/>
            <w:right w:val="none" w:sz="0" w:space="0" w:color="auto"/>
          </w:divBdr>
        </w:div>
        <w:div w:id="403529151">
          <w:marLeft w:val="274"/>
          <w:marRight w:val="0"/>
          <w:marTop w:val="0"/>
          <w:marBottom w:val="0"/>
          <w:divBdr>
            <w:top w:val="none" w:sz="0" w:space="0" w:color="auto"/>
            <w:left w:val="none" w:sz="0" w:space="0" w:color="auto"/>
            <w:bottom w:val="none" w:sz="0" w:space="0" w:color="auto"/>
            <w:right w:val="none" w:sz="0" w:space="0" w:color="auto"/>
          </w:divBdr>
        </w:div>
      </w:divsChild>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542327511">
      <w:bodyDiv w:val="1"/>
      <w:marLeft w:val="0"/>
      <w:marRight w:val="0"/>
      <w:marTop w:val="0"/>
      <w:marBottom w:val="0"/>
      <w:divBdr>
        <w:top w:val="none" w:sz="0" w:space="0" w:color="auto"/>
        <w:left w:val="none" w:sz="0" w:space="0" w:color="auto"/>
        <w:bottom w:val="none" w:sz="0" w:space="0" w:color="auto"/>
        <w:right w:val="none" w:sz="0" w:space="0" w:color="auto"/>
      </w:divBdr>
      <w:divsChild>
        <w:div w:id="1910142315">
          <w:marLeft w:val="274"/>
          <w:marRight w:val="0"/>
          <w:marTop w:val="0"/>
          <w:marBottom w:val="0"/>
          <w:divBdr>
            <w:top w:val="none" w:sz="0" w:space="0" w:color="auto"/>
            <w:left w:val="none" w:sz="0" w:space="0" w:color="auto"/>
            <w:bottom w:val="none" w:sz="0" w:space="0" w:color="auto"/>
            <w:right w:val="none" w:sz="0" w:space="0" w:color="auto"/>
          </w:divBdr>
        </w:div>
        <w:div w:id="740252094">
          <w:marLeft w:val="274"/>
          <w:marRight w:val="0"/>
          <w:marTop w:val="0"/>
          <w:marBottom w:val="0"/>
          <w:divBdr>
            <w:top w:val="none" w:sz="0" w:space="0" w:color="auto"/>
            <w:left w:val="none" w:sz="0" w:space="0" w:color="auto"/>
            <w:bottom w:val="none" w:sz="0" w:space="0" w:color="auto"/>
            <w:right w:val="none" w:sz="0" w:space="0" w:color="auto"/>
          </w:divBdr>
        </w:div>
        <w:div w:id="2147234810">
          <w:marLeft w:val="274"/>
          <w:marRight w:val="0"/>
          <w:marTop w:val="0"/>
          <w:marBottom w:val="0"/>
          <w:divBdr>
            <w:top w:val="none" w:sz="0" w:space="0" w:color="auto"/>
            <w:left w:val="none" w:sz="0" w:space="0" w:color="auto"/>
            <w:bottom w:val="none" w:sz="0" w:space="0" w:color="auto"/>
            <w:right w:val="none" w:sz="0" w:space="0" w:color="auto"/>
          </w:divBdr>
        </w:div>
      </w:divsChild>
    </w:div>
    <w:div w:id="569197753">
      <w:bodyDiv w:val="1"/>
      <w:marLeft w:val="0"/>
      <w:marRight w:val="0"/>
      <w:marTop w:val="0"/>
      <w:marBottom w:val="0"/>
      <w:divBdr>
        <w:top w:val="none" w:sz="0" w:space="0" w:color="auto"/>
        <w:left w:val="none" w:sz="0" w:space="0" w:color="auto"/>
        <w:bottom w:val="none" w:sz="0" w:space="0" w:color="auto"/>
        <w:right w:val="none" w:sz="0" w:space="0" w:color="auto"/>
      </w:divBdr>
    </w:div>
    <w:div w:id="585574669">
      <w:bodyDiv w:val="1"/>
      <w:marLeft w:val="0"/>
      <w:marRight w:val="0"/>
      <w:marTop w:val="0"/>
      <w:marBottom w:val="0"/>
      <w:divBdr>
        <w:top w:val="none" w:sz="0" w:space="0" w:color="auto"/>
        <w:left w:val="none" w:sz="0" w:space="0" w:color="auto"/>
        <w:bottom w:val="none" w:sz="0" w:space="0" w:color="auto"/>
        <w:right w:val="none" w:sz="0" w:space="0" w:color="auto"/>
      </w:divBdr>
      <w:divsChild>
        <w:div w:id="1506631783">
          <w:marLeft w:val="274"/>
          <w:marRight w:val="0"/>
          <w:marTop w:val="0"/>
          <w:marBottom w:val="0"/>
          <w:divBdr>
            <w:top w:val="none" w:sz="0" w:space="0" w:color="auto"/>
            <w:left w:val="none" w:sz="0" w:space="0" w:color="auto"/>
            <w:bottom w:val="none" w:sz="0" w:space="0" w:color="auto"/>
            <w:right w:val="none" w:sz="0" w:space="0" w:color="auto"/>
          </w:divBdr>
        </w:div>
        <w:div w:id="1213417962">
          <w:marLeft w:val="994"/>
          <w:marRight w:val="0"/>
          <w:marTop w:val="0"/>
          <w:marBottom w:val="0"/>
          <w:divBdr>
            <w:top w:val="none" w:sz="0" w:space="0" w:color="auto"/>
            <w:left w:val="none" w:sz="0" w:space="0" w:color="auto"/>
            <w:bottom w:val="none" w:sz="0" w:space="0" w:color="auto"/>
            <w:right w:val="none" w:sz="0" w:space="0" w:color="auto"/>
          </w:divBdr>
        </w:div>
        <w:div w:id="1821074624">
          <w:marLeft w:val="994"/>
          <w:marRight w:val="0"/>
          <w:marTop w:val="0"/>
          <w:marBottom w:val="0"/>
          <w:divBdr>
            <w:top w:val="none" w:sz="0" w:space="0" w:color="auto"/>
            <w:left w:val="none" w:sz="0" w:space="0" w:color="auto"/>
            <w:bottom w:val="none" w:sz="0" w:space="0" w:color="auto"/>
            <w:right w:val="none" w:sz="0" w:space="0" w:color="auto"/>
          </w:divBdr>
        </w:div>
        <w:div w:id="1864980747">
          <w:marLeft w:val="994"/>
          <w:marRight w:val="0"/>
          <w:marTop w:val="0"/>
          <w:marBottom w:val="0"/>
          <w:divBdr>
            <w:top w:val="none" w:sz="0" w:space="0" w:color="auto"/>
            <w:left w:val="none" w:sz="0" w:space="0" w:color="auto"/>
            <w:bottom w:val="none" w:sz="0" w:space="0" w:color="auto"/>
            <w:right w:val="none" w:sz="0" w:space="0" w:color="auto"/>
          </w:divBdr>
        </w:div>
        <w:div w:id="442698630">
          <w:marLeft w:val="994"/>
          <w:marRight w:val="0"/>
          <w:marTop w:val="0"/>
          <w:marBottom w:val="0"/>
          <w:divBdr>
            <w:top w:val="none" w:sz="0" w:space="0" w:color="auto"/>
            <w:left w:val="none" w:sz="0" w:space="0" w:color="auto"/>
            <w:bottom w:val="none" w:sz="0" w:space="0" w:color="auto"/>
            <w:right w:val="none" w:sz="0" w:space="0" w:color="auto"/>
          </w:divBdr>
        </w:div>
        <w:div w:id="1278486811">
          <w:marLeft w:val="274"/>
          <w:marRight w:val="0"/>
          <w:marTop w:val="0"/>
          <w:marBottom w:val="0"/>
          <w:divBdr>
            <w:top w:val="none" w:sz="0" w:space="0" w:color="auto"/>
            <w:left w:val="none" w:sz="0" w:space="0" w:color="auto"/>
            <w:bottom w:val="none" w:sz="0" w:space="0" w:color="auto"/>
            <w:right w:val="none" w:sz="0" w:space="0" w:color="auto"/>
          </w:divBdr>
        </w:div>
        <w:div w:id="1359891492">
          <w:marLeft w:val="274"/>
          <w:marRight w:val="0"/>
          <w:marTop w:val="0"/>
          <w:marBottom w:val="0"/>
          <w:divBdr>
            <w:top w:val="none" w:sz="0" w:space="0" w:color="auto"/>
            <w:left w:val="none" w:sz="0" w:space="0" w:color="auto"/>
            <w:bottom w:val="none" w:sz="0" w:space="0" w:color="auto"/>
            <w:right w:val="none" w:sz="0" w:space="0" w:color="auto"/>
          </w:divBdr>
        </w:div>
      </w:divsChild>
    </w:div>
    <w:div w:id="747843196">
      <w:bodyDiv w:val="1"/>
      <w:marLeft w:val="0"/>
      <w:marRight w:val="0"/>
      <w:marTop w:val="0"/>
      <w:marBottom w:val="0"/>
      <w:divBdr>
        <w:top w:val="none" w:sz="0" w:space="0" w:color="auto"/>
        <w:left w:val="none" w:sz="0" w:space="0" w:color="auto"/>
        <w:bottom w:val="none" w:sz="0" w:space="0" w:color="auto"/>
        <w:right w:val="none" w:sz="0" w:space="0" w:color="auto"/>
      </w:divBdr>
      <w:divsChild>
        <w:div w:id="1849054916">
          <w:marLeft w:val="274"/>
          <w:marRight w:val="0"/>
          <w:marTop w:val="0"/>
          <w:marBottom w:val="0"/>
          <w:divBdr>
            <w:top w:val="none" w:sz="0" w:space="0" w:color="auto"/>
            <w:left w:val="none" w:sz="0" w:space="0" w:color="auto"/>
            <w:bottom w:val="none" w:sz="0" w:space="0" w:color="auto"/>
            <w:right w:val="none" w:sz="0" w:space="0" w:color="auto"/>
          </w:divBdr>
        </w:div>
      </w:divsChild>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09274047">
      <w:bodyDiv w:val="1"/>
      <w:marLeft w:val="0"/>
      <w:marRight w:val="0"/>
      <w:marTop w:val="0"/>
      <w:marBottom w:val="0"/>
      <w:divBdr>
        <w:top w:val="none" w:sz="0" w:space="0" w:color="auto"/>
        <w:left w:val="none" w:sz="0" w:space="0" w:color="auto"/>
        <w:bottom w:val="none" w:sz="0" w:space="0" w:color="auto"/>
        <w:right w:val="none" w:sz="0" w:space="0" w:color="auto"/>
      </w:divBdr>
      <w:divsChild>
        <w:div w:id="890535750">
          <w:marLeft w:val="274"/>
          <w:marRight w:val="0"/>
          <w:marTop w:val="0"/>
          <w:marBottom w:val="0"/>
          <w:divBdr>
            <w:top w:val="none" w:sz="0" w:space="0" w:color="auto"/>
            <w:left w:val="none" w:sz="0" w:space="0" w:color="auto"/>
            <w:bottom w:val="none" w:sz="0" w:space="0" w:color="auto"/>
            <w:right w:val="none" w:sz="0" w:space="0" w:color="auto"/>
          </w:divBdr>
        </w:div>
        <w:div w:id="2077587654">
          <w:marLeft w:val="274"/>
          <w:marRight w:val="0"/>
          <w:marTop w:val="0"/>
          <w:marBottom w:val="0"/>
          <w:divBdr>
            <w:top w:val="none" w:sz="0" w:space="0" w:color="auto"/>
            <w:left w:val="none" w:sz="0" w:space="0" w:color="auto"/>
            <w:bottom w:val="none" w:sz="0" w:space="0" w:color="auto"/>
            <w:right w:val="none" w:sz="0" w:space="0" w:color="auto"/>
          </w:divBdr>
        </w:div>
        <w:div w:id="527526052">
          <w:marLeft w:val="274"/>
          <w:marRight w:val="0"/>
          <w:marTop w:val="0"/>
          <w:marBottom w:val="0"/>
          <w:divBdr>
            <w:top w:val="none" w:sz="0" w:space="0" w:color="auto"/>
            <w:left w:val="none" w:sz="0" w:space="0" w:color="auto"/>
            <w:bottom w:val="none" w:sz="0" w:space="0" w:color="auto"/>
            <w:right w:val="none" w:sz="0" w:space="0" w:color="auto"/>
          </w:divBdr>
        </w:div>
        <w:div w:id="1203399232">
          <w:marLeft w:val="274"/>
          <w:marRight w:val="0"/>
          <w:marTop w:val="0"/>
          <w:marBottom w:val="0"/>
          <w:divBdr>
            <w:top w:val="none" w:sz="0" w:space="0" w:color="auto"/>
            <w:left w:val="none" w:sz="0" w:space="0" w:color="auto"/>
            <w:bottom w:val="none" w:sz="0" w:space="0" w:color="auto"/>
            <w:right w:val="none" w:sz="0" w:space="0" w:color="auto"/>
          </w:divBdr>
        </w:div>
      </w:divsChild>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sps.nhs.uk/wp-content/uploads/2016/12/Specimen-high-risk-list-Version-3_Final-28thNov16.pdf" TargetMode="External"/><Relationship Id="rId2" Type="http://schemas.openxmlformats.org/officeDocument/2006/relationships/hyperlink" Target="https://www.sps.nhs.uk/" TargetMode="External"/><Relationship Id="rId1" Type="http://schemas.openxmlformats.org/officeDocument/2006/relationships/hyperlink" Target="mailto:admin.ncl-mon@nhs.ne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cholar.google.co.uk/" TargetMode="External"/><Relationship Id="rId2" Type="http://schemas.openxmlformats.org/officeDocument/2006/relationships/customXml" Target="../customXml/item2.xml"/><Relationship Id="rId16" Type="http://schemas.openxmlformats.org/officeDocument/2006/relationships/hyperlink" Target="https://clinicaltrials.gov/ct2/search/advanced"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ukmi.nhs.uk/activities/newProducts/default.asp?pageRef=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rps\Desktop\NHS\(ClinS)%20Pharmacy%20Department%20-%20MEP%20and%20JFC%20-%20MEP\JFC\Templates\NCL%20Evaluation%20Template_v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AFAAD98F6D4FBDA31FC43236BD419A"/>
        <w:category>
          <w:name w:val="General"/>
          <w:gallery w:val="placeholder"/>
        </w:category>
        <w:types>
          <w:type w:val="bbPlcHdr"/>
        </w:types>
        <w:behaviors>
          <w:behavior w:val="content"/>
        </w:behaviors>
        <w:guid w:val="{CFCC7B10-8D02-4601-9175-5C22606E3158}"/>
      </w:docPartPr>
      <w:docPartBody>
        <w:p w:rsidR="00000000" w:rsidRDefault="00B40F7D">
          <w:pPr>
            <w:pStyle w:val="DAAFAAD98F6D4FBDA31FC43236BD419A"/>
          </w:pPr>
          <w:r w:rsidRPr="00162F2F">
            <w:rPr>
              <w:rStyle w:val="PlaceholderText"/>
            </w:rPr>
            <w:t>Choose an item.</w:t>
          </w:r>
        </w:p>
      </w:docPartBody>
    </w:docPart>
    <w:docPart>
      <w:docPartPr>
        <w:name w:val="805F389084CB403492D98EF182ABD213"/>
        <w:category>
          <w:name w:val="General"/>
          <w:gallery w:val="placeholder"/>
        </w:category>
        <w:types>
          <w:type w:val="bbPlcHdr"/>
        </w:types>
        <w:behaviors>
          <w:behavior w:val="content"/>
        </w:behaviors>
        <w:guid w:val="{188D0169-FF4F-4BAC-9617-ECEFD11D42A7}"/>
      </w:docPartPr>
      <w:docPartBody>
        <w:p w:rsidR="00000000" w:rsidRDefault="00665A96">
          <w:pPr>
            <w:pStyle w:val="805F389084CB403492D98EF182ABD213"/>
          </w:pPr>
          <w:r w:rsidRPr="00162F2F">
            <w:rPr>
              <w:rStyle w:val="PlaceholderText"/>
            </w:rPr>
            <w:t>Choose an item.</w:t>
          </w:r>
        </w:p>
      </w:docPartBody>
    </w:docPart>
    <w:docPart>
      <w:docPartPr>
        <w:name w:val="4CEE7030238B458795C27B84F1ED78CF"/>
        <w:category>
          <w:name w:val="General"/>
          <w:gallery w:val="placeholder"/>
        </w:category>
        <w:types>
          <w:type w:val="bbPlcHdr"/>
        </w:types>
        <w:behaviors>
          <w:behavior w:val="content"/>
        </w:behaviors>
        <w:guid w:val="{05C19355-2092-43B0-974F-15EA12FEBFA4}"/>
      </w:docPartPr>
      <w:docPartBody>
        <w:p w:rsidR="00000000" w:rsidRDefault="00665A96">
          <w:pPr>
            <w:pStyle w:val="4CEE7030238B458795C27B84F1ED78CF"/>
          </w:pPr>
          <w:r w:rsidRPr="00162F2F">
            <w:rPr>
              <w:rStyle w:val="PlaceholderText"/>
            </w:rPr>
            <w:t>Choose an item.</w:t>
          </w:r>
        </w:p>
      </w:docPartBody>
    </w:docPart>
    <w:docPart>
      <w:docPartPr>
        <w:name w:val="2468E18E43F448F3A2A9C418AA8DD9D1"/>
        <w:category>
          <w:name w:val="General"/>
          <w:gallery w:val="placeholder"/>
        </w:category>
        <w:types>
          <w:type w:val="bbPlcHdr"/>
        </w:types>
        <w:behaviors>
          <w:behavior w:val="content"/>
        </w:behaviors>
        <w:guid w:val="{3852304F-B34C-4F47-B535-2F371A7AA892}"/>
      </w:docPartPr>
      <w:docPartBody>
        <w:p w:rsidR="00000000" w:rsidRDefault="00665A96">
          <w:pPr>
            <w:pStyle w:val="2468E18E43F448F3A2A9C418AA8DD9D1"/>
          </w:pPr>
          <w:r w:rsidRPr="005E156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AAFAAD98F6D4FBDA31FC43236BD419A">
    <w:name w:val="DAAFAAD98F6D4FBDA31FC43236BD419A"/>
  </w:style>
  <w:style w:type="paragraph" w:customStyle="1" w:styleId="805F389084CB403492D98EF182ABD213">
    <w:name w:val="805F389084CB403492D98EF182ABD213"/>
  </w:style>
  <w:style w:type="paragraph" w:customStyle="1" w:styleId="4CEE7030238B458795C27B84F1ED78CF">
    <w:name w:val="4CEE7030238B458795C27B84F1ED78CF"/>
  </w:style>
  <w:style w:type="paragraph" w:customStyle="1" w:styleId="2468E18E43F448F3A2A9C418AA8DD9D1">
    <w:name w:val="2468E18E43F448F3A2A9C418AA8DD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B387F9CBE65749B4A0ABDE3EB91A61" ma:contentTypeVersion="14" ma:contentTypeDescription="Create a new document." ma:contentTypeScope="" ma:versionID="5a2fdef88856e5bf5d7afd0d0a9bce85">
  <xsd:schema xmlns:xsd="http://www.w3.org/2001/XMLSchema" xmlns:xs="http://www.w3.org/2001/XMLSchema" xmlns:p="http://schemas.microsoft.com/office/2006/metadata/properties" xmlns:ns1="http://schemas.microsoft.com/sharepoint/v3" xmlns:ns2="d181f51a-91eb-4bfb-92bc-57b0411d06bf" xmlns:ns3="75a9d58f-1eb3-42d5-863d-8ba7068f589b" targetNamespace="http://schemas.microsoft.com/office/2006/metadata/properties" ma:root="true" ma:fieldsID="718264dc6ee7eeaea17df2046d099118" ns1:_="" ns2:_="" ns3:_="">
    <xsd:import namespace="http://schemas.microsoft.com/sharepoint/v3"/>
    <xsd:import namespace="d181f51a-91eb-4bfb-92bc-57b0411d06bf"/>
    <xsd:import namespace="75a9d58f-1eb3-42d5-863d-8ba7068f5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1f51a-91eb-4bfb-92bc-57b0411d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9d58f-1eb3-42d5-863d-8ba7068f58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1E9A4-8CF7-4C80-8076-E314DD1F111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C01ED79-07AD-4470-AC68-9584F79A2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1f51a-91eb-4bfb-92bc-57b0411d06bf"/>
    <ds:schemaRef ds:uri="75a9d58f-1eb3-42d5-863d-8ba7068f5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452EB-18A6-499E-AB47-78D93F97E66C}">
  <ds:schemaRefs>
    <ds:schemaRef ds:uri="http://schemas.openxmlformats.org/officeDocument/2006/bibliography"/>
  </ds:schemaRefs>
</ds:datastoreItem>
</file>

<file path=customXml/itemProps4.xml><?xml version="1.0" encoding="utf-8"?>
<ds:datastoreItem xmlns:ds="http://schemas.openxmlformats.org/officeDocument/2006/customXml" ds:itemID="{F0F74AC9-FF87-46F5-9439-C808DF9E9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NCL Evaluation Template_v9.1.dotx</Template>
  <TotalTime>0</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Gurps</dc:creator>
  <cp:lastModifiedBy>Grewal, Gurpal</cp:lastModifiedBy>
  <cp:revision>1</cp:revision>
  <cp:lastPrinted>2015-12-02T16:23:00Z</cp:lastPrinted>
  <dcterms:created xsi:type="dcterms:W3CDTF">2021-12-09T17:22:00Z</dcterms:created>
  <dcterms:modified xsi:type="dcterms:W3CDTF">2021-12-09T17:22:00Z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0x0101009CB387F9CBE65749B4A0ABDE3EB91A61</vt:lpwstr>
  </property>
</Properties>
</file>